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255" w:rsidRDefault="00283255" w:rsidP="00283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Publicada no Diário Oficial da União do dia </w:t>
      </w:r>
      <w:r w:rsidR="0019191F">
        <w:rPr>
          <w:rFonts w:ascii="Times New Roman" w:hAnsi="Times New Roman" w:cs="Times New Roman"/>
          <w:b/>
          <w:bCs/>
          <w:color w:val="FF0000"/>
          <w:sz w:val="20"/>
          <w:szCs w:val="20"/>
        </w:rPr>
        <w:t>05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/0</w:t>
      </w:r>
      <w:r w:rsidR="0019191F">
        <w:rPr>
          <w:rFonts w:ascii="Times New Roman" w:hAnsi="Times New Roman" w:cs="Times New Roman"/>
          <w:b/>
          <w:bCs/>
          <w:color w:val="FF0000"/>
          <w:sz w:val="20"/>
          <w:szCs w:val="20"/>
        </w:rPr>
        <w:t>3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/201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4</w:t>
      </w:r>
    </w:p>
    <w:p w:rsidR="00C83BD5" w:rsidRDefault="00C83BD5" w:rsidP="00283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C83BD5" w:rsidRDefault="00C83BD5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PORTARIA Nº 256, DE 28 DE FEVEREIRO DE 2014</w:t>
      </w:r>
    </w:p>
    <w:p w:rsidR="00651855" w:rsidRDefault="00651855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C83BD5" w:rsidRPr="00651855" w:rsidRDefault="00C83BD5" w:rsidP="00651855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651855">
        <w:rPr>
          <w:rFonts w:ascii="Times New Roman" w:eastAsia="Times New Roman" w:hAnsi="Times New Roman" w:cs="Times New Roman"/>
          <w:sz w:val="16"/>
          <w:szCs w:val="16"/>
          <w:lang w:eastAsia="pt-BR"/>
        </w:rPr>
        <w:t>Cria a Câmara Técnica de Tecnologia de</w:t>
      </w:r>
      <w:r w:rsidR="00651855" w:rsidRPr="00651855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651855">
        <w:rPr>
          <w:rFonts w:ascii="Times New Roman" w:eastAsia="Times New Roman" w:hAnsi="Times New Roman" w:cs="Times New Roman"/>
          <w:sz w:val="16"/>
          <w:szCs w:val="16"/>
          <w:lang w:eastAsia="pt-BR"/>
        </w:rPr>
        <w:t>Produtos para a Saúde (CATEPS), vinculada</w:t>
      </w:r>
      <w:r w:rsidR="00651855" w:rsidRPr="00651855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651855">
        <w:rPr>
          <w:rFonts w:ascii="Times New Roman" w:eastAsia="Times New Roman" w:hAnsi="Times New Roman" w:cs="Times New Roman"/>
          <w:sz w:val="16"/>
          <w:szCs w:val="16"/>
          <w:lang w:eastAsia="pt-BR"/>
        </w:rPr>
        <w:t>tecnicamente à Gerência Geral de Tecnologia</w:t>
      </w:r>
      <w:r w:rsidR="00651855" w:rsidRPr="00651855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651855">
        <w:rPr>
          <w:rFonts w:ascii="Times New Roman" w:eastAsia="Times New Roman" w:hAnsi="Times New Roman" w:cs="Times New Roman"/>
          <w:sz w:val="16"/>
          <w:szCs w:val="16"/>
          <w:lang w:eastAsia="pt-BR"/>
        </w:rPr>
        <w:t>de Produtos para a Saúde.</w:t>
      </w:r>
    </w:p>
    <w:p w:rsidR="00651855" w:rsidRDefault="00651855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</w:p>
    <w:p w:rsidR="00C83BD5" w:rsidRDefault="00C83BD5" w:rsidP="00D034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Diretor-Presidente da Agência Nacional de Vigilância Sanitária,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uso das atribuições que lhe conferem o Decreto de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recondução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11 de outubro de 2011, da Presidenta da República,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publicado no DOU de 13 de outubro de 2011 e o inciso X do art.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13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Regulamento da ANVISA, aprovado pelo Decreto nº 3.029, de 16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abril de 1999, tendo em vista o disposto no inciso VIII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art. 16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no inciso IV, § 3º do art. 55 do Regimento Interno da ANVISA,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aprovado nos termos do Anexo I da Portaria n.º 354, de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11 de agosto</w:t>
      </w:r>
      <w:r w:rsidR="00D034E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2006, republicada no DOU de 21 de agosto de 2006, resolve:</w:t>
      </w:r>
    </w:p>
    <w:p w:rsidR="00D034EA" w:rsidRDefault="00D034EA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B62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Criar a Câmara Técnica de Tecnologia de Produtos</w:t>
      </w:r>
      <w:r w:rsidR="00B6230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 Saúde - CATEPS - da Agência Nacional de Vigilância Sanitária.</w:t>
      </w:r>
    </w:p>
    <w:p w:rsidR="00B6230F" w:rsidRDefault="00B6230F" w:rsidP="00B62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3E2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Para efeitos desta Portaria são adotadas as seguintes</w:t>
      </w:r>
      <w:r w:rsidR="00B6230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definições:</w:t>
      </w:r>
    </w:p>
    <w:p w:rsidR="00B6230F" w:rsidRDefault="00B6230F" w:rsidP="003E2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3E2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especialista sistêmico: profissional com conhecimento geral</w:t>
      </w:r>
      <w:r w:rsidR="003E293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em relação a diferentes tipos de dispositivos médicos, equipamentos,</w:t>
      </w:r>
      <w:r w:rsidR="003E293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materiais e conjuntos para diagnósticos in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vitro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incluindo</w:t>
      </w:r>
      <w:r w:rsidR="003E293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riscos utilização, modos de produção e regulamentação;</w:t>
      </w:r>
    </w:p>
    <w:p w:rsidR="003E293A" w:rsidRDefault="003E293A" w:rsidP="003E2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3E2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especialista temático: profissional com conhecimento específico</w:t>
      </w:r>
      <w:r w:rsidR="003E293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em relação aos modos de utilização dos tipos de dispositivos</w:t>
      </w:r>
      <w:r w:rsidR="003E293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médicos ou o seu modo de produção;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</w:p>
    <w:p w:rsidR="003E293A" w:rsidRDefault="003E293A" w:rsidP="003E2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3E2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produtos de um setor: Conjunto de produtos com identidade</w:t>
      </w:r>
      <w:r w:rsidR="003E293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tecnologia, grau de risco e indicação.</w:t>
      </w:r>
    </w:p>
    <w:p w:rsidR="003E293A" w:rsidRDefault="003E293A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Art. 3º A CATEPS é composta por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7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(sete) membros nomeados</w:t>
      </w:r>
      <w:r w:rsidR="00414A7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pelo Diretor Presidente, a partir de indicações apoiadas em</w:t>
      </w:r>
      <w:r w:rsidR="00414A7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destacada experiência profissional e notório saber nos assuntos da</w:t>
      </w:r>
      <w:r w:rsidR="00414A7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Câmara, assim qualificados e distribuídos:</w:t>
      </w:r>
    </w:p>
    <w:p w:rsidR="00414A7D" w:rsidRDefault="00414A7D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três membros, especialistas sistêmicos, com conhecimentos</w:t>
      </w:r>
      <w:r w:rsidR="00414A7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gerais sobre a produção, regulamentação e uso de dispositivos</w:t>
      </w:r>
      <w:r w:rsidR="00414A7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médicos;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</w:p>
    <w:p w:rsidR="00414A7D" w:rsidRDefault="00414A7D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quatro membros, especialistas temáticos, com conhecimentos</w:t>
      </w:r>
      <w:r w:rsidR="00414A7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específicos sobre determinados subconjuntos dos dispositivos</w:t>
      </w:r>
      <w:r w:rsidR="00414A7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médicos.</w:t>
      </w:r>
    </w:p>
    <w:p w:rsidR="00414A7D" w:rsidRDefault="00414A7D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Os três membros, especialistas sistêmicos, serão nomeados,</w:t>
      </w:r>
      <w:r w:rsidR="00414A7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dois para mandatos de três anos e um para o mandato de dois</w:t>
      </w:r>
      <w:r w:rsidR="00414A7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anos.</w:t>
      </w:r>
    </w:p>
    <w:p w:rsidR="00414A7D" w:rsidRDefault="00414A7D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Após a primeira nomeação, as subsequentes serão para</w:t>
      </w:r>
      <w:r w:rsidR="00414A7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mandatos de três anos.</w:t>
      </w:r>
    </w:p>
    <w:p w:rsidR="00414A7D" w:rsidRDefault="00414A7D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Os membros especialistas sistêmicos poderão ser reconduzidos</w:t>
      </w:r>
      <w:r w:rsidR="00A82F2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 mais um mandato de três anos.</w:t>
      </w:r>
    </w:p>
    <w:p w:rsidR="00A82F2C" w:rsidRDefault="00A82F2C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4º Os quatro membros, especialistas temáticos, serão nomeados</w:t>
      </w:r>
      <w:r w:rsidR="00A82F2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 um mandato, coincidente com a demanda técnica de teor</w:t>
      </w:r>
      <w:r w:rsidR="00A82F2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definido, com duração não superior a três anos.</w:t>
      </w:r>
    </w:p>
    <w:p w:rsidR="00A82F2C" w:rsidRDefault="00A82F2C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A8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§5º Em caso de substituição de membro da CATEPS, a</w:t>
      </w:r>
      <w:r w:rsidR="00A82F2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nomeação será para o restante do mandato, podendo haver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(uma)</w:t>
      </w:r>
      <w:r w:rsidR="00A82F2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recondução.</w:t>
      </w:r>
    </w:p>
    <w:p w:rsidR="00A82F2C" w:rsidRDefault="00A82F2C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852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Os temas para demanda dos estudos na câmara e a</w:t>
      </w:r>
      <w:r w:rsidR="0085209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escolha dos membros especialistas temáticos serão definidos pela</w:t>
      </w:r>
      <w:r w:rsidR="0085209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Gerência Geral de Tecnologia de Produtos para Saúde.</w:t>
      </w:r>
    </w:p>
    <w:p w:rsidR="0085209F" w:rsidRDefault="0085209F" w:rsidP="00852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852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Para a definição dos temas de estudo pela</w:t>
      </w:r>
      <w:r w:rsidR="0085209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CATEPS a Gerência Geral de Tecnologia de Produtos para Saúde</w:t>
      </w:r>
      <w:r w:rsidR="0085209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levará</w:t>
      </w:r>
      <w:r w:rsidR="0085209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em consideração os seguintes aspectos:</w:t>
      </w:r>
    </w:p>
    <w:p w:rsidR="0085209F" w:rsidRDefault="0085209F" w:rsidP="00852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852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demanda de maiores conhecimentos setoriais para aperfeiçoamento</w:t>
      </w:r>
      <w:r w:rsidR="0085209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modelo de regulação em relação aos conjuntos específicos</w:t>
      </w:r>
      <w:r w:rsidR="0085209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dispositivos médicos;</w:t>
      </w:r>
    </w:p>
    <w:p w:rsidR="0085209F" w:rsidRDefault="0085209F" w:rsidP="00852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852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definição da nomenclatura básica de produtos de um</w:t>
      </w:r>
      <w:r w:rsidR="0085209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setor;</w:t>
      </w:r>
    </w:p>
    <w:p w:rsidR="0085209F" w:rsidRDefault="0085209F" w:rsidP="00852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852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demandas do Ministério da Saúde ou da Diretoria Colegiada</w:t>
      </w:r>
      <w:r w:rsidR="0085209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 ANVISA.</w:t>
      </w:r>
    </w:p>
    <w:p w:rsidR="0085209F" w:rsidRDefault="0085209F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166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Os membros da CATEPS devem firmar termo declarando-se isentos de conflito de interesse e se comprometendo a</w:t>
      </w:r>
      <w:r w:rsidR="001667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guardar</w:t>
      </w:r>
      <w:r w:rsidR="001667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sigilo sobre questões de segredo industrial ou comercial.</w:t>
      </w:r>
    </w:p>
    <w:p w:rsidR="001667A1" w:rsidRDefault="001667A1" w:rsidP="00166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166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A designação de membro da CATEPS deve ser precedida,</w:t>
      </w:r>
      <w:r w:rsidR="001667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sem prejuízo de outras formalidades, do preenchimento do</w:t>
      </w:r>
      <w:r w:rsidR="001667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Termo de</w:t>
      </w:r>
      <w:r w:rsidR="001667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confidencialidade e de informações e de possíveis conflitos</w:t>
      </w:r>
      <w:r w:rsidR="001667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interesse.</w:t>
      </w:r>
    </w:p>
    <w:p w:rsidR="001667A1" w:rsidRDefault="001667A1" w:rsidP="00166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166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A isenção de conflito de interesse dos membros da</w:t>
      </w:r>
      <w:r w:rsidR="001667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CATEPS deve abranger seus cônjuges, companheiros ou parentes em</w:t>
      </w:r>
      <w:r w:rsidR="001667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linha</w:t>
      </w:r>
      <w:r w:rsidR="001667A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reta, colateral ou por afinidade, até o terceiro grau.</w:t>
      </w:r>
    </w:p>
    <w:p w:rsidR="001667A1" w:rsidRDefault="001667A1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453C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A CATEPS reunir-se-á ordinariamente a cada trimestre.</w:t>
      </w:r>
    </w:p>
    <w:p w:rsidR="00453C1F" w:rsidRDefault="00453C1F" w:rsidP="00453C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453C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Além das reuniões ordinárias, a CATEPS reunir-se-á</w:t>
      </w:r>
      <w:r w:rsidR="00453C1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extraordinariamente em casos de urgência ou gravidade do tema,</w:t>
      </w:r>
      <w:r w:rsidR="00453C1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convocada pelo Gerente Geral de Tecnologia de Produtos para Saúde.</w:t>
      </w:r>
    </w:p>
    <w:p w:rsidR="00453C1F" w:rsidRDefault="00453C1F" w:rsidP="00453C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§ 2º Excetuando a primeira reunião ordinária, as subsequentes,</w:t>
      </w:r>
      <w:r w:rsidR="00453C1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mesma natureza, devem ter a data de ocorrência definida com</w:t>
      </w:r>
      <w:r w:rsidR="00453C1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antecedência mínima de noventa dias.</w:t>
      </w:r>
    </w:p>
    <w:p w:rsidR="00453C1F" w:rsidRDefault="00453C1F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A convocação de reuniões ordinárias devem ter antecedência</w:t>
      </w:r>
      <w:r w:rsidR="00453C1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de modo a permitir a presença de no mínimo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4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(quatro)</w:t>
      </w:r>
      <w:r w:rsidR="00453C1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membros.</w:t>
      </w:r>
    </w:p>
    <w:p w:rsidR="00453C1F" w:rsidRDefault="00453C1F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83BD5" w:rsidRDefault="00C83BD5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7º Os membros da CATEPS não serão remunerados, e</w:t>
      </w:r>
      <w:r w:rsidR="00453C1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seu trabalho será considerado ação relevante para o serviço público.</w:t>
      </w:r>
    </w:p>
    <w:p w:rsidR="00453C1F" w:rsidRDefault="00453C1F" w:rsidP="00C8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7A2383" w:rsidRDefault="007A2383" w:rsidP="006E0B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8º A organização e o funcionamento da CATEPS serão</w:t>
      </w:r>
      <w:r w:rsidR="006E0B3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estabelecidos em regimento próprio, publicado no Diário Oficial da</w:t>
      </w:r>
      <w:r w:rsidR="006E0B3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União.</w:t>
      </w:r>
    </w:p>
    <w:p w:rsidR="006E0B31" w:rsidRDefault="006E0B31" w:rsidP="006E0B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7A2383" w:rsidRDefault="007A2383" w:rsidP="006E0B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9º Esta Portaria entra em vigor na data de sua Publicação.</w:t>
      </w:r>
    </w:p>
    <w:p w:rsidR="006E0B31" w:rsidRDefault="006E0B31" w:rsidP="006E0B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E0B31" w:rsidRDefault="006E0B31" w:rsidP="007A2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7A2383" w:rsidRPr="006E0B31" w:rsidRDefault="007A2383" w:rsidP="006E0B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BRÁS APARECIDO BARBANO</w:t>
      </w:r>
    </w:p>
    <w:p w:rsidR="005A5E6A" w:rsidRDefault="005A5E6A" w:rsidP="00283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sectPr w:rsidR="005A5E6A" w:rsidSect="00930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83255"/>
    <w:rsid w:val="001667A1"/>
    <w:rsid w:val="0019191F"/>
    <w:rsid w:val="00283255"/>
    <w:rsid w:val="002C5EB2"/>
    <w:rsid w:val="003C1D15"/>
    <w:rsid w:val="003E293A"/>
    <w:rsid w:val="00414A7D"/>
    <w:rsid w:val="00453C1F"/>
    <w:rsid w:val="00573EB2"/>
    <w:rsid w:val="005A5E6A"/>
    <w:rsid w:val="005A7F7D"/>
    <w:rsid w:val="00651855"/>
    <w:rsid w:val="00676182"/>
    <w:rsid w:val="006B104F"/>
    <w:rsid w:val="006E0B31"/>
    <w:rsid w:val="0072198C"/>
    <w:rsid w:val="00722BDC"/>
    <w:rsid w:val="007A2383"/>
    <w:rsid w:val="0085209F"/>
    <w:rsid w:val="00915ACC"/>
    <w:rsid w:val="009308ED"/>
    <w:rsid w:val="00A82F2C"/>
    <w:rsid w:val="00AA0ABC"/>
    <w:rsid w:val="00AD0A62"/>
    <w:rsid w:val="00AE1F25"/>
    <w:rsid w:val="00B54963"/>
    <w:rsid w:val="00B6230F"/>
    <w:rsid w:val="00C83BD5"/>
    <w:rsid w:val="00D034EA"/>
    <w:rsid w:val="00D92316"/>
    <w:rsid w:val="00DD2125"/>
    <w:rsid w:val="00F2596C"/>
    <w:rsid w:val="00F36901"/>
    <w:rsid w:val="00FE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2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CF001-F07F-4B54-AB4E-71EEB4EDA1F5}"/>
</file>

<file path=customXml/itemProps2.xml><?xml version="1.0" encoding="utf-8"?>
<ds:datastoreItem xmlns:ds="http://schemas.openxmlformats.org/officeDocument/2006/customXml" ds:itemID="{BBB065B9-8F8C-465E-B281-C8F8C630D8C5}"/>
</file>

<file path=customXml/itemProps3.xml><?xml version="1.0" encoding="utf-8"?>
<ds:datastoreItem xmlns:ds="http://schemas.openxmlformats.org/officeDocument/2006/customXml" ds:itemID="{0679CAB8-4EA4-4584-B2BB-6F33163719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cinthya.elgrably</dc:creator>
  <cp:lastModifiedBy>cinthya.elgrably</cp:lastModifiedBy>
  <cp:revision>15</cp:revision>
  <dcterms:created xsi:type="dcterms:W3CDTF">2014-03-20T12:10:00Z</dcterms:created>
  <dcterms:modified xsi:type="dcterms:W3CDTF">2014-03-20T12:35:00Z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