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8D0553" w:rsidRDefault="00F91C64" w:rsidP="00F91C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553">
        <w:rPr>
          <w:rFonts w:ascii="Times New Roman" w:hAnsi="Times New Roman" w:cs="Times New Roman"/>
          <w:b/>
          <w:sz w:val="24"/>
          <w:szCs w:val="24"/>
        </w:rPr>
        <w:t>PORTARI</w:t>
      </w:r>
      <w:bookmarkStart w:id="0" w:name="_GoBack"/>
      <w:bookmarkEnd w:id="0"/>
      <w:r w:rsidRPr="008D0553">
        <w:rPr>
          <w:rFonts w:ascii="Times New Roman" w:hAnsi="Times New Roman" w:cs="Times New Roman"/>
          <w:b/>
          <w:sz w:val="24"/>
          <w:szCs w:val="24"/>
        </w:rPr>
        <w:t xml:space="preserve">A – PRT Nº 377, DE 26 DE ABRIL DE </w:t>
      </w:r>
      <w:proofErr w:type="gramStart"/>
      <w:r w:rsidRPr="008D0553">
        <w:rPr>
          <w:rFonts w:ascii="Times New Roman" w:hAnsi="Times New Roman" w:cs="Times New Roman"/>
          <w:b/>
          <w:sz w:val="24"/>
          <w:szCs w:val="24"/>
        </w:rPr>
        <w:t>1999</w:t>
      </w:r>
      <w:proofErr w:type="gramEnd"/>
    </w:p>
    <w:p w:rsidR="00F91C64" w:rsidRPr="008D0553" w:rsidRDefault="00F91C64" w:rsidP="00F91C6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D055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80-E, de 29 de abril de 1999</w:t>
      </w:r>
      <w:proofErr w:type="gramStart"/>
      <w:r w:rsidRPr="008D055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04D33" w:rsidRPr="008D0553" w:rsidRDefault="00604D33" w:rsidP="00F91C6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D055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277, de 22 de setembro de 2005</w:t>
      </w:r>
      <w:proofErr w:type="gramStart"/>
      <w:r w:rsidRPr="008D055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04D33" w:rsidRPr="008D0553" w:rsidRDefault="00604D33" w:rsidP="00F91C6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8D055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Secretário de Vigilância Sanitária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do Ministério da Saúde, no uso de suas atribuições e considerando a necessidade de constante aperfeiçoamento das ações de controle sanitário na área de alimentos visando a proteção à saúde da população e a necessidade de fixar a identidade e as características mínimas de qualidade a que devem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 o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Café Torrado em Grão e Café Torrado e Moído, resolve: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Art.1º Aprovar o Regulamento Técnico referente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Café Torrado em Grão e Café Torrado e Moído, constante do anexo desta Portaria.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Art.2º As empresas têm o prazo de 180 (cento e oitenta) dias, a contar da data da publicação deste Regulamento, para se adequarem ao mesmo.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Art.3º O descumprimento desta Portaria constitui infração sanitária sujeitando os infratores às penalidades da Lei n? 6.437, de 20 de agosto de 1977 e demais disposições aplicáveis.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4º Esta Portaria entra em vigor na data de sua publicação, revogadas as disposições em contrário, em especial, o item referente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Café Torrado em Grão e Café Torrado e Moído da Resolução CNNPA nº 12/78.</w:t>
      </w:r>
    </w:p>
    <w:p w:rsidR="004D7833" w:rsidRPr="008D0553" w:rsidRDefault="004D7833" w:rsidP="008D055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4D7833" w:rsidRPr="008D0553" w:rsidRDefault="004D7833" w:rsidP="008D055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D7833" w:rsidRPr="008D0553" w:rsidRDefault="004D7833" w:rsidP="008D055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4D7833" w:rsidRPr="008D0553" w:rsidRDefault="004D7833" w:rsidP="008D055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PARA FIXAÇÃO DE IDENTIFICAÇÃO E QUALIDADE DE CAFÉ TORRADO EM GRÃO E CAFÉ TORRADO E MOÍDO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ALCANCE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1.1. Objetivo: Fixar a identidade e as características mínimas de qualidade a que deve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 o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Café Torrado em Grão e o Café Torrado e Moído.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Âmbito de Aplicação: Aplica-se ao Café Torrado em Grão e ao Café Torrado e Moído, conforme classificação no item 2.2.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 Descrição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Definições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2.1.1. Café Torrado em Grão: é o endosperma (grão) beneficiado do fruto maduro de diversas espécies do gênero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Coffea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como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Coffea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arabica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C.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liberica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Hieni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C.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canephora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(C. robusta), submetido a tratamento térmico adequado até atingir o ponto de torra escolhido.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2.1.2. Café Torrado Moído: é o Café Torrado em Grão submetido a processo de moagem adequado.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Designação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produto é designado de “Café Torrado" seguido de sua forma de apresentação (em grão ou moído).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Quando o Café de origem for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descafeinado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deve ser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acrescentado ao nome esta característica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Referências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3.1. AMERICAN PUBLIC ASSOCIATION.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Compendium of Methods for Microbiological Examination of Foods.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Speck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M.L.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cd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2a ed., Washington, 1984.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ASSOCIAÇAO BRASILEIRA DE NORMAS TÉCNICAS. NBR 5426/1985 Planos de Amostragem e Procedimentos na Inspeção por Atributos, Rio de Janeiro, 1985.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3.3. Association, of Official Analytical Chemists. Official Methods of Analysis, Ash, Ash Insoluble in Hydrochloric acid, 16 ed., Arlington,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Viigínia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, USA, 1995.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3.4. BRASIL. Decreto-Lei n.º 986, de 21/10/69, Institui Normas Básicas de Alimentos. Diário Oficial da União [da República Federativa do Brasil], Brasília, 22 out. 1969. Secção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3.5. BRASIL. Ministério da Saúde, Secretaria de Vigilância Sanitária. Portaria SVS/MS nº 451, de 19 de setembro de 1997, Institui Princípios Gerais para o Estabelecimento de Critérios e Padrões Microbiológicos para Alimentos. Diário Oficial [da Republica Federativa do Brasil], Brasília, no 124-E, 2julho 1998. Seção 1, </w:t>
      </w:r>
      <w:proofErr w:type="spellStart"/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-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3.6. -BRASIL. Ministério da Saúde, Secretaria de Vigilância Sanitária. Portaria n.º 42, de 13 de janeiro de 1998, Regulamento Técnico para Rotulagem de Alimentos Embalados. Diário Oficial [da República Federativa do Brasil],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Brasília,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v.11-E, p.12-14, 16 jan.1998.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Seçãol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3.7. BRASIL. Ministério da Saúde. Portaria MS n.º 1.428, de 26/11/93, Estabelece o Regulamento Técnico para Inspeção Sanitária de Alimentos e o Regulamento Técnico para o Estabelecimento de Padrões de Identidade e Qualidade para Produtos na Arca de Alimentos. Diário Oficial [da República Federativa do Brasil], Brasília, v.229, p.18415-18419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.,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02 dez.1993.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Secçãol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,ptl</w:t>
      </w:r>
      <w:proofErr w:type="spellEnd"/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3.8. FOOD AND DRUG ADMINISTRATION, FDA.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Bacteriological Analytical Manual.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7th ed., Publicado por A.O.A.C.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International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Arlington, Virgínia,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USA,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1.992.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3.9. IN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STITUTO ADOLFO LUTZ. Normas Analíticas do Instituto Adolfo Lutz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Determinação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Umidade por Karl Fischer, Extrato Aquoso e Nitrogênio Total,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 ed., São Paulo, 1985, v.l.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3.10. International Standard Association. ISCJ- 10.095:1992(E) - Coffee - Determination of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Caf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feine Content - Methods using High Performance Liquid Chromatography, 1992.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Composição e Requisitos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Composição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Ingrediente Obrigatório: café cru em grãos.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Requisitos: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 Características Sensoriais: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4.2.1.1. Aspecto: pó homogêneo, fino ou grosso, ou grãos inteiros torrados. O produto pode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apresentar resquícios do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espermoderma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(película invaginada intrínseca)</w:t>
      </w:r>
    </w:p>
    <w:p w:rsidR="004D7833" w:rsidRPr="008D0553" w:rsidRDefault="00DE310B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</w:t>
      </w:r>
      <w:r w:rsidR="004D7833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.2. Cor: castanho-claro ao castanho escuro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4.2.1.3.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Odor :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característico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4.2.1.4. Sabor: característico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 Características Físicas e Químicas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3291"/>
      </w:tblGrid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4.2.2.1. Umidade, em g/100g</w:t>
            </w:r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 5,0%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4.2.2.2. </w:t>
            </w:r>
            <w:proofErr w:type="gramStart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Resíduo Mineral Fixo</w:t>
            </w:r>
            <w:proofErr w:type="gramEnd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, em g/100g</w:t>
            </w:r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5,0%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4.2.2.3. Resíduo Mineral Fixo, insolúvel em ácido clorídrico a 10%</w:t>
            </w: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v/v, em g/100g</w:t>
            </w:r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1,0%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4.2.2.4. Cafeína, em g/100g</w:t>
            </w:r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mínimo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0,7%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Cafeína para o produto </w:t>
            </w:r>
            <w:proofErr w:type="spellStart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descafeinado</w:t>
            </w:r>
            <w:proofErr w:type="spellEnd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, em g/</w:t>
            </w:r>
            <w:proofErr w:type="gramStart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100g</w:t>
            </w:r>
            <w:proofErr w:type="gramEnd"/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0,1%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4.2.2.5. Extrato Aquoso, em g/</w:t>
            </w: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  <w:proofErr w:type="gramEnd"/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mínimo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25,0%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Extrato Aquoso para o produto </w:t>
            </w:r>
            <w:proofErr w:type="spellStart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descafeinado</w:t>
            </w:r>
            <w:proofErr w:type="spellEnd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, em g/</w:t>
            </w:r>
            <w:proofErr w:type="gramStart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100g</w:t>
            </w:r>
            <w:proofErr w:type="gramEnd"/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mínimo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20,0%</w:t>
            </w:r>
          </w:p>
        </w:tc>
      </w:tr>
      <w:tr w:rsidR="00DE310B" w:rsidRPr="008D0553" w:rsidTr="00DE310B">
        <w:tc>
          <w:tcPr>
            <w:tcW w:w="5353" w:type="dxa"/>
          </w:tcPr>
          <w:p w:rsidR="00DE310B" w:rsidRPr="008D0553" w:rsidRDefault="00DE310B" w:rsidP="00DE310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4.2.2.6. Extrato Etéreo, em g/</w:t>
            </w:r>
            <w:proofErr w:type="gramStart"/>
            <w:r w:rsidRPr="008D0553">
              <w:rPr>
                <w:rFonts w:ascii="Times New Roman" w:hAnsi="Times New Roman" w:cs="Times New Roman"/>
                <w:strike/>
                <w:sz w:val="24"/>
                <w:szCs w:val="24"/>
              </w:rPr>
              <w:t>100g</w:t>
            </w:r>
            <w:proofErr w:type="gramEnd"/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mínimo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8,0%</w:t>
            </w:r>
          </w:p>
        </w:tc>
      </w:tr>
    </w:tbl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 Acondicionamento: O produto deve ser acondicionado em embalagens adequadas às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previstas de transporte e armazenamento e que confiram ao produto a proteção necessária.</w:t>
      </w:r>
    </w:p>
    <w:p w:rsidR="004D7833" w:rsidRPr="008D0553" w:rsidRDefault="00DE310B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="004D7833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D7833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Aditivos e Coadjuvantes de Tecnologia de Fabricação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 permitida a utilização de aditivos intencionais e coadjuv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antes de tecnologia conforme le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gislação específica.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Contaminantes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estar em consonância com os níveis toleráveis n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matéria-prima empregada, esta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belecidos pela legislação específica.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Higiene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7.1. Considerações Gerais: os produtos devem ser obtidos respeitando as Boas Práticas de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Fabricação.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café torrado não deve ser consumido, quando estiver alterado ou adulterado por qualquer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forma ou meio, inclusive pela adição de corantes ou outros produtos que 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modifiquem a sua es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pecificação, cujo emprego é vedado, não se admitindo sob qualquer forma a adição de cafés esgotados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(borra de solúvel, borra de infusão de café torrado e moído).</w:t>
      </w:r>
    </w:p>
    <w:p w:rsidR="004D7833" w:rsidRPr="008D0553" w:rsidRDefault="004D7833" w:rsidP="00DE310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 Características macroscópicas: Deve obedecer à legislação específica.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7.3. Características microscópicas: Deve obedecer à legislação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específica, e deve atender ainda:</w:t>
      </w:r>
      <w:r w:rsidR="000F282E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</w:t>
      </w:r>
      <w:r w:rsidR="000F282E" w:rsidRP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p</w:t>
      </w:r>
      <w:r w:rsid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ela Resolução – RDC nº 175, de </w:t>
      </w:r>
      <w:proofErr w:type="gramStart"/>
      <w:r w:rsidR="000F282E" w:rsidRP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8</w:t>
      </w:r>
      <w:proofErr w:type="gramEnd"/>
      <w:r w:rsidR="000F282E" w:rsidRP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julho de 2003)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3291"/>
      </w:tblGrid>
      <w:tr w:rsidR="00DE310B" w:rsidRPr="008D0553" w:rsidTr="00F77CAD">
        <w:tc>
          <w:tcPr>
            <w:tcW w:w="5353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Impurezas (cascas e paus), em g/</w:t>
            </w: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100g</w:t>
            </w:r>
            <w:proofErr w:type="gramEnd"/>
          </w:p>
        </w:tc>
        <w:tc>
          <w:tcPr>
            <w:tcW w:w="3291" w:type="dxa"/>
          </w:tcPr>
          <w:p w:rsidR="00DE310B" w:rsidRPr="008D0553" w:rsidRDefault="00DE310B" w:rsidP="00DE310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</w:t>
            </w:r>
            <w:proofErr w:type="gramEnd"/>
            <w:r w:rsidRPr="008D055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1,0%</w:t>
            </w:r>
          </w:p>
        </w:tc>
      </w:tr>
    </w:tbl>
    <w:p w:rsidR="000F282E" w:rsidRPr="008D0553" w:rsidRDefault="008D0553" w:rsidP="000F282E">
      <w:pPr>
        <w:spacing w:after="300" w:line="240" w:lineRule="auto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</w:t>
      </w:r>
      <w:r w:rsidR="000F282E" w:rsidRP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pela </w:t>
      </w:r>
      <w:r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Resolução – RDC nº 175, de </w:t>
      </w:r>
      <w:r w:rsidR="000F282E" w:rsidRPr="008D055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8 de julho de 2003)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7.4. Características microbiológicas: Deve obedecer à legislação específica.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Pesos e Medidas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Rotulagem</w:t>
      </w:r>
    </w:p>
    <w:p w:rsidR="004D7833" w:rsidRPr="008D0553" w:rsidRDefault="00DE310B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Deve obedecer à legislaçã</w:t>
      </w:r>
      <w:r w:rsidR="004D7833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específica, e ainda: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9.1. Na rotulagem do Café Torrado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Descafeinado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deverá constar o teor máximo de Cafeína.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9.2. </w:t>
      </w:r>
      <w:proofErr w:type="gram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 constar</w:t>
      </w:r>
      <w:proofErr w:type="gram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rotulagem as indicações de uso conservação.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9.3. Pode constar a variedade, a origem e ou denominação específica.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Métodos de Análise/AMOSTRAGEM</w:t>
      </w:r>
    </w:p>
    <w:p w:rsidR="004D7833" w:rsidRPr="008D0553" w:rsidRDefault="004D7833" w:rsidP="004D78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avaliação da identidade e qualidade deve ser realizada d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acordo com os planos de amos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tragem e métodos de análise adotados e/ou recomendados pela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iation</w:t>
      </w:r>
      <w:proofErr w:type="spellEnd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Off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icial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Analytical</w:t>
      </w:r>
      <w:proofErr w:type="spellEnd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Chemists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(AOAC), pela Organização Internacional de Normalização 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(ISO),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 Instituto Adolfo Lutz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Food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Chemicals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pela America</w:t>
      </w:r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 </w:t>
      </w:r>
      <w:proofErr w:type="spellStart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</w:t>
      </w:r>
      <w:proofErr w:type="spellEnd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Health </w:t>
      </w:r>
      <w:proofErr w:type="spellStart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proofErr w:type="spellEnd"/>
      <w:r w:rsidR="00DE310B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(AP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HA), pelo </w:t>
      </w:r>
      <w:proofErr w:type="spellStart"/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Bacteri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olo</w:t>
      </w:r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ica</w:t>
      </w:r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proofErr w:type="spellEnd"/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Analytical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Manual (BAM) e pela Comissão do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Alimentarius</w:t>
      </w:r>
      <w:proofErr w:type="spellEnd"/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comitês específicos, até que</w:t>
      </w:r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venham a</w:t>
      </w:r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aprovados planos de amostra</w:t>
      </w:r>
      <w:r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gem e métodos de análises pelo Ministério da Saúde</w:t>
      </w:r>
      <w:r w:rsidR="002F5501" w:rsidRPr="008D055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F91C64" w:rsidRPr="008D0553" w:rsidRDefault="00F91C64" w:rsidP="00F91C64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F91C64" w:rsidRPr="008D0553" w:rsidSect="00AF37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B5" w:rsidRDefault="00D90EB5" w:rsidP="00D90EB5">
      <w:pPr>
        <w:spacing w:after="0" w:line="240" w:lineRule="auto"/>
      </w:pPr>
      <w:r>
        <w:separator/>
      </w:r>
    </w:p>
  </w:endnote>
  <w:endnote w:type="continuationSeparator" w:id="0">
    <w:p w:rsidR="00D90EB5" w:rsidRDefault="00D90EB5" w:rsidP="00D9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EB5" w:rsidRPr="00B517AC" w:rsidRDefault="00D90EB5" w:rsidP="00D90E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D90EB5" w:rsidRDefault="00D90E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B5" w:rsidRDefault="00D90EB5" w:rsidP="00D90EB5">
      <w:pPr>
        <w:spacing w:after="0" w:line="240" w:lineRule="auto"/>
      </w:pPr>
      <w:r>
        <w:separator/>
      </w:r>
    </w:p>
  </w:footnote>
  <w:footnote w:type="continuationSeparator" w:id="0">
    <w:p w:rsidR="00D90EB5" w:rsidRDefault="00D90EB5" w:rsidP="00D9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EB5" w:rsidRPr="00B517AC" w:rsidRDefault="00D90EB5" w:rsidP="00D90E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28F58DD" wp14:editId="5050C65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0EB5" w:rsidRPr="00B517AC" w:rsidRDefault="00D90EB5" w:rsidP="00D90E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90EB5" w:rsidRPr="00B517AC" w:rsidRDefault="00D90EB5" w:rsidP="00D90E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90EB5" w:rsidRDefault="00D90E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C64"/>
    <w:rsid w:val="000F282E"/>
    <w:rsid w:val="001E708B"/>
    <w:rsid w:val="002F5501"/>
    <w:rsid w:val="004D7833"/>
    <w:rsid w:val="00604D33"/>
    <w:rsid w:val="007441BF"/>
    <w:rsid w:val="00786686"/>
    <w:rsid w:val="008D0553"/>
    <w:rsid w:val="00AF37B0"/>
    <w:rsid w:val="00B30817"/>
    <w:rsid w:val="00D621E1"/>
    <w:rsid w:val="00D90EB5"/>
    <w:rsid w:val="00DE310B"/>
    <w:rsid w:val="00DF556C"/>
    <w:rsid w:val="00EA19C4"/>
    <w:rsid w:val="00F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90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B5"/>
  </w:style>
  <w:style w:type="paragraph" w:styleId="Rodap">
    <w:name w:val="footer"/>
    <w:basedOn w:val="Normal"/>
    <w:link w:val="RodapChar"/>
    <w:uiPriority w:val="99"/>
    <w:unhideWhenUsed/>
    <w:rsid w:val="00D90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B5"/>
  </w:style>
  <w:style w:type="paragraph" w:styleId="Textodebalo">
    <w:name w:val="Balloon Text"/>
    <w:basedOn w:val="Normal"/>
    <w:link w:val="TextodebaloChar"/>
    <w:uiPriority w:val="99"/>
    <w:semiHidden/>
    <w:unhideWhenUsed/>
    <w:rsid w:val="00D9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40159-8BDC-4C67-B525-24B61156E61B}"/>
</file>

<file path=customXml/itemProps2.xml><?xml version="1.0" encoding="utf-8"?>
<ds:datastoreItem xmlns:ds="http://schemas.openxmlformats.org/officeDocument/2006/customXml" ds:itemID="{DB9EBCB0-8A2C-4F73-B811-02C8FFFEF887}"/>
</file>

<file path=customXml/itemProps3.xml><?xml version="1.0" encoding="utf-8"?>
<ds:datastoreItem xmlns:ds="http://schemas.openxmlformats.org/officeDocument/2006/customXml" ds:itemID="{FE73AC71-EB2B-48CD-9740-F8D454677E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2016-08-16T13:57:00Z</cp:lastPrinted>
  <dcterms:created xsi:type="dcterms:W3CDTF">2015-12-28T11:51:00Z</dcterms:created>
  <dcterms:modified xsi:type="dcterms:W3CDTF">2016-08-16T13:57:00Z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