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40" w:rsidRDefault="00B60140" w:rsidP="00B60140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caps/>
          <w:color w:val="000000"/>
          <w:kern w:val="36"/>
          <w:sz w:val="23"/>
          <w:szCs w:val="23"/>
          <w:lang w:eastAsia="pt-BR"/>
        </w:rPr>
      </w:pPr>
      <w:bookmarkStart w:id="0" w:name="_GoBack"/>
      <w:bookmarkEnd w:id="0"/>
      <w:r w:rsidRPr="00B60140">
        <w:rPr>
          <w:rFonts w:ascii="Arial" w:hAnsi="Arial" w:cs="Arial"/>
          <w:b/>
          <w:bCs/>
          <w:caps/>
          <w:color w:val="000000"/>
          <w:kern w:val="36"/>
          <w:sz w:val="23"/>
          <w:szCs w:val="23"/>
          <w:lang w:eastAsia="pt-BR"/>
        </w:rPr>
        <w:t>PORTARIA Nº 40, DE 13 DE JANEIRO DE 1998</w:t>
      </w:r>
    </w:p>
    <w:p w:rsidR="001D41E1" w:rsidRPr="00744978" w:rsidRDefault="001D41E1" w:rsidP="00FA42A9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</w:pPr>
      <w:r w:rsidRPr="00744978"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  <w:t>(</w:t>
      </w:r>
      <w:r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 xml:space="preserve">Publicada no </w:t>
      </w:r>
      <w:r w:rsidR="00441056"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DOU</w:t>
      </w:r>
      <w:r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 xml:space="preserve"> nº 11-</w:t>
      </w:r>
      <w:r w:rsidR="00744978"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E</w:t>
      </w:r>
      <w:r w:rsidR="00FA42A9"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, de 16 de janeiro de 1998</w:t>
      </w:r>
      <w:r w:rsidR="00FA42A9" w:rsidRPr="00744978"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  <w:t>)</w:t>
      </w:r>
    </w:p>
    <w:p w:rsidR="00744978" w:rsidRPr="00744978" w:rsidRDefault="00744978" w:rsidP="00FA42A9">
      <w:pPr>
        <w:spacing w:before="100" w:beforeAutospacing="1" w:after="100" w:afterAutospacing="1"/>
        <w:jc w:val="center"/>
        <w:outlineLvl w:val="0"/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</w:pPr>
      <w:r w:rsidRPr="00744978"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  <w:t>(</w:t>
      </w:r>
      <w:r w:rsidRPr="00744978">
        <w:rPr>
          <w:rFonts w:ascii="Times New Roman" w:hAnsi="Times New Roman" w:cs="Times New Roman"/>
          <w:b/>
          <w:color w:val="0000FF"/>
          <w:sz w:val="24"/>
          <w:szCs w:val="24"/>
          <w:lang w:eastAsia="pt-BR"/>
        </w:rPr>
        <w:t>Revogada pela Resolução – RDC nº 243, de 26 de julho de 2018</w:t>
      </w:r>
      <w:r w:rsidRPr="00744978">
        <w:rPr>
          <w:rFonts w:ascii="Arial" w:hAnsi="Arial" w:cs="Arial"/>
          <w:b/>
          <w:bCs/>
          <w:caps/>
          <w:color w:val="0000FF"/>
          <w:kern w:val="36"/>
          <w:sz w:val="23"/>
          <w:szCs w:val="23"/>
          <w:lang w:eastAsia="pt-BR"/>
        </w:rPr>
        <w:t>)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OBJETIVO: Regulamento que estabelece normas para Níveis de Dosagens Diárias de Vitaminas e Minerais em Medicamentos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ORIGEM: Grupo de Trabalho instituído pela Portaria SVS/MS n° 254, publicada no D.O.U. de 24 de junho de 1997.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Considerando: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a) a necessidade de fixar níveis para a recomendação diária de consumo de vitaminas e minerais cm medicamentos;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b) a necessidade de estabelecer diretrizes claras aos fabricantes para a formulação e recomendação posológica destas substâncias em medicamentos;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c) a necessidade de estabelecer regras bem definidas que permitam diferenciar claramente o que sejam "Medicamentos à Base de Vitaminas e ou Minerais ou suas Associações" (definidos no âmbito da Lei no 6360 de 23 de setembro de 1976, regulamentada pelo Decreto no 79.094 de 5 de janeiro de 1977) dos "Suplementos Vitamínicos e ou Minerais", definidos no âmbito do Decreto-Lei n 5 986 de 21 de outubro de 1969;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d) a necessidade de regulamentar a importação de produtos submetidos ao regime de vigilância sanitária,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e) a Portaria SNVS/MS n° 64, de 28 de dezembro de 1984;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f) que as Resoluções Normativas nºs 2 e 3/78, da Câmara Técnica de Medicamentos, não mais atendem ao</w:t>
      </w:r>
      <w:r w:rsidR="00572653"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 xml:space="preserve"> </w:t>
      </w: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estágio atual do conhecimento;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g) os estudos sobre níveis seguros de vitaminas e minerais realizados pelo Grupo de Trabalho designado pela Portaria nº 254, de 24 de junho de 1997;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h) a necessidade de constante aperfeiçoamento das ações de controle sanitário visando a proteção da qualidade a que deverão obedecer os MEDICAMENTOS À BASE DE VITAMINAS E MINERAIS; resolve: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 xml:space="preserve">Art.1° Definir, sem prejuízo do disposto na Lei nº 6.360, de 23 de setembro de 1976 e no seu regulamento, o Decreto n° 79.094, de 5 de janeiro de 1977, como "Medicamentos à base de vitamina </w:t>
      </w:r>
      <w:r w:rsidR="00572653"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isolada</w:t>
      </w: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, vitaminas associadas entre si, minerais isolados; minerais associados entre si e de associações de vitaminas com minerais", aqueles cujos esquemas posológicos diários situam-se acima dos 100% da Ingestão Diária Recomendada - IDR (estabelecida por legislação específica) de acordo com os níveis definidos nesta Portaria.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Art.2° Consideram-se os medicamentos definidos no artigo anterior, como de "Venda Sem Exigência de Prescrição Médica" quando os níveis diários indicados para quaisquer dos componentes ativos, objeto deste regulamento, situem-se até os limites considerados seguros, constantes da tabela anexa.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 xml:space="preserve">Art.3° Consideram-se os medicamentos definidos no artigo 1°, como de "Venda Com Exigência de Prescrição Médica", quando os níveis diários indicados dos componentes ativos situem-se acima dos limites </w:t>
      </w: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lastRenderedPageBreak/>
        <w:t>considerados seguros por este regulamento, ou sempre que estiverem contidos em formulações para uso injetável.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Art.4° No caso de associações entre as substâncias, objeto desta norma, a presença na formulação de pelo menos um componente nas faixas de dose previstas no artigo 3° deste regulamento, já enquadra o produto nas condições previstas no respectivo artigo.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Art.5° Para melhor informar o consumidor, deve constar na embalagem dos medicamentos nacionais ou importados, objeto desta Portaria, a formulação qualitativa e quantitativa por unidade farmacotécnica e o teor percentual do(s) componente(s) na dose/posologia diária máxima preconizada, expresso claramente em índices percentuais, relativos à IDR.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Art.6° O registro dos produtos referidos neste regulamento está sujeito às exigências gerais para Registro e Rotulagem de Medicamentos, previstos na legislação.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Art.7° Para fins desta Portaria, consideram-se Níveis Seguros de Vitaminas e ou Minerais para as doses diárias indicadas em Medicamentos, aqueles constantes na tabela anexa.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FF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Art.8° As empresas tem o prazo de 180 (cento e oitenta) dias, a contar da data de publicação deste Regulamento, para se adequar ao mesmo.</w:t>
      </w:r>
      <w:r w:rsidR="00744978"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 xml:space="preserve"> </w:t>
      </w:r>
      <w:r w:rsidR="00744978" w:rsidRPr="00744978">
        <w:rPr>
          <w:rFonts w:ascii="Arial" w:hAnsi="Arial" w:cs="Arial"/>
          <w:strike/>
          <w:color w:val="0000FF"/>
          <w:sz w:val="20"/>
          <w:szCs w:val="20"/>
          <w:lang w:eastAsia="pt-BR"/>
        </w:rPr>
        <w:t>(Art 8 revogado pela Portaria PRT/SVS nº 81, de 2 de fevereiro de 1999 e pela Portaria PRT/SVS nº 394, de 29 de abril de 1999)</w:t>
      </w:r>
    </w:p>
    <w:p w:rsidR="00B60140" w:rsidRPr="00744978" w:rsidRDefault="00B60140" w:rsidP="00B60140">
      <w:pPr>
        <w:spacing w:before="100" w:beforeAutospacing="1" w:after="100" w:afterAutospacing="1"/>
        <w:ind w:firstLine="567"/>
        <w:jc w:val="both"/>
        <w:rPr>
          <w:rFonts w:ascii="Arial" w:hAnsi="Arial" w:cs="Arial"/>
          <w:strike/>
          <w:color w:val="000000"/>
          <w:sz w:val="20"/>
          <w:szCs w:val="20"/>
          <w:lang w:eastAsia="pt-BR"/>
        </w:rPr>
      </w:pPr>
      <w:r w:rsidRPr="00744978">
        <w:rPr>
          <w:rFonts w:ascii="Arial" w:hAnsi="Arial" w:cs="Arial"/>
          <w:strike/>
          <w:color w:val="000000"/>
          <w:sz w:val="20"/>
          <w:szCs w:val="20"/>
          <w:lang w:eastAsia="pt-BR"/>
        </w:rPr>
        <w:t>Art. 9° Ficam revogadas as Resoluções Normativas n° 2/78, da Câmara Técnica de Medicamentos, do Conselho Nacional de Saúde, de 6 de novembro de 1978, e n° 3/78 da Câmara Técnica de Medicamentos, do Conselho Nacional de Saúde, de 3 de outubro de 1978 e demais disposições em contrário.</w:t>
      </w:r>
    </w:p>
    <w:p w:rsidR="00B60140" w:rsidRPr="00744978" w:rsidRDefault="00B60140" w:rsidP="00B60140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</w:pPr>
      <w:r w:rsidRPr="00744978"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  <w:t>MARTA NOBREGA MARTINEZ</w:t>
      </w:r>
    </w:p>
    <w:p w:rsidR="00BF0D7E" w:rsidRPr="00744978" w:rsidRDefault="00DB7A56" w:rsidP="00B60140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</w:pPr>
      <w:r w:rsidRPr="00744978"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  <w:t>ANEXO</w:t>
      </w:r>
    </w:p>
    <w:p w:rsidR="00DB7A56" w:rsidRPr="00744978" w:rsidRDefault="00DB7A56" w:rsidP="00B60140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</w:pPr>
      <w:r w:rsidRPr="00744978"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  <w:t>Níveis Máximos de Segurança de Vitaminas e ou Minerais</w:t>
      </w:r>
    </w:p>
    <w:p w:rsidR="00DB7A56" w:rsidRPr="00744978" w:rsidRDefault="00DB7A56" w:rsidP="00B60140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4"/>
        <w:gridCol w:w="3354"/>
        <w:gridCol w:w="3355"/>
      </w:tblGrid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Componentes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Dose Diária para Adultos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Dose Diária para 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A*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10.000 UI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60.          Lactentes 500 UI/kg peso corporal até o limite de 5000 UI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500 UI/kg peso corporal até o limite de 10.000 UI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Beta-caroteno**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25 mg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500 UI/kg peso corporal até o limite de 5000 UI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500 UI/kg até o limite de 10.000 UI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D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800 UI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40 UI/kg peso corp. até o limite de 400 UI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40 UI/kg até o limite de 800 UI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lastRenderedPageBreak/>
              <w:t>Vitamina E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1.200 UI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20 UI/kg peso corporal até o limite de 200 UI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20 UI/kg peso corporal até o limite de 400 UI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C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1.000 mg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25 mg/kg peso corp. até o limite de 300 mg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25 mg/kg até o limite de 1000 mg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B6-Piridoxina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200 mg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mg/kg peso corp. até o limite de 100 mg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B2-Riboflavina</w:t>
            </w:r>
          </w:p>
        </w:tc>
        <w:tc>
          <w:tcPr>
            <w:tcW w:w="3354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200 mg</w:t>
            </w:r>
          </w:p>
        </w:tc>
        <w:tc>
          <w:tcPr>
            <w:tcW w:w="3355" w:type="dxa"/>
          </w:tcPr>
          <w:p w:rsidR="00DB7A56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mg/kg peso corp. até o limite de 100 mg</w:t>
            </w:r>
          </w:p>
          <w:p w:rsidR="00984993" w:rsidRPr="00744978" w:rsidRDefault="0098499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mg/kg peso corporal até o limite de 200 mg</w:t>
            </w:r>
          </w:p>
        </w:tc>
      </w:tr>
      <w:tr w:rsidR="00DB7A56" w:rsidRPr="00744978" w:rsidTr="00DB7A56">
        <w:tc>
          <w:tcPr>
            <w:tcW w:w="3354" w:type="dxa"/>
          </w:tcPr>
          <w:p w:rsidR="00DB7A56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B5 ou PP ou Niacina (sob a forma de Niacinamida, não se recomenda sob a forma ácida).</w:t>
            </w:r>
          </w:p>
        </w:tc>
        <w:tc>
          <w:tcPr>
            <w:tcW w:w="3354" w:type="dxa"/>
          </w:tcPr>
          <w:p w:rsidR="00DB7A56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500 mg</w:t>
            </w:r>
          </w:p>
        </w:tc>
        <w:tc>
          <w:tcPr>
            <w:tcW w:w="3355" w:type="dxa"/>
          </w:tcPr>
          <w:p w:rsidR="00DB7A56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20 mg/kg peso corp. até o limite de 200 mg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.Pediátrico 20 mg/kg peso corporal até o limite de 400 mg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B1 - Tiamina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200 mg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mg/kg peso corp. até o limite de 100 mg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mg/kg até o limite de 200 mg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B12 Cobalaminas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1.000 mcg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50 mcg/kg peso corp. até o limite de 500 mcg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50 mcg/kg até o limite de 1000 mcg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Ácido Fólico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 mg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mcg/kg peso corp. até o limite de 100 mcg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mcg/kg até o limite de 300 mcg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Vitamina K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25 mg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 mg/kg peso corp. até o limite de 10 mg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 mg/kg até o limite de 25 mg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Ácido Pantotênico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1.000 mg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50mg/kg peso corp. até o limite de 500 mg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50 mg/kg até o limite de 1000 mg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Biotina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2,5 mg</w:t>
            </w:r>
          </w:p>
        </w:tc>
        <w:tc>
          <w:tcPr>
            <w:tcW w:w="3355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0,125 mg/kg peso corp. até o limite de 1,25 mg</w:t>
            </w:r>
          </w:p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. Pediátrico 0,125mg/kg até o </w:t>
            </w: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lastRenderedPageBreak/>
              <w:t>limite de 2,5 mg</w:t>
            </w:r>
          </w:p>
        </w:tc>
      </w:tr>
      <w:tr w:rsidR="00480623" w:rsidRPr="00744978" w:rsidTr="00DB7A56"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lastRenderedPageBreak/>
              <w:t>Cálcio</w:t>
            </w:r>
          </w:p>
        </w:tc>
        <w:tc>
          <w:tcPr>
            <w:tcW w:w="3354" w:type="dxa"/>
          </w:tcPr>
          <w:p w:rsidR="00480623" w:rsidRPr="00744978" w:rsidRDefault="0048062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1.500 mg</w:t>
            </w:r>
          </w:p>
        </w:tc>
        <w:tc>
          <w:tcPr>
            <w:tcW w:w="3355" w:type="dxa"/>
          </w:tcPr>
          <w:p w:rsidR="00480623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150 mg/kg peso corporal até o limite 1200 mg</w:t>
            </w:r>
          </w:p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80 mg/kg peso corporal até o limite de 1500 mg</w:t>
            </w:r>
          </w:p>
        </w:tc>
      </w:tr>
      <w:tr w:rsidR="00607D90" w:rsidRPr="00744978" w:rsidTr="00DB7A56">
        <w:tc>
          <w:tcPr>
            <w:tcW w:w="3354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Fósforo</w:t>
            </w:r>
          </w:p>
        </w:tc>
        <w:tc>
          <w:tcPr>
            <w:tcW w:w="3354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1.500 mg</w:t>
            </w:r>
          </w:p>
        </w:tc>
        <w:tc>
          <w:tcPr>
            <w:tcW w:w="3355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150 mg/kg peso corporal até o limite 1200 mg</w:t>
            </w:r>
          </w:p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80 mg/kg peso corporal até o limite de 1500 mg</w:t>
            </w:r>
          </w:p>
        </w:tc>
      </w:tr>
      <w:tr w:rsidR="00607D90" w:rsidRPr="00744978" w:rsidTr="00DB7A56">
        <w:tc>
          <w:tcPr>
            <w:tcW w:w="3354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Magnésio</w:t>
            </w:r>
          </w:p>
        </w:tc>
        <w:tc>
          <w:tcPr>
            <w:tcW w:w="3354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700 mg</w:t>
            </w:r>
          </w:p>
        </w:tc>
        <w:tc>
          <w:tcPr>
            <w:tcW w:w="3355" w:type="dxa"/>
          </w:tcPr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mg/kg peso corporal até o limite 80 mg</w:t>
            </w:r>
          </w:p>
          <w:p w:rsidR="00607D90" w:rsidRPr="00744978" w:rsidRDefault="00607D9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mg/kg peso corporal até o limite de 200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Ferro – Obs.: Produtos contendo Ferro elementar devem obrigatoriamente estar contidos em acondicionamentos com dispositivo de segurança para evitar ingestão indevida.</w:t>
            </w:r>
          </w:p>
        </w:tc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65 mg</w:t>
            </w:r>
          </w:p>
        </w:tc>
        <w:tc>
          <w:tcPr>
            <w:tcW w:w="3355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2,0 mg/kg peso corporal até o limite 15 mg</w:t>
            </w:r>
          </w:p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2,0mg/kg peso corporal até o limite de 50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Fluor</w:t>
            </w:r>
          </w:p>
        </w:tc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4,0 mg – Obs.: Este limite é mantido apenas para respeitar a IDR adotada. No entanto, em função do potencial tóxico, recomenda-se 2,9 mg</w:t>
            </w:r>
          </w:p>
        </w:tc>
        <w:tc>
          <w:tcPr>
            <w:tcW w:w="3355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0,1 mg/kg de peso corporal até o limite 0,5 mg</w:t>
            </w:r>
          </w:p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0,1 mg/kg de peso corporal até o limite de 2,0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Zinco</w:t>
            </w:r>
          </w:p>
        </w:tc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30 mg </w:t>
            </w:r>
          </w:p>
        </w:tc>
        <w:tc>
          <w:tcPr>
            <w:tcW w:w="3355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e Pediátrico 0,5 mg/kg de peso corporal até o limite 10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Cobre</w:t>
            </w:r>
          </w:p>
        </w:tc>
        <w:tc>
          <w:tcPr>
            <w:tcW w:w="3354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9 mg</w:t>
            </w:r>
          </w:p>
        </w:tc>
        <w:tc>
          <w:tcPr>
            <w:tcW w:w="3355" w:type="dxa"/>
          </w:tcPr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0,1 mg/kg de peso corporal até o limite 1 mg</w:t>
            </w:r>
          </w:p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. Pediátrico 0,1 mg/kg de peso corporal até o </w:t>
            </w:r>
          </w:p>
          <w:p w:rsidR="00B6669B" w:rsidRPr="00744978" w:rsidRDefault="00B6669B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limite de 2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190E8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Manganês</w:t>
            </w:r>
          </w:p>
        </w:tc>
        <w:tc>
          <w:tcPr>
            <w:tcW w:w="3354" w:type="dxa"/>
          </w:tcPr>
          <w:p w:rsidR="00B6669B" w:rsidRPr="00744978" w:rsidRDefault="00190E80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10 mg</w:t>
            </w:r>
          </w:p>
        </w:tc>
        <w:tc>
          <w:tcPr>
            <w:tcW w:w="3355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0,1 mg/kg de peso corporal até o limite 150 mcg</w:t>
            </w:r>
          </w:p>
          <w:p w:rsidR="00F43E63" w:rsidRPr="00744978" w:rsidRDefault="00F43E63" w:rsidP="00F43E63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0,1 mg/kg de até o limite de 3 mg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Molibdênio</w:t>
            </w:r>
          </w:p>
        </w:tc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350 mcg</w:t>
            </w:r>
          </w:p>
        </w:tc>
        <w:tc>
          <w:tcPr>
            <w:tcW w:w="3355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15 mcg/kg de peso corporal até o limite 150 mcg</w:t>
            </w:r>
          </w:p>
          <w:p w:rsidR="00F43E63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. Pediátrico 15 mcg/kg de peso corporal até o limite de 300 mcg 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Selênio</w:t>
            </w:r>
          </w:p>
        </w:tc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150 mcg</w:t>
            </w:r>
          </w:p>
        </w:tc>
        <w:tc>
          <w:tcPr>
            <w:tcW w:w="3355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 xml:space="preserve">. Lactentes 5 mcg/kg de peso </w:t>
            </w: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lastRenderedPageBreak/>
              <w:t>corporal até o limite 50 mcg</w:t>
            </w:r>
          </w:p>
          <w:p w:rsidR="00F43E63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5 mcg/kg de peso corporal até o limite de 100 mcg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lastRenderedPageBreak/>
              <w:t>Cromo</w:t>
            </w:r>
          </w:p>
        </w:tc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1.000 mcg</w:t>
            </w:r>
          </w:p>
        </w:tc>
        <w:tc>
          <w:tcPr>
            <w:tcW w:w="3355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mcg/kg de peso corporal até o limite de 100 mcg</w:t>
            </w:r>
          </w:p>
          <w:p w:rsidR="00F43E63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mcg até o limite de 500 mcg</w:t>
            </w:r>
          </w:p>
        </w:tc>
      </w:tr>
      <w:tr w:rsidR="00B6669B" w:rsidRPr="00744978" w:rsidTr="00DB7A56"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Iodo</w:t>
            </w:r>
          </w:p>
        </w:tc>
        <w:tc>
          <w:tcPr>
            <w:tcW w:w="3354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600 mcg</w:t>
            </w:r>
          </w:p>
        </w:tc>
        <w:tc>
          <w:tcPr>
            <w:tcW w:w="3355" w:type="dxa"/>
          </w:tcPr>
          <w:p w:rsidR="00B6669B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Lactentes 10 mcg/kg de peso corporal até o limite de 100 mcg</w:t>
            </w:r>
          </w:p>
          <w:p w:rsidR="00F43E63" w:rsidRPr="00744978" w:rsidRDefault="00F43E63" w:rsidP="00B60140">
            <w:pPr>
              <w:spacing w:before="100" w:beforeAutospacing="1" w:after="100" w:afterAutospacing="1"/>
              <w:jc w:val="center"/>
              <w:outlineLvl w:val="1"/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</w:pPr>
            <w:r w:rsidRPr="00744978">
              <w:rPr>
                <w:rFonts w:ascii="Arial" w:hAnsi="Arial" w:cs="Arial"/>
                <w:b/>
                <w:bCs/>
                <w:strike/>
                <w:color w:val="000000"/>
                <w:sz w:val="21"/>
                <w:szCs w:val="21"/>
                <w:lang w:eastAsia="pt-BR"/>
              </w:rPr>
              <w:t>. Pediátrico 10 mcg/kg de peso corporal até o limite de 300 mcg</w:t>
            </w:r>
          </w:p>
        </w:tc>
      </w:tr>
    </w:tbl>
    <w:p w:rsidR="00DB7A56" w:rsidRPr="00744978" w:rsidRDefault="00DB7A56" w:rsidP="00B60140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trike/>
          <w:color w:val="000000"/>
          <w:sz w:val="21"/>
          <w:szCs w:val="21"/>
          <w:lang w:eastAsia="pt-BR"/>
        </w:rPr>
      </w:pPr>
    </w:p>
    <w:p w:rsidR="003D1C09" w:rsidRPr="00744978" w:rsidRDefault="000A6C5C" w:rsidP="000A6C5C">
      <w:pPr>
        <w:rPr>
          <w:strike/>
        </w:rPr>
      </w:pPr>
      <w:r w:rsidRPr="00744978">
        <w:rPr>
          <w:strike/>
        </w:rPr>
        <w:t>* O total de UI de Vitamina A mencionado pode ser proveniente de Retinol Equivalente e de Betacaroteno em formulações em que estiverem associados.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** Quando se tratar de única fonte de Vitamina A no medicamento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NOTA: Estanho, Boro, Níquel, Silício, Vanádio: a utilidade e validade da inclusão destes componentes em medicamentos não estão claramente estabelecidas. A sua inclusão fica condicionada à apresentação de trabalhos farmacológicos e clínicos que justifiquem sua presença qualitativa e quantitativa.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REFERÊNCIAS: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a) Rapport sur les Limites de Sécurité dans les Consommations Alimentaires des Vitamines et Mipéraux, 1995.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Ministère de l’Économie et des Finances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Ministère du Travail et Affaires sociales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Ministère de IÁgriculture, de la Pêche et de l’Alimentation</w:t>
      </w:r>
    </w:p>
    <w:p w:rsidR="000A6C5C" w:rsidRPr="00744978" w:rsidRDefault="000A6C5C" w:rsidP="000A6C5C">
      <w:pPr>
        <w:rPr>
          <w:strike/>
        </w:rPr>
      </w:pPr>
      <w:r w:rsidRPr="00744978">
        <w:rPr>
          <w:strike/>
        </w:rPr>
        <w:t>b) Vitamin and Mineral Safety, Council for Responsible Nutrition, Washington, 1997.</w:t>
      </w:r>
    </w:p>
    <w:sectPr w:rsidR="000A6C5C" w:rsidRPr="00744978" w:rsidSect="004525E5">
      <w:headerReference w:type="default" r:id="rId7"/>
      <w:footerReference w:type="default" r:id="rId8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EAE" w:rsidRDefault="00D21EAE" w:rsidP="004525E5">
      <w:r>
        <w:separator/>
      </w:r>
    </w:p>
  </w:endnote>
  <w:endnote w:type="continuationSeparator" w:id="0">
    <w:p w:rsidR="00D21EAE" w:rsidRDefault="00D21EAE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EAE" w:rsidRDefault="00D21EAE" w:rsidP="004525E5">
      <w:r>
        <w:separator/>
      </w:r>
    </w:p>
  </w:footnote>
  <w:footnote w:type="continuationSeparator" w:id="0">
    <w:p w:rsidR="00D21EAE" w:rsidRDefault="00D21EAE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D21EAE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D21EAE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7E05"/>
    <w:multiLevelType w:val="hybridMultilevel"/>
    <w:tmpl w:val="3F7CF5EE"/>
    <w:lvl w:ilvl="0" w:tplc="03E6F68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74F9"/>
    <w:multiLevelType w:val="hybridMultilevel"/>
    <w:tmpl w:val="728A86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0C70474"/>
    <w:multiLevelType w:val="hybridMultilevel"/>
    <w:tmpl w:val="2028F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BD104D"/>
    <w:multiLevelType w:val="hybridMultilevel"/>
    <w:tmpl w:val="28D85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2B24DE"/>
    <w:multiLevelType w:val="hybridMultilevel"/>
    <w:tmpl w:val="9FDC4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0A6C5C"/>
    <w:rsid w:val="00186CEC"/>
    <w:rsid w:val="00190E80"/>
    <w:rsid w:val="001A0B70"/>
    <w:rsid w:val="001B29B6"/>
    <w:rsid w:val="001D41E1"/>
    <w:rsid w:val="00370515"/>
    <w:rsid w:val="003D1C09"/>
    <w:rsid w:val="00441056"/>
    <w:rsid w:val="004525E5"/>
    <w:rsid w:val="00480623"/>
    <w:rsid w:val="004A6017"/>
    <w:rsid w:val="00572653"/>
    <w:rsid w:val="0058202B"/>
    <w:rsid w:val="005D3080"/>
    <w:rsid w:val="00607D90"/>
    <w:rsid w:val="00744978"/>
    <w:rsid w:val="007500B5"/>
    <w:rsid w:val="00984993"/>
    <w:rsid w:val="00A341E1"/>
    <w:rsid w:val="00AB26AB"/>
    <w:rsid w:val="00B10FCB"/>
    <w:rsid w:val="00B25FB1"/>
    <w:rsid w:val="00B328B7"/>
    <w:rsid w:val="00B60140"/>
    <w:rsid w:val="00B6669B"/>
    <w:rsid w:val="00B906BB"/>
    <w:rsid w:val="00BF0D7E"/>
    <w:rsid w:val="00BF7696"/>
    <w:rsid w:val="00C24855"/>
    <w:rsid w:val="00C30372"/>
    <w:rsid w:val="00C53EF6"/>
    <w:rsid w:val="00CA7F04"/>
    <w:rsid w:val="00D21EAE"/>
    <w:rsid w:val="00D95796"/>
    <w:rsid w:val="00DB7A56"/>
    <w:rsid w:val="00DE6967"/>
    <w:rsid w:val="00ED3380"/>
    <w:rsid w:val="00F43E63"/>
    <w:rsid w:val="00FA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B7A56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5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1408</Words>
  <Characters>7606</Characters>
  <Application>Microsoft Office Word</Application>
  <DocSecurity>0</DocSecurity>
  <Lines>63</Lines>
  <Paragraphs>17</Paragraphs>
  <ScaleCrop>false</ScaleCrop>
  <Company>ANVISA</Company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Julia de Souza Ferreira</cp:lastModifiedBy>
  <cp:revision>2</cp:revision>
  <cp:lastPrinted>2016-10-27T17:37:00Z</cp:lastPrinted>
  <dcterms:created xsi:type="dcterms:W3CDTF">2018-11-27T16:21:00Z</dcterms:created>
  <dcterms:modified xsi:type="dcterms:W3CDTF">2018-11-27T16:21:00Z</dcterms:modified>
</cp:coreProperties>
</file>