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1E1" w:rsidRPr="0025204D" w:rsidRDefault="00D44CED" w:rsidP="0025204D">
      <w:pPr>
        <w:ind w:left="-284" w:right="-285"/>
        <w:jc w:val="center"/>
        <w:rPr>
          <w:rFonts w:ascii="Times New Roman" w:hAnsi="Times New Roman" w:cs="Times New Roman"/>
          <w:b/>
          <w:sz w:val="23"/>
          <w:szCs w:val="23"/>
        </w:rPr>
      </w:pPr>
      <w:r w:rsidRPr="0025204D">
        <w:rPr>
          <w:rFonts w:ascii="Times New Roman" w:hAnsi="Times New Roman" w:cs="Times New Roman"/>
          <w:b/>
          <w:sz w:val="23"/>
          <w:szCs w:val="23"/>
        </w:rPr>
        <w:t>RESOLUÇÃO</w:t>
      </w:r>
      <w:r w:rsidR="0025204D" w:rsidRPr="0025204D">
        <w:rPr>
          <w:rFonts w:ascii="Times New Roman" w:hAnsi="Times New Roman" w:cs="Times New Roman"/>
          <w:b/>
          <w:sz w:val="23"/>
          <w:szCs w:val="23"/>
        </w:rPr>
        <w:t xml:space="preserve"> DA DIRETORIA COLEGIADA – RDC Nº 9, DE </w:t>
      </w:r>
      <w:r w:rsidRPr="0025204D">
        <w:rPr>
          <w:rFonts w:ascii="Times New Roman" w:hAnsi="Times New Roman" w:cs="Times New Roman"/>
          <w:b/>
          <w:sz w:val="23"/>
          <w:szCs w:val="23"/>
        </w:rPr>
        <w:t>2 DE JANEIRO DE 2001</w:t>
      </w:r>
    </w:p>
    <w:p w:rsidR="00D44CED" w:rsidRPr="0025204D" w:rsidRDefault="00D44CED" w:rsidP="00D44CED">
      <w:pPr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5204D">
        <w:rPr>
          <w:rFonts w:ascii="Times New Roman" w:hAnsi="Times New Roman" w:cs="Times New Roman"/>
          <w:b/>
          <w:color w:val="0000FF"/>
          <w:sz w:val="24"/>
          <w:szCs w:val="24"/>
        </w:rPr>
        <w:t>(Publicada em DOU nº 14-E, de 19 de janeiro de 2001)</w:t>
      </w:r>
    </w:p>
    <w:p w:rsidR="00754B2A" w:rsidRPr="0025204D" w:rsidRDefault="00754B2A" w:rsidP="00D44CED">
      <w:pPr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5204D">
        <w:rPr>
          <w:rFonts w:ascii="Times New Roman" w:hAnsi="Times New Roman" w:cs="Times New Roman"/>
          <w:b/>
          <w:color w:val="0000FF"/>
          <w:sz w:val="24"/>
          <w:szCs w:val="24"/>
        </w:rPr>
        <w:t>(Revogada pela Resolução – RDC nº 71, de 22 de dezembro de 2009)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A </w:t>
      </w:r>
      <w:r w:rsidRPr="0025204D">
        <w:rPr>
          <w:rFonts w:ascii="Times New Roman" w:hAnsi="Times New Roman" w:cs="Times New Roman"/>
          <w:b/>
          <w:strike/>
          <w:sz w:val="24"/>
          <w:szCs w:val="24"/>
        </w:rPr>
        <w:t>Diretoria Colegiada da Agência Nacional de Vigilância Sanitária</w:t>
      </w:r>
      <w:r w:rsidR="0025204D">
        <w:rPr>
          <w:rFonts w:ascii="Times New Roman" w:hAnsi="Times New Roman" w:cs="Times New Roman"/>
          <w:strike/>
          <w:sz w:val="24"/>
          <w:szCs w:val="24"/>
        </w:rPr>
        <w:t>, no uso da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atribuição que lhe confere o art. </w:t>
      </w:r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>11 inciso</w:t>
      </w:r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IV</w:t>
      </w:r>
      <w:r w:rsidR="0025204D">
        <w:rPr>
          <w:rFonts w:ascii="Times New Roman" w:hAnsi="Times New Roman" w:cs="Times New Roman"/>
          <w:strike/>
          <w:sz w:val="24"/>
          <w:szCs w:val="24"/>
        </w:rPr>
        <w:t>,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do Regulamento da ANVISA aprovado pelo Decreto 3.029, de 16 de abril de 1999, c/c § 1° do </w:t>
      </w:r>
      <w:r w:rsidR="0025204D">
        <w:rPr>
          <w:rFonts w:ascii="Times New Roman" w:hAnsi="Times New Roman" w:cs="Times New Roman"/>
          <w:strike/>
          <w:sz w:val="24"/>
          <w:szCs w:val="24"/>
        </w:rPr>
        <w:t>a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rt. 111 do Regimento interno aprovado pela Portaria n° 593, de 25 de agosto de 2000, em reunião realizada em 28 de dezembro de 2000, adotou a seguinte Resolução de Diretoria Colegiada e eu, Diretor-Presidente, determino a sua publicação: 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Art. 1º Aprovar o Regulamento Técnico de Soluções Parenterais de Pequeno Volume. 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Art. 2° Fica concedido o prazo de 180 (cento e oitenta) dias para o cumprimento do Regulamento Técnico, objeto desta Resolução. 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Parágrafo único. Findo o prazo estabelecido no caput deste artigo os estabelecimentos infratores ficarão sujeitos às penalidades previstas na Lei n° 6 437</w:t>
      </w:r>
      <w:r w:rsidR="0025204D">
        <w:rPr>
          <w:rFonts w:ascii="Times New Roman" w:hAnsi="Times New Roman" w:cs="Times New Roman"/>
          <w:strike/>
          <w:sz w:val="24"/>
          <w:szCs w:val="24"/>
        </w:rPr>
        <w:t>,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de 20 de agosto de 1977. 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Art. 3° Os processos de registro que já se encontram tramitando na Agência Nacional de Vigilância Sanitária devem atender às exigências previstas nesta Resolução, a partir de sua publicação. 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Art. 4° Esta Resolução de Diretoria Colegiada entra em vigor na data de sua publicação. </w:t>
      </w:r>
    </w:p>
    <w:p w:rsidR="00DF3F30" w:rsidRPr="0025204D" w:rsidRDefault="00DF3F30" w:rsidP="00705C84">
      <w:pPr>
        <w:spacing w:before="300" w:after="300" w:line="240" w:lineRule="auto"/>
        <w:jc w:val="center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GONZALO VECINA NETO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</w:p>
    <w:p w:rsidR="00DF3F30" w:rsidRPr="0025204D" w:rsidRDefault="00DF3F30" w:rsidP="00705C84">
      <w:pPr>
        <w:spacing w:before="300" w:after="300" w:line="240" w:lineRule="auto"/>
        <w:jc w:val="center"/>
        <w:rPr>
          <w:rFonts w:ascii="Times New Roman" w:hAnsi="Times New Roman" w:cs="Times New Roman"/>
          <w:b/>
          <w:strike/>
          <w:sz w:val="24"/>
          <w:szCs w:val="24"/>
        </w:rPr>
      </w:pPr>
      <w:r w:rsidRPr="0025204D">
        <w:rPr>
          <w:rFonts w:ascii="Times New Roman" w:hAnsi="Times New Roman" w:cs="Times New Roman"/>
          <w:b/>
          <w:strike/>
          <w:sz w:val="24"/>
          <w:szCs w:val="24"/>
        </w:rPr>
        <w:t>ANEXO</w:t>
      </w:r>
    </w:p>
    <w:p w:rsidR="00DF3F30" w:rsidRPr="0025204D" w:rsidRDefault="00DF3F30" w:rsidP="00705C84">
      <w:pPr>
        <w:spacing w:before="300" w:after="300" w:line="240" w:lineRule="auto"/>
        <w:jc w:val="center"/>
        <w:rPr>
          <w:rFonts w:ascii="Times New Roman" w:hAnsi="Times New Roman" w:cs="Times New Roman"/>
          <w:b/>
          <w:strike/>
          <w:sz w:val="24"/>
          <w:szCs w:val="24"/>
        </w:rPr>
      </w:pPr>
      <w:r w:rsidRPr="0025204D">
        <w:rPr>
          <w:rFonts w:ascii="Times New Roman" w:hAnsi="Times New Roman" w:cs="Times New Roman"/>
          <w:b/>
          <w:strike/>
          <w:sz w:val="24"/>
          <w:szCs w:val="24"/>
        </w:rPr>
        <w:t>REGULAMENTO TÉCNICO DE SOLUÇÕES PARENTERAIS DE PEQUENO VOLUME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1. OBJETIVO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Este Regulamento Técnico visa padronizar embalagem e rotulagem das soluções parenterais, acondicionadas em recipientes com capacidade inferior a 100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mL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, objetivando maior segurança na sua utilização. 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lastRenderedPageBreak/>
        <w:t>2. REFERÊNCIAS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2.1. BRASIL. Lei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n.°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5991 de 17 de </w:t>
      </w:r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>Dezembro</w:t>
      </w:r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de 1973. Dispõe sobre o controle sanitário do comércio de drogas, medicamentos, insumos farmacêuticos e correlatos e dá outras providências. Diário Oficial [da República Federativa do Brasil]. Brasília, V.1, p. 013049, 19 de dezembro. 1973. Seção 1,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pt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. 1. 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2.2. BRASIL. Decreto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n.°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74.170, de 10 de junho de 1974. Regulamenta a Lei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n.°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5991, de 17 de dezembro de 1973, que dispõe sobre o controle sanitário do comércio de drogas, medicamentos, insumos farmacêuticos e correlatos e dá outras providências. Diário Oficial [da República Federativa do Brasil]. </w:t>
      </w:r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>Brasília,v.</w:t>
      </w:r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1, n. 110, p. 006630, 11 de jun. de 1974. Seção I,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pt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. 1. 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2.3. BRASIL. Lei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n.°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6360, de 23 de </w:t>
      </w:r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>Setembro</w:t>
      </w:r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de 1976. Dispõe sobre a Vigilância Sanitária a que ficam sujeitos os medicamentos, as drogas, os insumos farmacêuticos e correlatas, cosméticos, saneantes e outros produtos, e dá outras providências. Diário Oficial [da República Federativa do Brasil]. Brasília,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n.°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183, p. -012647. 24 de set. 1976. Seção I pt.1.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2.4. BRASIL. Decreto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n.°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79.094, de 5 de </w:t>
      </w:r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>Janeiro</w:t>
      </w:r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de 1977. Regulamenta a Lei 6360, de 23 de setembro </w:t>
      </w:r>
      <w:r w:rsidR="0025204D">
        <w:rPr>
          <w:rFonts w:ascii="Times New Roman" w:hAnsi="Times New Roman" w:cs="Times New Roman"/>
          <w:strike/>
          <w:sz w:val="24"/>
          <w:szCs w:val="24"/>
        </w:rPr>
        <w:t xml:space="preserve">de 1976, que submete a Sistema </w:t>
      </w:r>
      <w:r w:rsidRPr="0025204D">
        <w:rPr>
          <w:rFonts w:ascii="Times New Roman" w:hAnsi="Times New Roman" w:cs="Times New Roman"/>
          <w:strike/>
          <w:sz w:val="24"/>
          <w:szCs w:val="24"/>
        </w:rPr>
        <w:t>de Vigilância Sanitária, os medicamentos, insumos farmacêuticos, drogas, correlatos, cosméticos, produtos de higiene, saneantes e outros. Diário Oficial [da República Federativa do Brasil]. Brasília, v.1, n.5, p. 011, 7 jan. 1997. Seção I pt.1.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2.5. BRASIL. Decreto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n.°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793 de 5 de abril de 1993. Altera os Decretos 74.710 de 10 de junho de 1974, de 05 de janeiro de 1977, que regulamentam, respectivamente, as Leis 5991 de 17 de janeiro-de 1973, e 6360, de 23 de setembro de 1976, e dá outras providências. Diário Oficial da [República Federativa do Brasil]. Brasília, v.1, n.65, p:004397, 6 de abril. 1993. Seção I pt.1.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2.6. BRASIL. Portaria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n.°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68, de 10 de maio de 1996. Padroniza as ampolas dos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medicamentOs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cloreto de potássio,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gluconato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de cálcio,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aminofilina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, cloreto de sódio de glicose apresentados sob a forma injetável em ampola de 10 ml, em suas diferentes concentrações. Diário Oficial [da República Federativa do Brasil]. Brasília, </w:t>
      </w:r>
      <w:proofErr w:type="spellStart"/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>v,I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>.</w:t>
      </w:r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, n. 92, p. 826. 14 de maio. 1996. Seção 1.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Pt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1. 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2.7. BRASIL. Portaria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n.°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88, de 28 de maio de 1996. Aprova o regulamento técnico metrológico, que com esta baixa, estabelecendo critérios para medição quantitativa a ser utilizada nos produtos previamente medidos sem a presença do consumidor. Diário Oficial [ da República Federativa do Brasil]. Brasília, v. 1. p.9589 a 9590, 31 de maio de 1996. Seção I. Pt.1.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lastRenderedPageBreak/>
        <w:t xml:space="preserve">2.8. BRASIL. Portaria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n.°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344 de 12 de maio de 1998. Aprova o Regulamento Técnico sobre substâncias e medicamentos sujeitos a controle especial. Diário Oficial da [República Federativa do Brasil]. Brasília, v.1, n.21-E, p.1 fev. 1999. Seção I, pt.1.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  <w:lang w:val="en-US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2.9. BRASIL. Portaria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n.°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802, de 08 de outubro de 1998. Institui o sistema de controle e fiscalização em toda a cadeia dos produtos </w:t>
      </w:r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>farmacêuticos .</w:t>
      </w:r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Diário Oficial da [República Federativa do Brasil]. Brasília, v.1, n.24-E, p. 036, 4 de fev. 1999. Seção I, pt.1.</w:t>
      </w:r>
    </w:p>
    <w:p w:rsidR="00DF3F30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  <w:lang w:val="en-US"/>
        </w:rPr>
      </w:pPr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2.10. CANADIAN Standard Association. Standard for user applied drug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>tabels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 in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>anaesthesia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 and critical care; CAN/CSA - Z327 -M91.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  <w:lang w:val="en-US"/>
        </w:rPr>
      </w:pPr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2.11. EUROPEAN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>Commision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>. A guideline on the readability of t</w:t>
      </w:r>
      <w:r w:rsidR="003B30CA"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>he label and package leafl</w:t>
      </w:r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et of medicinal products for human.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  <w:lang w:val="en-US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2.12. Padronização para rótulos de drogas usadas em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anestesiologia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, a e terapia intensiva - NBR 14490. </w:t>
      </w:r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Rio de Janeiro: ABNT,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>abril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. 2000.-8p.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  <w:lang w:val="en-US"/>
        </w:rPr>
      </w:pPr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>2.</w:t>
      </w:r>
      <w:r w:rsidR="003B30CA"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>13. THE AMERICAN Society for Testing and Materials:</w:t>
      </w:r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 Standard specification for labels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>forsmall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 - volume (less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>tham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 100 ml) parenteral drug containers: designation: D4267/83.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  <w:lang w:val="en-US"/>
        </w:rPr>
      </w:pPr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2.14. THE AMERICAN </w:t>
      </w:r>
      <w:r w:rsidR="003B30CA"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>Society for Testing and Material</w:t>
      </w:r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s. Standard specification for user applied drug labels in anesthesiology: designation D4774-93.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  <w:lang w:val="en-US"/>
        </w:rPr>
      </w:pPr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>2.15. THE AMERICAN Society for Testing and Materia</w:t>
      </w:r>
      <w:r w:rsidR="003B30CA"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>l</w:t>
      </w:r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s. Standard specification for identification of vials and ampoules containing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>concentated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 solution drugs to be dilut</w:t>
      </w:r>
      <w:r w:rsidR="003B30CA"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>ed before use, designat</w:t>
      </w:r>
      <w:r w:rsidRPr="0025204D">
        <w:rPr>
          <w:rFonts w:ascii="Times New Roman" w:hAnsi="Times New Roman" w:cs="Times New Roman"/>
          <w:strike/>
          <w:sz w:val="24"/>
          <w:szCs w:val="24"/>
          <w:lang w:val="en-US"/>
        </w:rPr>
        <w:t xml:space="preserve">ion D5022-95.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3.DEFINIÇÕES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Para os efeitos deste Regulamento Técnico, são adotadas as seguintes definições: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3.1. Embalagem Primária: Recipiente que fica em contato direto com o produto.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3.2. Embalagem Secundária: A que protege a embalagem primária para o transporte, armazenamento e distribuição.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3.3. Fármaco: Matéria-prima com atividade terapêutica.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3.4. Indelével: Texto ou impressão que não pode ser apagado ou destruído nas condições normais de uso.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3.5. Legível: Texto nítido, que pode ser lido.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lastRenderedPageBreak/>
        <w:t xml:space="preserve">3.6. Marca: nome dado ao medicamento, que identifique uma série de produtos de um mesmo fabricante ou que os distinga dos produtos de outros.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3.6. Medicamento: Produto farmacêutico, tecnicamente obtido ou elaborado, com finalidade profilática, curativa, paliativa ou para fins diagnóstico.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3.8. Nome genérico: nome do fármaco segundo a DCB - Denominação Comum Brasileira, e, na sua ausência, a DCI - Denominação Comum Internacional,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3.9. Recipiente: É a embalagem primária, representada por ampola, frasco-ampola,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flaconete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, seringa preenchida ou outras formas de apresentação de injetáveis de pequeno volume.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3.10. Rótulo: identificação impressa ou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litogravada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, bem como os dizeres pintados ou grafados a fogo, pressão ou decalco, aplicado diretamente sobre recipientes, vasilhames, invólucros, envoltórios, cartuchos ou qualquer outro protetor de embalagem.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3.11. Seringa Preenchida: seringa descartável, de vidro ou plástico, contendo dose única de</w:t>
      </w:r>
      <w:r w:rsidR="003B30CA" w:rsidRPr="0025204D">
        <w:rPr>
          <w:rFonts w:ascii="Times New Roman" w:hAnsi="Times New Roman" w:cs="Times New Roman"/>
          <w:strike/>
          <w:sz w:val="24"/>
          <w:szCs w:val="24"/>
        </w:rPr>
        <w:t xml:space="preserve"> um medicamento, para uso injetável.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3.</w:t>
      </w:r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>12.Serviços</w:t>
      </w:r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de Saúde: estabelecimentos de saúde destinados a prestar assistência à população na promoção da saúde, na recuperação e na reabilitação de doentes, no âmbito hospitalar, ambulatorial e domiciliar.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3.13. Solução Parenteral de Pequeno Volume (SPPV): Solução estéril e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apirogênica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, acondicionada em recipiente com capacidade inferior a 100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mL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, para administração por via parenteral.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4. ABRANGÊNCIA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4.1. Exclui-se deste Regulamento Técnico as SPPV envasadas em bolsas plásticas, vacinas e hemoderivados,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4.2. Esta Resolução não exime o fabricante de atender as demais exigências técnicas constant</w:t>
      </w:r>
      <w:r w:rsidR="003B30CA" w:rsidRPr="0025204D">
        <w:rPr>
          <w:rFonts w:ascii="Times New Roman" w:hAnsi="Times New Roman" w:cs="Times New Roman"/>
          <w:strike/>
          <w:sz w:val="24"/>
          <w:szCs w:val="24"/>
        </w:rPr>
        <w:t xml:space="preserve">es dos compêndios aceitos pela 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Agência Nacional de Vigilância Sanitária.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5. CONDIÇÕES GERAIS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>5.1 Os</w:t>
      </w:r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medicamentos utilizados em anestesia, terapia intensiva e emergência hospitalar, constantes do Anexo I deste Regulamento Técnico, bem como os utilizados, prioritariamente, em serviços de saúde, constantes do Anexo II, devem ser identificados de modo a garantir a sua utilização com segurança.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lastRenderedPageBreak/>
        <w:t xml:space="preserve">5.2. Visando a perfeita identificação do produto é indispensável que os rótulos apresentem texto claro e letras de tamanho legível, seguindo as diretrizes deste Regulamento Técnico.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5</w:t>
      </w:r>
      <w:r w:rsidR="003B30CA" w:rsidRPr="0025204D">
        <w:rPr>
          <w:rFonts w:ascii="Times New Roman" w:hAnsi="Times New Roman" w:cs="Times New Roman"/>
          <w:strike/>
          <w:sz w:val="24"/>
          <w:szCs w:val="24"/>
        </w:rPr>
        <w:t>.</w:t>
      </w:r>
      <w:r w:rsidRPr="0025204D">
        <w:rPr>
          <w:rFonts w:ascii="Times New Roman" w:hAnsi="Times New Roman" w:cs="Times New Roman"/>
          <w:strike/>
          <w:sz w:val="24"/>
          <w:szCs w:val="24"/>
        </w:rPr>
        <w:t>3</w:t>
      </w:r>
      <w:r w:rsidR="003B30CA" w:rsidRPr="0025204D">
        <w:rPr>
          <w:rFonts w:ascii="Times New Roman" w:hAnsi="Times New Roman" w:cs="Times New Roman"/>
          <w:strike/>
          <w:sz w:val="24"/>
          <w:szCs w:val="24"/>
        </w:rPr>
        <w:t>.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As SPPV não </w:t>
      </w:r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>constantes ,</w:t>
      </w:r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podem ser rotuladas ou possuir texto gravado diretamente no recipiente na cor desejada pelo fabricante, devendo, no entanto, atender as diretrizes deste Regulamento Técnico, constantes nos itens 6.1.1 a 6.1.10 e.7.1 a 7.17.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5.4. As embalagens primárias e secundárias utilizadas nas SPPV, independente de sua natureza e formato, devem garantir qualidade, segurança e estabilidade físico-química e microbiológica aos produtos.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5.5. Situações que não atendam às diretrizes deste Regulamento Técnico, devem ser avaliadas pela Agência Nacional de Vigilância Sanitária - ANVISA, quando do processo de registro do produto e de sua renovação.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 CONDIÇÕES ESPECIFICAS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 Rótulo da embalagem primária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6.1.1 O rótulo da embalagem primária deve ser legíve</w:t>
      </w:r>
      <w:r w:rsidR="003B30CA" w:rsidRPr="0025204D">
        <w:rPr>
          <w:rFonts w:ascii="Times New Roman" w:hAnsi="Times New Roman" w:cs="Times New Roman"/>
          <w:strike/>
          <w:sz w:val="24"/>
          <w:szCs w:val="24"/>
        </w:rPr>
        <w:t>l e indelével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, permitindo a impressão das especificações do medicamento. </w:t>
      </w:r>
    </w:p>
    <w:p w:rsidR="003B30CA" w:rsidRPr="0025204D" w:rsidRDefault="003B30CA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6.1.2. O texto</w:t>
      </w:r>
      <w:r w:rsidR="00DF3F30" w:rsidRPr="0025204D">
        <w:rPr>
          <w:rFonts w:ascii="Times New Roman" w:hAnsi="Times New Roman" w:cs="Times New Roman"/>
          <w:strike/>
          <w:sz w:val="24"/>
          <w:szCs w:val="24"/>
        </w:rPr>
        <w:t xml:space="preserve"> deve </w:t>
      </w:r>
      <w:r w:rsidRPr="0025204D">
        <w:rPr>
          <w:rFonts w:ascii="Times New Roman" w:hAnsi="Times New Roman" w:cs="Times New Roman"/>
          <w:strike/>
          <w:sz w:val="24"/>
          <w:szCs w:val="24"/>
        </w:rPr>
        <w:t>apresentar: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6</w:t>
      </w:r>
      <w:r w:rsidR="003B30CA" w:rsidRPr="0025204D">
        <w:rPr>
          <w:rFonts w:ascii="Times New Roman" w:hAnsi="Times New Roman" w:cs="Times New Roman"/>
          <w:strike/>
          <w:sz w:val="24"/>
          <w:szCs w:val="24"/>
        </w:rPr>
        <w:t>.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1.2.1. Marca;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6.1.2.2. Nome genérico;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6.1.2.3. Concentração do fármaco por unidade de medida</w:t>
      </w:r>
      <w:r w:rsidR="003B30CA" w:rsidRPr="0025204D">
        <w:rPr>
          <w:rFonts w:ascii="Times New Roman" w:hAnsi="Times New Roman" w:cs="Times New Roman"/>
          <w:strike/>
          <w:sz w:val="24"/>
          <w:szCs w:val="24"/>
        </w:rPr>
        <w:t xml:space="preserve">, 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no mínimo, conforme Tabelas deste Regulamento Técnico;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6.1.2.4. Volume total do conteúdo;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6.1.2</w:t>
      </w:r>
      <w:r w:rsidR="003B30CA" w:rsidRPr="0025204D">
        <w:rPr>
          <w:rFonts w:ascii="Times New Roman" w:hAnsi="Times New Roman" w:cs="Times New Roman"/>
          <w:strike/>
          <w:sz w:val="24"/>
          <w:szCs w:val="24"/>
        </w:rPr>
        <w:t>.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5. Via de administração, quando restritiva;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6.1.2.6. Nome do fabricante ou respectiva logomarca;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6.1.2.7. Número do lote de fabricação;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6.1.2.8. Vencimento (mês/ano).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6.1.3. Para o nome de Marca das SPPV pode ser adotado o nome da Empresa ou uma ou</w:t>
      </w:r>
      <w:r w:rsidR="0025204D">
        <w:rPr>
          <w:rFonts w:ascii="Times New Roman" w:hAnsi="Times New Roman" w:cs="Times New Roman"/>
          <w:strike/>
          <w:sz w:val="24"/>
          <w:szCs w:val="24"/>
        </w:rPr>
        <w:t xml:space="preserve">tra marca de Propriedade desta, 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antecedendo ao nome da substância ativa.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lastRenderedPageBreak/>
        <w:t>6.1.4. O nome genérico para os medicamentos com três ou mais princípios ativos pode ser substituído pelo nome do fármaco que justifique a indicação terapêutica, seguido da expressão "</w:t>
      </w:r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+ </w:t>
      </w:r>
      <w:r w:rsidR="0025204D">
        <w:rPr>
          <w:rFonts w:ascii="Times New Roman" w:hAnsi="Times New Roman" w:cs="Times New Roman"/>
          <w:strike/>
          <w:sz w:val="24"/>
          <w:szCs w:val="24"/>
        </w:rPr>
        <w:t xml:space="preserve">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assosciações</w:t>
      </w:r>
      <w:proofErr w:type="spellEnd"/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".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6.1.5. A denominação das SPPV, isentas de fármacos, tais como: solução de cloreto de sódio, água para injeção, solução de glicose e outros, pode adotar a nomenclatura DCB ou DCI, ficando </w:t>
      </w:r>
      <w:r w:rsidR="003B30CA" w:rsidRPr="0025204D">
        <w:rPr>
          <w:rFonts w:ascii="Times New Roman" w:hAnsi="Times New Roman" w:cs="Times New Roman"/>
          <w:strike/>
          <w:sz w:val="24"/>
          <w:szCs w:val="24"/>
        </w:rPr>
        <w:t xml:space="preserve">dispensada do uso de "marca".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6.1.6. Recomenda-se a inclusão do código de barras no rótulo, sempre que for tecnicamente viável.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6.1.7. Os demais itens de rot</w:t>
      </w:r>
      <w:r w:rsidR="003B30CA" w:rsidRPr="0025204D">
        <w:rPr>
          <w:rFonts w:ascii="Times New Roman" w:hAnsi="Times New Roman" w:cs="Times New Roman"/>
          <w:strike/>
          <w:sz w:val="24"/>
          <w:szCs w:val="24"/>
        </w:rPr>
        <w:t>u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lagem, exigidos por legislação específica, devem constar obrigatoriamente na embalagem secundária, conforme item 7 deste Regulamento Técnico. </w:t>
      </w:r>
    </w:p>
    <w:p w:rsidR="003B30CA" w:rsidRPr="0025204D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6.1.8. O rótulo deve apresentar dimensões de</w:t>
      </w:r>
      <w:r w:rsidR="003B30CA" w:rsidRPr="0025204D">
        <w:rPr>
          <w:rFonts w:ascii="Times New Roman" w:hAnsi="Times New Roman" w:cs="Times New Roman"/>
          <w:strike/>
          <w:sz w:val="24"/>
          <w:szCs w:val="24"/>
        </w:rPr>
        <w:t xml:space="preserve"> modo a envolver, no máximo, ¾ 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da área total do corpo do recipiente. </w:t>
      </w:r>
    </w:p>
    <w:p w:rsidR="00DF3F30" w:rsidRDefault="00DF3F30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6.1.9</w:t>
      </w:r>
      <w:r w:rsidR="003B30CA" w:rsidRPr="0025204D">
        <w:rPr>
          <w:rFonts w:ascii="Times New Roman" w:hAnsi="Times New Roman" w:cs="Times New Roman"/>
          <w:strike/>
          <w:sz w:val="24"/>
          <w:szCs w:val="24"/>
        </w:rPr>
        <w:t xml:space="preserve">. </w:t>
      </w:r>
      <w:r w:rsidRPr="0025204D">
        <w:rPr>
          <w:rFonts w:ascii="Times New Roman" w:hAnsi="Times New Roman" w:cs="Times New Roman"/>
          <w:strike/>
          <w:sz w:val="24"/>
          <w:szCs w:val="24"/>
        </w:rPr>
        <w:t>O espaço livre para permitir a visualização do conteúdo do recipiente deve ser no</w:t>
      </w:r>
      <w:r w:rsidR="003B30CA" w:rsidRPr="0025204D">
        <w:rPr>
          <w:rFonts w:ascii="Times New Roman" w:hAnsi="Times New Roman" w:cs="Times New Roman"/>
          <w:strike/>
          <w:sz w:val="24"/>
          <w:szCs w:val="24"/>
        </w:rPr>
        <w:t xml:space="preserve"> sentido longitudinal do mesmo </w:t>
      </w:r>
      <w:r w:rsidRPr="0025204D">
        <w:rPr>
          <w:rFonts w:ascii="Times New Roman" w:hAnsi="Times New Roman" w:cs="Times New Roman"/>
          <w:strike/>
          <w:sz w:val="24"/>
          <w:szCs w:val="24"/>
        </w:rPr>
        <w:t>e</w:t>
      </w:r>
      <w:r w:rsidR="003B30CA" w:rsidRPr="0025204D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25204D">
        <w:rPr>
          <w:rFonts w:ascii="Times New Roman" w:hAnsi="Times New Roman" w:cs="Times New Roman"/>
          <w:strike/>
          <w:sz w:val="24"/>
          <w:szCs w:val="24"/>
        </w:rPr>
        <w:t>ocupar a, maior área possível.</w:t>
      </w:r>
    </w:p>
    <w:p w:rsidR="00DF3F30" w:rsidRPr="0025204D" w:rsidRDefault="0025204D" w:rsidP="00705C84">
      <w:pPr>
        <w:jc w:val="center"/>
        <w:rPr>
          <w:rFonts w:ascii="Times New Roman" w:hAnsi="Times New Roman" w:cs="Times New Roman"/>
          <w:b/>
          <w:strike/>
          <w:color w:val="0000FF"/>
          <w:sz w:val="24"/>
          <w:szCs w:val="24"/>
        </w:rPr>
      </w:pPr>
      <w:r w:rsidRPr="0025204D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040052" wp14:editId="238D244E">
                <wp:simplePos x="0" y="0"/>
                <wp:positionH relativeFrom="column">
                  <wp:posOffset>815340</wp:posOffset>
                </wp:positionH>
                <wp:positionV relativeFrom="paragraph">
                  <wp:posOffset>55880</wp:posOffset>
                </wp:positionV>
                <wp:extent cx="3886200" cy="3905250"/>
                <wp:effectExtent l="0" t="0" r="19050" b="19050"/>
                <wp:wrapNone/>
                <wp:docPr id="14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0" cy="390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9DB3D4" id="Conector reto 14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2pt,4.4pt" to="370.2pt,3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" strokecolor="black [3040]"/>
            </w:pict>
          </mc:Fallback>
        </mc:AlternateContent>
      </w:r>
      <w:r w:rsidR="00ED3FAD" w:rsidRPr="0025204D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E7B40F" wp14:editId="1EF37559">
                <wp:simplePos x="0" y="0"/>
                <wp:positionH relativeFrom="column">
                  <wp:posOffset>843915</wp:posOffset>
                </wp:positionH>
                <wp:positionV relativeFrom="paragraph">
                  <wp:posOffset>17780</wp:posOffset>
                </wp:positionV>
                <wp:extent cx="3552825" cy="3914775"/>
                <wp:effectExtent l="0" t="0" r="28575" b="28575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3914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534DEB" id="Conector reto 15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45pt,1.4pt" to="346.2pt,3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" strokecolor="black [3040]"/>
            </w:pict>
          </mc:Fallback>
        </mc:AlternateContent>
      </w:r>
      <w:r w:rsidR="00DF3F30" w:rsidRPr="0025204D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drawing>
          <wp:inline distT="0" distB="0" distL="0" distR="0" wp14:anchorId="0A9B29AA" wp14:editId="7D9A2437">
            <wp:extent cx="3693631" cy="3898852"/>
            <wp:effectExtent l="0" t="0" r="254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937" t="24782" r="63316" b="15617"/>
                    <a:stretch/>
                  </pic:blipFill>
                  <pic:spPr bwMode="auto">
                    <a:xfrm>
                      <a:off x="0" y="0"/>
                      <a:ext cx="3705734" cy="391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C84" w:rsidRPr="0025204D" w:rsidRDefault="00705C84" w:rsidP="0025204D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b/>
          <w:strike/>
          <w:sz w:val="24"/>
          <w:szCs w:val="24"/>
        </w:rPr>
      </w:pPr>
      <w:r w:rsidRPr="0025204D">
        <w:rPr>
          <w:rFonts w:ascii="Times New Roman" w:hAnsi="Times New Roman" w:cs="Times New Roman"/>
          <w:b/>
          <w:strike/>
          <w:sz w:val="24"/>
          <w:szCs w:val="24"/>
        </w:rPr>
        <w:t xml:space="preserve">Figura 1: Ampola com a representação do rótulo </w:t>
      </w:r>
    </w:p>
    <w:p w:rsidR="00705C84" w:rsidRPr="0025204D" w:rsidRDefault="00705C84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lastRenderedPageBreak/>
        <w:t xml:space="preserve">6.1.10. Os dados impressos no rótulo devem atender os seguintes critérios: </w:t>
      </w:r>
    </w:p>
    <w:p w:rsidR="00705C84" w:rsidRPr="0025204D" w:rsidRDefault="00705C84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6.1.10.1. A altura mínima para os caracteres impressos no rótulo deve ser de 1mm. </w:t>
      </w:r>
    </w:p>
    <w:p w:rsidR="00705C84" w:rsidRPr="0025204D" w:rsidRDefault="00705C84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6.1.10.2. O nome genérico e a concentração do fármaco devem representar, no mínimo, 50% da altura do maior caractere da "marca". </w:t>
      </w:r>
    </w:p>
    <w:p w:rsidR="00705C84" w:rsidRPr="0025204D" w:rsidRDefault="00705C84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6.1.10.3. Na inexistência da marca, o nome genérico deve corresponder ao maior tamanho possível a ser impresso no rótulo. </w:t>
      </w:r>
    </w:p>
    <w:p w:rsidR="00705C84" w:rsidRPr="0025204D" w:rsidRDefault="00705C84" w:rsidP="00705C8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b/>
          <w:strike/>
          <w:color w:val="0000FF"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6.1.11. Os dados impressos no rótulo devem estar dispostos paralelamente ao maior eixo do recipiente, com a margem esquerda do Mulo começando o mais próximo possível da base, e deve permitir a leitura integral do texto quando o recipiente for seguro pela haste ou gargalo.</w:t>
      </w:r>
    </w:p>
    <w:p w:rsidR="00705C84" w:rsidRPr="0025204D" w:rsidRDefault="00ED3FAD" w:rsidP="00705C84">
      <w:pPr>
        <w:jc w:val="center"/>
        <w:rPr>
          <w:rFonts w:ascii="Times New Roman" w:hAnsi="Times New Roman" w:cs="Times New Roman"/>
          <w:b/>
          <w:strike/>
          <w:color w:val="0000FF"/>
          <w:sz w:val="24"/>
          <w:szCs w:val="24"/>
        </w:rPr>
      </w:pPr>
      <w:r w:rsidRPr="0025204D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1186814</wp:posOffset>
                </wp:positionH>
                <wp:positionV relativeFrom="paragraph">
                  <wp:posOffset>52705</wp:posOffset>
                </wp:positionV>
                <wp:extent cx="3038475" cy="561975"/>
                <wp:effectExtent l="0" t="0" r="28575" b="28575"/>
                <wp:wrapNone/>
                <wp:docPr id="13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8475" cy="561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88318D" id="Conector reto 1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45pt,4.15pt" to="332.7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" strokecolor="black [3040]"/>
            </w:pict>
          </mc:Fallback>
        </mc:AlternateContent>
      </w:r>
      <w:r w:rsidRPr="0025204D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1062990</wp:posOffset>
                </wp:positionH>
                <wp:positionV relativeFrom="paragraph">
                  <wp:posOffset>119380</wp:posOffset>
                </wp:positionV>
                <wp:extent cx="3219450" cy="600075"/>
                <wp:effectExtent l="0" t="0" r="19050" b="28575"/>
                <wp:wrapNone/>
                <wp:docPr id="12" name="Conector re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19450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01A3C" id="Conector reto 1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7pt,9.4pt" to="337.2pt,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" strokecolor="black [3040]"/>
            </w:pict>
          </mc:Fallback>
        </mc:AlternateContent>
      </w:r>
      <w:r w:rsidR="00705C84" w:rsidRPr="0025204D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drawing>
          <wp:inline distT="0" distB="0" distL="0" distR="0" wp14:anchorId="1D6C3A6F" wp14:editId="5C0A6FE4">
            <wp:extent cx="3269195" cy="720000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644" t="63052" r="64726" b="25342"/>
                    <a:stretch/>
                  </pic:blipFill>
                  <pic:spPr bwMode="auto">
                    <a:xfrm>
                      <a:off x="0" y="0"/>
                      <a:ext cx="3269195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C84" w:rsidRPr="0025204D" w:rsidRDefault="00705C84" w:rsidP="00DD7699">
      <w:pPr>
        <w:spacing w:before="300" w:after="300" w:line="240" w:lineRule="auto"/>
        <w:jc w:val="both"/>
        <w:rPr>
          <w:rFonts w:ascii="Times New Roman" w:hAnsi="Times New Roman" w:cs="Times New Roman"/>
          <w:b/>
          <w:strike/>
          <w:sz w:val="24"/>
          <w:szCs w:val="24"/>
        </w:rPr>
      </w:pPr>
      <w:r w:rsidRPr="0025204D">
        <w:rPr>
          <w:rFonts w:ascii="Times New Roman" w:hAnsi="Times New Roman" w:cs="Times New Roman"/>
          <w:b/>
          <w:strike/>
          <w:sz w:val="24"/>
          <w:szCs w:val="24"/>
        </w:rPr>
        <w:t xml:space="preserve">Figura 2: Impresso para elo ao maior eixo do recipiente. </w:t>
      </w:r>
    </w:p>
    <w:p w:rsidR="00705C84" w:rsidRPr="0025204D" w:rsidRDefault="00705C84" w:rsidP="00DD7699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6.1.12. Quando a marca, nome genérico, concentração e volume total</w:t>
      </w:r>
      <w:r w:rsidR="00DD7699" w:rsidRPr="0025204D">
        <w:rPr>
          <w:rFonts w:ascii="Times New Roman" w:hAnsi="Times New Roman" w:cs="Times New Roman"/>
          <w:strike/>
          <w:sz w:val="24"/>
          <w:szCs w:val="24"/>
        </w:rPr>
        <w:t xml:space="preserve"> puderem ser impressos dentro d</w:t>
      </w:r>
      <w:r w:rsidRPr="0025204D">
        <w:rPr>
          <w:rFonts w:ascii="Times New Roman" w:hAnsi="Times New Roman" w:cs="Times New Roman"/>
          <w:strike/>
          <w:sz w:val="24"/>
          <w:szCs w:val="24"/>
        </w:rPr>
        <w:t>e 180</w:t>
      </w:r>
      <w:r w:rsidR="00DD7699" w:rsidRPr="0025204D">
        <w:rPr>
          <w:rFonts w:ascii="Times New Roman" w:hAnsi="Times New Roman" w:cs="Times New Roman"/>
          <w:strike/>
          <w:sz w:val="24"/>
          <w:szCs w:val="24"/>
        </w:rPr>
        <w:t>°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da circunferência do recipiente, a impressão pode ser feita de forma perpendicular ao seu maior eixo.</w:t>
      </w:r>
    </w:p>
    <w:p w:rsidR="00DD7699" w:rsidRPr="0025204D" w:rsidRDefault="00ED3FAD" w:rsidP="00DD7699">
      <w:pPr>
        <w:jc w:val="center"/>
        <w:rPr>
          <w:rFonts w:ascii="Times New Roman" w:hAnsi="Times New Roman" w:cs="Times New Roman"/>
          <w:b/>
          <w:strike/>
          <w:color w:val="0000FF"/>
          <w:sz w:val="24"/>
          <w:szCs w:val="24"/>
        </w:rPr>
      </w:pPr>
      <w:r w:rsidRPr="0025204D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1062989</wp:posOffset>
                </wp:positionH>
                <wp:positionV relativeFrom="paragraph">
                  <wp:posOffset>109219</wp:posOffset>
                </wp:positionV>
                <wp:extent cx="3267075" cy="2314575"/>
                <wp:effectExtent l="0" t="0" r="28575" b="28575"/>
                <wp:wrapNone/>
                <wp:docPr id="11" name="Conector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7075" cy="2314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8F4AF9" id="Conector reto 11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7pt,8.6pt" to="340.95pt,19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" strokecolor="black [3040]"/>
            </w:pict>
          </mc:Fallback>
        </mc:AlternateContent>
      </w:r>
      <w:r w:rsidRPr="0025204D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986789</wp:posOffset>
                </wp:positionH>
                <wp:positionV relativeFrom="paragraph">
                  <wp:posOffset>109220</wp:posOffset>
                </wp:positionV>
                <wp:extent cx="3343275" cy="2314575"/>
                <wp:effectExtent l="0" t="0" r="28575" b="28575"/>
                <wp:wrapNone/>
                <wp:docPr id="10" name="Conector re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3275" cy="2314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FB12B" id="Conector reto 10" o:spid="_x0000_s1026" style="position:absolute;flip:y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7pt,8.6pt" to="340.95pt,19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" strokecolor="black [3040]"/>
            </w:pict>
          </mc:Fallback>
        </mc:AlternateContent>
      </w:r>
      <w:r w:rsidR="00705C84" w:rsidRPr="0025204D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drawing>
          <wp:inline distT="0" distB="0" distL="0" distR="0" wp14:anchorId="1773672E" wp14:editId="414A1206">
            <wp:extent cx="3531834" cy="2520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703" t="37330" r="63669" b="21263"/>
                    <a:stretch/>
                  </pic:blipFill>
                  <pic:spPr bwMode="auto">
                    <a:xfrm>
                      <a:off x="0" y="0"/>
                      <a:ext cx="3531834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699" w:rsidRPr="0025204D" w:rsidRDefault="00DD7699" w:rsidP="00DD7699">
      <w:pPr>
        <w:spacing w:before="300" w:after="300" w:line="240" w:lineRule="auto"/>
        <w:jc w:val="both"/>
        <w:rPr>
          <w:rFonts w:ascii="Times New Roman" w:hAnsi="Times New Roman" w:cs="Times New Roman"/>
          <w:b/>
          <w:strike/>
          <w:color w:val="0000FF"/>
          <w:sz w:val="24"/>
          <w:szCs w:val="24"/>
        </w:rPr>
      </w:pPr>
      <w:r w:rsidRPr="0025204D">
        <w:rPr>
          <w:rFonts w:ascii="Times New Roman" w:hAnsi="Times New Roman" w:cs="Times New Roman"/>
          <w:b/>
          <w:strike/>
          <w:sz w:val="24"/>
          <w:szCs w:val="24"/>
        </w:rPr>
        <w:t xml:space="preserve">Figura 3: Impresso paralelo e perpendicular ao maior eixo do recipiente. </w:t>
      </w:r>
    </w:p>
    <w:p w:rsidR="00DD7699" w:rsidRPr="0025204D" w:rsidRDefault="00DD7699" w:rsidP="00DD7699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lastRenderedPageBreak/>
        <w:t>6.1.13. Para seringas preenchidas, o texto deve ser orientado no sentido "agulha - êmbolo'' e de forma a não comprometer a visualização da sua graduação.</w:t>
      </w:r>
    </w:p>
    <w:p w:rsidR="00DD7699" w:rsidRPr="0025204D" w:rsidRDefault="00ED3FAD" w:rsidP="00DD7699">
      <w:pPr>
        <w:jc w:val="center"/>
        <w:rPr>
          <w:rFonts w:ascii="Times New Roman" w:hAnsi="Times New Roman" w:cs="Times New Roman"/>
          <w:b/>
          <w:strike/>
          <w:color w:val="0000FF"/>
          <w:sz w:val="24"/>
          <w:szCs w:val="24"/>
        </w:rPr>
      </w:pPr>
      <w:r w:rsidRPr="0025204D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767714</wp:posOffset>
                </wp:positionH>
                <wp:positionV relativeFrom="paragraph">
                  <wp:posOffset>144145</wp:posOffset>
                </wp:positionV>
                <wp:extent cx="4048125" cy="476250"/>
                <wp:effectExtent l="0" t="0" r="28575" b="19050"/>
                <wp:wrapNone/>
                <wp:docPr id="9" name="Conector re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8125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2D65EE" id="Conector reto 9" o:spid="_x0000_s1026" style="position:absolute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45pt,11.35pt" to="379.2pt,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" strokecolor="black [3040]"/>
            </w:pict>
          </mc:Fallback>
        </mc:AlternateContent>
      </w:r>
      <w:r w:rsidRPr="0025204D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681990</wp:posOffset>
                </wp:positionH>
                <wp:positionV relativeFrom="paragraph">
                  <wp:posOffset>96520</wp:posOffset>
                </wp:positionV>
                <wp:extent cx="4133850" cy="523875"/>
                <wp:effectExtent l="0" t="0" r="19050" b="28575"/>
                <wp:wrapNone/>
                <wp:docPr id="8" name="Conector re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33850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A3C5C" id="Conector reto 8" o:spid="_x0000_s1026" style="position:absolute;flip:y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7pt,7.6pt" to="379.2pt,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" strokecolor="black [3040]"/>
            </w:pict>
          </mc:Fallback>
        </mc:AlternateContent>
      </w:r>
      <w:r w:rsidR="00DD7699" w:rsidRPr="0025204D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drawing>
          <wp:inline distT="0" distB="0" distL="0" distR="0" wp14:anchorId="51A24081" wp14:editId="589163E9">
            <wp:extent cx="4227099" cy="720000"/>
            <wp:effectExtent l="0" t="0" r="254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351" t="46113" r="64550" b="44163"/>
                    <a:stretch/>
                  </pic:blipFill>
                  <pic:spPr bwMode="auto">
                    <a:xfrm>
                      <a:off x="0" y="0"/>
                      <a:ext cx="4227099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699" w:rsidRPr="0025204D" w:rsidRDefault="00DD7699" w:rsidP="00DD7699">
      <w:pPr>
        <w:spacing w:before="300" w:after="300" w:line="240" w:lineRule="auto"/>
        <w:jc w:val="both"/>
        <w:rPr>
          <w:rFonts w:ascii="Times New Roman" w:hAnsi="Times New Roman" w:cs="Times New Roman"/>
          <w:b/>
          <w:strike/>
          <w:sz w:val="24"/>
          <w:szCs w:val="24"/>
        </w:rPr>
      </w:pPr>
      <w:r w:rsidRPr="0025204D">
        <w:rPr>
          <w:rFonts w:ascii="Times New Roman" w:hAnsi="Times New Roman" w:cs="Times New Roman"/>
          <w:b/>
          <w:strike/>
          <w:sz w:val="24"/>
          <w:szCs w:val="24"/>
        </w:rPr>
        <w:t>Figura 4: Impresso começando no bico da seringa.</w:t>
      </w:r>
    </w:p>
    <w:p w:rsidR="00DD7699" w:rsidRPr="0025204D" w:rsidRDefault="00DD7699" w:rsidP="00DD7699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6.1.14. O nome genérico dos medicamentos, constantes do Anexo I deste Regulamento Técnico, devem ser impressos na cor preta sobre faixa da cor indicada, no mesmo Anexo, para a respectiva família. Os demais caracteres podem ser impressos na cor de opção do fabricante, desde que sobre fundo opaco e contrastante, de modo a garantir perfeita legibilidade. </w:t>
      </w:r>
    </w:p>
    <w:p w:rsidR="00DD7699" w:rsidRPr="0025204D" w:rsidRDefault="00DD7699" w:rsidP="00DD7699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6.1.15. O nome genérico dos medicamentos, constantes do Anexo II deste Regulamento Técnico, deve ser impresso na cor para ele estabelecida.</w:t>
      </w:r>
    </w:p>
    <w:p w:rsidR="00DD7699" w:rsidRPr="0025204D" w:rsidRDefault="00DD7699" w:rsidP="00DD7699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6.1.16. Os medicamentos constantes do Anexo II podem ter os rótulos gravados diretamente no recipiente ou impressos em etiquetas adesivas. Quando a opção for por recipientes plásticos gravados, os requisitos de legibilidade do rótulo e segurança do produto devem ser garantidos pelo fabricante. </w:t>
      </w:r>
    </w:p>
    <w:p w:rsidR="00DD7699" w:rsidRPr="0025204D" w:rsidRDefault="0025204D" w:rsidP="00DD7699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6.1.17. É</w:t>
      </w:r>
      <w:r w:rsidR="00DD7699" w:rsidRPr="0025204D">
        <w:rPr>
          <w:rFonts w:ascii="Times New Roman" w:hAnsi="Times New Roman" w:cs="Times New Roman"/>
          <w:strike/>
          <w:sz w:val="24"/>
          <w:szCs w:val="24"/>
        </w:rPr>
        <w:t xml:space="preserve"> recomendável que as ampolas de vidro dos me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dicamentos constantes do Anexo </w:t>
      </w:r>
      <w:r w:rsidR="00DD7699" w:rsidRPr="0025204D">
        <w:rPr>
          <w:rFonts w:ascii="Times New Roman" w:hAnsi="Times New Roman" w:cs="Times New Roman"/>
          <w:strike/>
          <w:sz w:val="24"/>
          <w:szCs w:val="24"/>
        </w:rPr>
        <w:t>I sejam identificadas por 2 anéis coloridos, impressos na hast</w:t>
      </w:r>
      <w:r w:rsidRPr="0025204D">
        <w:rPr>
          <w:rFonts w:ascii="Times New Roman" w:hAnsi="Times New Roman" w:cs="Times New Roman"/>
          <w:strike/>
          <w:sz w:val="24"/>
          <w:szCs w:val="24"/>
        </w:rPr>
        <w:t>e, com largura mínima de 0,6 mm</w:t>
      </w:r>
      <w:r w:rsidR="00DD7699" w:rsidRPr="0025204D">
        <w:rPr>
          <w:rFonts w:ascii="Times New Roman" w:hAnsi="Times New Roman" w:cs="Times New Roman"/>
          <w:strike/>
          <w:sz w:val="24"/>
          <w:szCs w:val="24"/>
        </w:rPr>
        <w:t xml:space="preserve">. </w:t>
      </w:r>
    </w:p>
    <w:p w:rsidR="00DD7699" w:rsidRPr="0025204D" w:rsidRDefault="00DD7699" w:rsidP="00DD7699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6.1.17.1. Quando se tratar de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monofármaco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, os dois anéis devem ser da mesma cor indicada para a família; </w:t>
      </w:r>
    </w:p>
    <w:p w:rsidR="00DD7699" w:rsidRPr="0025204D" w:rsidRDefault="00DD7699" w:rsidP="00DD7699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6.1.17.2. Quando se tratar de associação (no máximo de dois fármacos), cada anel deve corresponder a cor indicada para a respectiva família; </w:t>
      </w:r>
    </w:p>
    <w:p w:rsidR="00DD7699" w:rsidRPr="0025204D" w:rsidRDefault="00DD7699" w:rsidP="00DD7699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6.1.17.3. No caso </w:t>
      </w:r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>do</w:t>
      </w:r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fármaco ser um antagonista, um dos anéis deve ser branco e o outro da cor indicada para a família do fármaco a ser antagonizado; </w:t>
      </w:r>
    </w:p>
    <w:p w:rsidR="00DD7699" w:rsidRPr="0025204D" w:rsidRDefault="00DD7699" w:rsidP="00DD7699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6.1.18. Os medicamentos, com concentrações diferentes, contemplados no Anexo II, devem apresentar o anel de ruptura ou ponto de ruptura da haste com as cores indicadas no respectivo Anexo. </w:t>
      </w:r>
    </w:p>
    <w:p w:rsidR="00DD7699" w:rsidRPr="0025204D" w:rsidRDefault="00DD7699" w:rsidP="00DD7699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6.1.18.1. Para os medicamentos do Anexo I é recomendável o atendimento ao explicitado no item 6.1.15. </w:t>
      </w:r>
    </w:p>
    <w:p w:rsidR="00DD7699" w:rsidRPr="0025204D" w:rsidRDefault="00DD7699" w:rsidP="00DD7699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lastRenderedPageBreak/>
        <w:t xml:space="preserve">6.1.18.2. Para novas concentrações que venham a ser desenvolvidas, os fabricantes podem propor critérios de identificação por cores, que serão analisados pela Agencia Nacional de Vigilância Sanitária por ocasião do registro das mesmas e, posteriormente, regulamentados. </w:t>
      </w:r>
    </w:p>
    <w:p w:rsidR="00DD7699" w:rsidRPr="0025204D" w:rsidRDefault="00DD7699" w:rsidP="00DD7699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6.1.19. As combinações de cores estabelecidas neste Regulamento Técnico são para uso exclusivos dos medicamentos constantes do Anexo I.</w:t>
      </w:r>
    </w:p>
    <w:p w:rsidR="00DD7699" w:rsidRPr="0025204D" w:rsidRDefault="00ED3FAD" w:rsidP="00DD7699">
      <w:pPr>
        <w:jc w:val="center"/>
        <w:rPr>
          <w:rFonts w:ascii="Times New Roman" w:hAnsi="Times New Roman" w:cs="Times New Roman"/>
          <w:b/>
          <w:strike/>
          <w:color w:val="0000FF"/>
          <w:sz w:val="24"/>
          <w:szCs w:val="24"/>
        </w:rPr>
      </w:pPr>
      <w:r w:rsidRPr="0025204D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-1270</wp:posOffset>
                </wp:positionV>
                <wp:extent cx="2895600" cy="638175"/>
                <wp:effectExtent l="0" t="0" r="19050" b="28575"/>
                <wp:wrapNone/>
                <wp:docPr id="7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AC518" id="Conector reto 7" o:spid="_x0000_s1026" style="position:absolute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pt,-.1pt" to="326.7pt,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" strokecolor="black [3040]"/>
            </w:pict>
          </mc:Fallback>
        </mc:AlternateContent>
      </w:r>
      <w:r w:rsidRPr="0025204D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1367790</wp:posOffset>
                </wp:positionH>
                <wp:positionV relativeFrom="paragraph">
                  <wp:posOffset>84455</wp:posOffset>
                </wp:positionV>
                <wp:extent cx="2686050" cy="638175"/>
                <wp:effectExtent l="0" t="0" r="19050" b="28575"/>
                <wp:wrapNone/>
                <wp:docPr id="3" name="Conector re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86050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021D82" id="Conector reto 3" o:spid="_x0000_s1026" style="position:absolute;flip:y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7pt,6.65pt" to="319.2pt,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" strokecolor="black [3040]"/>
            </w:pict>
          </mc:Fallback>
        </mc:AlternateContent>
      </w:r>
      <w:r w:rsidR="00DD7699" w:rsidRPr="0025204D">
        <w:rPr>
          <w:rFonts w:ascii="Times New Roman" w:hAnsi="Times New Roman" w:cs="Times New Roman"/>
          <w:strike/>
          <w:noProof/>
          <w:sz w:val="24"/>
          <w:szCs w:val="24"/>
          <w:lang w:eastAsia="pt-BR"/>
        </w:rPr>
        <w:drawing>
          <wp:inline distT="0" distB="0" distL="0" distR="0" wp14:anchorId="5CB2D3AF" wp14:editId="536FCBF2">
            <wp:extent cx="2896743" cy="720000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0566" t="64307" r="28923" b="22204"/>
                    <a:stretch/>
                  </pic:blipFill>
                  <pic:spPr bwMode="auto">
                    <a:xfrm>
                      <a:off x="0" y="0"/>
                      <a:ext cx="2896743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699" w:rsidRPr="0025204D" w:rsidRDefault="00DD7699" w:rsidP="0098498B">
      <w:pPr>
        <w:spacing w:before="300" w:after="300" w:line="240" w:lineRule="auto"/>
        <w:jc w:val="both"/>
        <w:rPr>
          <w:rFonts w:ascii="Times New Roman" w:hAnsi="Times New Roman" w:cs="Times New Roman"/>
          <w:b/>
          <w:strike/>
          <w:sz w:val="24"/>
          <w:szCs w:val="24"/>
        </w:rPr>
      </w:pPr>
      <w:r w:rsidRPr="0025204D">
        <w:rPr>
          <w:rFonts w:ascii="Times New Roman" w:hAnsi="Times New Roman" w:cs="Times New Roman"/>
          <w:b/>
          <w:strike/>
          <w:sz w:val="24"/>
          <w:szCs w:val="24"/>
        </w:rPr>
        <w:t>Figura 5: Anéis de identificação da ampola.</w:t>
      </w:r>
    </w:p>
    <w:p w:rsidR="00DD7699" w:rsidRPr="0025204D" w:rsidRDefault="00DD7699" w:rsidP="0098498B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6.1.20. Os demais recipientes que não permitam a identificação por anéis (recipientes de plástico e frasco-ampola), devem ser diferenciados pelos critérios de cor de rótulo e impressão, definidos neste Regulamento e colocação de tarja com largura mínima de 3mm, na parte superior do rótulo, com a cor correspondente a do anel de ruptura, conforme Tabela II do Anexo II.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6.1.21. Novos fármacos que venham a ser desenvolvidos, cuja atividade terapêutica se enquadre nas famílias do Anexo </w:t>
      </w:r>
      <w:r w:rsidR="004B452B">
        <w:rPr>
          <w:rFonts w:ascii="Times New Roman" w:hAnsi="Times New Roman" w:cs="Times New Roman"/>
          <w:strike/>
          <w:sz w:val="24"/>
          <w:szCs w:val="24"/>
        </w:rPr>
        <w:t>I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deste Regulamento Técnico, devem seguir as diretrizes estabelecidas para as mesmas, quanto a sua identificação.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 Rótulo da Embalagem Secundária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7.1.</w:t>
      </w:r>
      <w:r w:rsidR="004B452B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O</w:t>
      </w: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texto deve atender às legislações vigentes e, no mínimo, apresentar: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7.1.</w:t>
      </w:r>
      <w:proofErr w:type="gram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1.Marca</w:t>
      </w:r>
      <w:proofErr w:type="gram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;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7.1.2. Nome genérico;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7.1.3. Concentração do fármaco por unidade de medida;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7.1.4. "Venda sob prescrição médica", sobre faixa vermelha;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7.1.5. Cuidados de conservação;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7.1.6. Número de unidades farmacotécnicas/Peso/Volume;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7.1.10. Número do registro do produto na ANVISA;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lastRenderedPageBreak/>
        <w:t>7.1.8. Nome do responsável técnico, número da inscrição e a sigla da respectiva autarquia profissional;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7.1.9. Nome e endereço completo do titular do registro;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7.1.10. Quando se tratar de medicamento importado, deve constar o nome do fabricante no país de origem do produto e do titular do registro no Brasil;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7.1.11. CNPJ do titular do registro;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7.1.12. Indústria Brasileira (para produtores nacionais);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7.1.13. Número do lote/data de fabricação/data de vencimento;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7.1.14. Código de barras;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7.1.15. Número do serviço de atendimento ao consumidor;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7.1.16. Frases obrigatórias, quando for o caso.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7.2. Nos produtos acondicionados em embalagem hospitalar, constante do Anexo II, os dizeres de bula podem facultativamente constar no rótulo da embalagem secundária, conforme estabelecido pelos artigos 94 e 95 do Decreto n ° 79.094/77.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7.3. A rotulagem da embalagem secundária deve, ainda, atender aos requisitos estabelecidos nos itens de 6.1.3. </w:t>
      </w:r>
      <w:proofErr w:type="gram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a</w:t>
      </w:r>
      <w:proofErr w:type="gram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6.1.5. </w:t>
      </w:r>
      <w:proofErr w:type="gram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das</w:t>
      </w:r>
      <w:proofErr w:type="gram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Condições Específicas deste Regulamento Técnico.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7.índice de Anexos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Anexo I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Codificação de cores por famílias de fármacos utilizadas em An</w:t>
      </w:r>
      <w:r w:rsidR="00C76678"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estesia, Terapia Intensiva e em </w:t>
      </w: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Emergência Hospitalar.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Anexo II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Padronização das cores de gravação dos dizeres, dos anéis da haste e de ruptura das ampolas </w:t>
      </w:r>
      <w:r w:rsidR="00C76678"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dos </w:t>
      </w: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medicamentos: Cloreto de Potássio,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Gluconato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de Cálcio,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Aminofilina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, Cloreto de Sódio, Glicose,</w:t>
      </w:r>
      <w:r w:rsidR="00C76678"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</w:t>
      </w: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Bicarbonato de Sódio, Sulfato de Magnésio, Fosfato de Potássio e Água para Injetáveis.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Anexo III</w:t>
      </w:r>
    </w:p>
    <w:p w:rsidR="00E82F88" w:rsidRPr="0025204D" w:rsidRDefault="00E82F88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Recipientes para SPPV.</w:t>
      </w:r>
    </w:p>
    <w:p w:rsidR="00C76678" w:rsidRPr="004B452B" w:rsidRDefault="00C76678" w:rsidP="0098498B">
      <w:pPr>
        <w:spacing w:before="300" w:after="300" w:line="240" w:lineRule="auto"/>
        <w:jc w:val="center"/>
        <w:rPr>
          <w:rFonts w:ascii="Times New Roman" w:hAnsi="Times New Roman" w:cs="Times New Roman"/>
          <w:b/>
          <w:strike/>
          <w:sz w:val="24"/>
          <w:szCs w:val="24"/>
        </w:rPr>
      </w:pPr>
      <w:r w:rsidRPr="004B452B">
        <w:rPr>
          <w:rFonts w:ascii="Times New Roman" w:hAnsi="Times New Roman" w:cs="Times New Roman"/>
          <w:b/>
          <w:strike/>
          <w:sz w:val="24"/>
          <w:szCs w:val="24"/>
        </w:rPr>
        <w:lastRenderedPageBreak/>
        <w:t>ANEXO I</w:t>
      </w:r>
    </w:p>
    <w:p w:rsidR="00C76678" w:rsidRPr="0025204D" w:rsidRDefault="00C76678" w:rsidP="0098498B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Este Anexo apresenta as famílias de fármacos utilizados em Anestesia, Terapia Intensiva e em Emergência Hospitalar e define a padronização das cores, atendendo às diretrizes deste Regulamento Técnico. </w:t>
      </w:r>
    </w:p>
    <w:p w:rsidR="00C76678" w:rsidRPr="0025204D" w:rsidRDefault="00C76678" w:rsidP="0098498B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Código de Cores (Sistema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Pantone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>) por família de Fármacos</w:t>
      </w:r>
    </w:p>
    <w:p w:rsidR="00C76678" w:rsidRPr="0025204D" w:rsidRDefault="00C76678" w:rsidP="0098498B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1. AGENTES INDUTORES </w:t>
      </w:r>
    </w:p>
    <w:p w:rsidR="00C76678" w:rsidRPr="0025204D" w:rsidRDefault="00C76678" w:rsidP="0098498B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Cor da faixa: Amarela 109 </w:t>
      </w:r>
    </w:p>
    <w:p w:rsidR="00C76678" w:rsidRPr="0025204D" w:rsidRDefault="00C76678" w:rsidP="0098498B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Cor da impressão na faixa: Preta Processo Black C </w:t>
      </w:r>
    </w:p>
    <w:p w:rsidR="00C76678" w:rsidRPr="0025204D" w:rsidRDefault="00C76678" w:rsidP="0098498B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Fármacos: </w:t>
      </w:r>
    </w:p>
    <w:p w:rsidR="00C76678" w:rsidRPr="0025204D" w:rsidRDefault="00C76678" w:rsidP="0098498B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1.1. Tiopental</w:t>
      </w:r>
    </w:p>
    <w:p w:rsidR="00C76678" w:rsidRPr="0025204D" w:rsidRDefault="00C76678" w:rsidP="0098498B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1.2. Tiamilal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1.3.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Metoexital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1.4.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Cetamina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(Cloreto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1.5.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Etomidato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1.6.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Propofol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2. TRANQUILIZANTES MENORES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faixa: Laranja 151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impressão na faixa: Preta Processo Black C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Fármacos: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2.1.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Diazepam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2.2.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Midazolam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2.3.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Lorazepam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2.4.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Oxazepam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lastRenderedPageBreak/>
        <w:t>3. ANTAGONISTA DOS TRANQUILIZANTES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faixa: Laranja 151 e Branca, em linhas diagonais.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impressão na faixa: Preta Processo Black C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Fármacos: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3.1.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Flumazenil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4. RELAXANTES MUSCULARES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faixa: Vermelha 032 C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impressão na faixa: Preta Processo Black C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Fármacos: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4.1.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Galamina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Trietiliodeto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4.2.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Alcurônio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(Cloreto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4.3.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Pancurônio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(Brometo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4.4.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Vecurônio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(Brometo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4.5.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Atracúrio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Besilato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4.6.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Mivacúrio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(Cloreto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4.7.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Rocurônio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(Brometo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4.8.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Suxametônio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(Cloreto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4.9.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Rapacurônio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(Brometo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4.10.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Cisatraccúrio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Besilato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5. ANTAGONISTA DOS RELAXANTES MUSCULARES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faixa: Vermelha 032 C e Branca, em linhas diagonais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impressão na faixa: Preta Processo Black C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lastRenderedPageBreak/>
        <w:t>Fármacos: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5.1.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Nepstigmine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Metilsulfato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6. OPIÓIDES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faixa: Azul 297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impressão na faixa: Preta Processo Black C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Fármacos: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6.1. Morfina (Cloridrato ou Sulfato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6.2.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Petidina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(Cloridrato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6.3.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Fentanila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Citrato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6.4.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Alfentanial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(Cloridrato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6.5.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Sufentanila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Citrato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6.6.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Nalbufina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(Cloridrato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6.7.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Tramadol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6.8.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Buprenorfina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6.9.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Remilfentanil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(Cloridrato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7. ANTAGONISTA DOS OPÓIDES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faixa: Azul 297 e Branca, em linhas diagonais.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impressão na faixa: Preta Processo Black C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Fármacos: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7.1.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Nalorfina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(Cloridrato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7.2.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Naloxona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(Cloridrato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8. TRANQUILIZANTES MAIORES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lastRenderedPageBreak/>
        <w:t>Cor da faixa: Salmão 156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Cor da impressão na faixa: Preta Processo Black C 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Fármacos: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8.1.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Droperidol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8.2.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Clorpromazina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(Cloridrato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8.3.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Haloperidol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Decanoato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de).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9. OPIÓIDE/TRANQUILIZANTE MAIOR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faixa: Azul 297 e Salmão 156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impressão na faixa: Preta Processo Black C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Fármaco: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9.1.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Fentanila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Citrato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</w:t>
      </w:r>
      <w:proofErr w:type="gram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de)/</w:t>
      </w:r>
      <w:proofErr w:type="spellStart"/>
      <w:proofErr w:type="gram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Droperidol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10. VASOPRESSORES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faixa: Violeta 256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impressão na faixa: Preta Processo Black C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Fármacos: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10.1. Efedrina (Sulfato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10.2.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Metaraminol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Bitartarato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10.3.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Etilefrina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(Cloridrato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10.4.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Norepinefrina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10.5.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Epinefrina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10.6. Dopamina (Cloridrato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10.7.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Dobutamina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(Cloridrato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lastRenderedPageBreak/>
        <w:t>10.8. Fenilefrina (Cloridrato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11. AGENTES HIPOTENSORES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faixa: Violeta 256 e Branca, em linhas diagonais.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impressão na faixa: Preta Processo Black C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Fármacos: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11.1.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Nitroprussiato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de Sódio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11.2. Nitroglicerina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11.3.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Fentolamina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11.4.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Trimetafan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11.5.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Diazóxido</w:t>
      </w:r>
      <w:proofErr w:type="spell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11.6. Clonidina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12. ANESTESICOS LOCAIS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Cor da faixa: Cinza 401 (ou Cinza Cool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gray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7C — 6C)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impressão na faixa: Preta Processo Black C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Fármacos: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12.1. Lidocaína (Cloridrato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12.2.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Bupivacaína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Cioridrato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12.3.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Ropivacaína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(Cloridrato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12.4.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Prilocaína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(Cloridrato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12.5. Procaína (Cloridrato </w:t>
      </w:r>
      <w:proofErr w:type="gram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de )</w:t>
      </w:r>
      <w:proofErr w:type="gramEnd"/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12.6. A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associaçãodo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anestésico local com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epinefrina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, deve identificar no rótulo, além do anestésico local, a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epinefrina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com uma faixa violeta - 256, abaixo da faixa cinza - 401.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lastRenderedPageBreak/>
        <w:t>12.7. A associação do anestésico local com glicose 7,5% (anestésico hiperbárico), deve identificar no rótulo, além do anestésico local, a glicose 7,5%, escrita em azul - 285.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13. AGENTES ANTICOLINERGICOS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faixa: Verde 367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impressão na faixa: Preta Processo Black C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Fármacos: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13.1: Atropina (Sulfato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13.2. </w:t>
      </w:r>
      <w:proofErr w:type="spellStart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Glicopirrônio</w:t>
      </w:r>
      <w:proofErr w:type="spellEnd"/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 xml:space="preserve"> (Brometo de)</w:t>
      </w:r>
    </w:p>
    <w:p w:rsidR="0073244D" w:rsidRPr="0025204D" w:rsidRDefault="0073244D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13.3. Para diferentes concentrações de Sulfato de Atropina as cores dos anéis de ruptura são padronizadas, de acordo com a tabela abaixo:</w:t>
      </w:r>
    </w:p>
    <w:p w:rsidR="00CC23E7" w:rsidRPr="0025204D" w:rsidRDefault="0098498B" w:rsidP="0098498B">
      <w:pPr>
        <w:spacing w:before="300" w:after="300" w:line="240" w:lineRule="auto"/>
        <w:ind w:firstLine="573"/>
        <w:jc w:val="both"/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</w:pPr>
      <w:r w:rsidRPr="0025204D">
        <w:rPr>
          <w:rFonts w:ascii="Times New Roman" w:eastAsia="Times New Roman" w:hAnsi="Times New Roman" w:cs="Times New Roman"/>
          <w:strike/>
          <w:sz w:val="24"/>
          <w:szCs w:val="24"/>
          <w:lang w:eastAsia="pt-BR"/>
        </w:rPr>
        <w:t>COR DA GRAVAÇÃO (SISTEMA PANTONE) DOS ANÉIS DE RUPTURA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81"/>
        <w:gridCol w:w="2881"/>
        <w:gridCol w:w="2882"/>
      </w:tblGrid>
      <w:tr w:rsidR="0098498B" w:rsidRPr="0025204D" w:rsidTr="0098498B">
        <w:tc>
          <w:tcPr>
            <w:tcW w:w="2881" w:type="dxa"/>
          </w:tcPr>
          <w:p w:rsidR="0098498B" w:rsidRPr="0025204D" w:rsidRDefault="0098498B" w:rsidP="0073244D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PRODUTO</w:t>
            </w:r>
          </w:p>
        </w:tc>
        <w:tc>
          <w:tcPr>
            <w:tcW w:w="2881" w:type="dxa"/>
          </w:tcPr>
          <w:p w:rsidR="0098498B" w:rsidRPr="0025204D" w:rsidRDefault="0098498B" w:rsidP="0073244D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CONCENTRAÇÃO</w:t>
            </w:r>
          </w:p>
        </w:tc>
        <w:tc>
          <w:tcPr>
            <w:tcW w:w="2882" w:type="dxa"/>
          </w:tcPr>
          <w:p w:rsidR="0098498B" w:rsidRPr="0025204D" w:rsidRDefault="0098498B" w:rsidP="0073244D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COR DO ANEL DE RUPTURA</w:t>
            </w:r>
          </w:p>
        </w:tc>
      </w:tr>
      <w:tr w:rsidR="0098498B" w:rsidRPr="0025204D" w:rsidTr="0098498B">
        <w:tc>
          <w:tcPr>
            <w:tcW w:w="2881" w:type="dxa"/>
          </w:tcPr>
          <w:p w:rsidR="0098498B" w:rsidRPr="0025204D" w:rsidRDefault="0098498B" w:rsidP="0073244D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Sulfato de Atropina</w:t>
            </w:r>
          </w:p>
        </w:tc>
        <w:tc>
          <w:tcPr>
            <w:tcW w:w="2881" w:type="dxa"/>
          </w:tcPr>
          <w:p w:rsidR="0098498B" w:rsidRPr="0025204D" w:rsidRDefault="0098498B" w:rsidP="0073244D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0,25mg</w:t>
            </w:r>
          </w:p>
          <w:p w:rsidR="0098498B" w:rsidRPr="0025204D" w:rsidRDefault="0098498B" w:rsidP="0073244D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0,5mg</w:t>
            </w:r>
          </w:p>
          <w:p w:rsidR="0098498B" w:rsidRPr="0025204D" w:rsidRDefault="0098498B" w:rsidP="0073244D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1mg</w:t>
            </w:r>
          </w:p>
        </w:tc>
        <w:tc>
          <w:tcPr>
            <w:tcW w:w="2882" w:type="dxa"/>
          </w:tcPr>
          <w:p w:rsidR="0098498B" w:rsidRPr="0025204D" w:rsidRDefault="0098498B" w:rsidP="0073244D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Branco</w:t>
            </w:r>
          </w:p>
          <w:p w:rsidR="0098498B" w:rsidRPr="0025204D" w:rsidRDefault="0098498B" w:rsidP="0073244D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Preto Processo Black C</w:t>
            </w:r>
          </w:p>
          <w:p w:rsidR="0098498B" w:rsidRPr="0025204D" w:rsidRDefault="0098498B" w:rsidP="0073244D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Vermelho 1795 C</w:t>
            </w:r>
          </w:p>
        </w:tc>
      </w:tr>
    </w:tbl>
    <w:p w:rsidR="0098498B" w:rsidRPr="004B452B" w:rsidRDefault="0098498B" w:rsidP="0098498B">
      <w:pPr>
        <w:spacing w:before="300" w:after="300" w:line="240" w:lineRule="auto"/>
        <w:jc w:val="center"/>
        <w:rPr>
          <w:rFonts w:ascii="Times New Roman" w:hAnsi="Times New Roman" w:cs="Times New Roman"/>
          <w:b/>
          <w:strike/>
          <w:sz w:val="24"/>
          <w:szCs w:val="24"/>
        </w:rPr>
      </w:pPr>
      <w:r w:rsidRPr="004B452B">
        <w:rPr>
          <w:rFonts w:ascii="Times New Roman" w:hAnsi="Times New Roman" w:cs="Times New Roman"/>
          <w:b/>
          <w:strike/>
          <w:sz w:val="24"/>
          <w:szCs w:val="24"/>
        </w:rPr>
        <w:t>ANEXO II</w:t>
      </w:r>
    </w:p>
    <w:p w:rsidR="0098498B" w:rsidRPr="0025204D" w:rsidRDefault="0098498B" w:rsidP="0098498B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Este Anexo estabelece a padronização de cores para os medicamentos: Cloreto de Potássio,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Gluconato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de Cálcio,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Aminofilina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>, Cloreto de Sódio, Glicose, Bicarbonato de Sódio, Sulfato de Magnésio e Fosfato de Potássio, para atender as diretrizes deste Regulamento Técnico.</w:t>
      </w:r>
    </w:p>
    <w:p w:rsidR="0098498B" w:rsidRPr="0025204D" w:rsidRDefault="0098498B" w:rsidP="0098498B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1.As diferentes concentrações dos medicamentos, listados acima, devem apresentar as cores de gravação dos dizeres, dos anéis da haste e de ruptura das ampolas e das faixas dos recipientes plásticos, estabelecidas nas Tabelas 1 e II deste Anexo.</w:t>
      </w:r>
    </w:p>
    <w:p w:rsidR="004B452B" w:rsidRDefault="004B452B">
      <w:pPr>
        <w:rPr>
          <w:rFonts w:ascii="Times New Roman" w:hAnsi="Times New Roman" w:cs="Times New Roman"/>
          <w:b/>
          <w:strike/>
          <w:sz w:val="24"/>
          <w:szCs w:val="24"/>
        </w:rPr>
      </w:pPr>
      <w:r>
        <w:rPr>
          <w:rFonts w:ascii="Times New Roman" w:hAnsi="Times New Roman" w:cs="Times New Roman"/>
          <w:b/>
          <w:strike/>
          <w:sz w:val="24"/>
          <w:szCs w:val="24"/>
        </w:rPr>
        <w:br w:type="page"/>
      </w:r>
    </w:p>
    <w:p w:rsidR="004B452B" w:rsidRDefault="004B452B" w:rsidP="004B452B">
      <w:pPr>
        <w:spacing w:before="300" w:after="300" w:line="240" w:lineRule="auto"/>
        <w:jc w:val="center"/>
        <w:rPr>
          <w:rFonts w:ascii="Times New Roman" w:hAnsi="Times New Roman" w:cs="Times New Roman"/>
          <w:b/>
          <w:strike/>
          <w:sz w:val="24"/>
          <w:szCs w:val="24"/>
        </w:rPr>
        <w:sectPr w:rsidR="004B452B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8498B" w:rsidRPr="004B452B" w:rsidRDefault="0098498B" w:rsidP="004B452B">
      <w:pPr>
        <w:spacing w:before="300" w:after="300" w:line="240" w:lineRule="auto"/>
        <w:jc w:val="center"/>
        <w:rPr>
          <w:rFonts w:ascii="Times New Roman" w:hAnsi="Times New Roman" w:cs="Times New Roman"/>
          <w:b/>
          <w:strike/>
          <w:sz w:val="24"/>
          <w:szCs w:val="24"/>
        </w:rPr>
      </w:pPr>
      <w:r w:rsidRPr="004B452B">
        <w:rPr>
          <w:rFonts w:ascii="Times New Roman" w:hAnsi="Times New Roman" w:cs="Times New Roman"/>
          <w:b/>
          <w:strike/>
          <w:sz w:val="24"/>
          <w:szCs w:val="24"/>
        </w:rPr>
        <w:lastRenderedPageBreak/>
        <w:t>TABELA I</w:t>
      </w:r>
    </w:p>
    <w:p w:rsidR="0098498B" w:rsidRPr="004B452B" w:rsidRDefault="0098498B" w:rsidP="004B452B">
      <w:pPr>
        <w:spacing w:before="300" w:after="300" w:line="240" w:lineRule="auto"/>
        <w:jc w:val="center"/>
        <w:rPr>
          <w:rFonts w:ascii="Times New Roman" w:hAnsi="Times New Roman" w:cs="Times New Roman"/>
          <w:b/>
          <w:strike/>
          <w:sz w:val="24"/>
          <w:szCs w:val="24"/>
        </w:rPr>
      </w:pPr>
      <w:r w:rsidRPr="004B452B">
        <w:rPr>
          <w:rFonts w:ascii="Times New Roman" w:hAnsi="Times New Roman" w:cs="Times New Roman"/>
          <w:b/>
          <w:strike/>
          <w:sz w:val="24"/>
          <w:szCs w:val="24"/>
        </w:rPr>
        <w:t>COR DE GRAVAÇÃO (SISTEMA PANTONE) DOS DIZERES NOS RECIPIENTES DE VIDRO</w:t>
      </w:r>
    </w:p>
    <w:tbl>
      <w:tblPr>
        <w:tblStyle w:val="Tabelacomgrade"/>
        <w:tblW w:w="14425" w:type="dxa"/>
        <w:tblLayout w:type="fixed"/>
        <w:tblLook w:val="04A0" w:firstRow="1" w:lastRow="0" w:firstColumn="1" w:lastColumn="0" w:noHBand="0" w:noVBand="1"/>
      </w:tblPr>
      <w:tblGrid>
        <w:gridCol w:w="2802"/>
        <w:gridCol w:w="2268"/>
        <w:gridCol w:w="4252"/>
        <w:gridCol w:w="5103"/>
      </w:tblGrid>
      <w:tr w:rsidR="00C603BA" w:rsidRPr="0025204D" w:rsidTr="004B452B">
        <w:tc>
          <w:tcPr>
            <w:tcW w:w="2802" w:type="dxa"/>
          </w:tcPr>
          <w:p w:rsidR="00C603BA" w:rsidRPr="0025204D" w:rsidRDefault="00C603BA" w:rsidP="004B452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PRODUTO</w:t>
            </w:r>
          </w:p>
        </w:tc>
        <w:tc>
          <w:tcPr>
            <w:tcW w:w="2268" w:type="dxa"/>
          </w:tcPr>
          <w:p w:rsidR="00C603BA" w:rsidRPr="0025204D" w:rsidRDefault="00C603BA" w:rsidP="004B452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CONCENTRAÇÃO</w:t>
            </w:r>
          </w:p>
        </w:tc>
        <w:tc>
          <w:tcPr>
            <w:tcW w:w="4252" w:type="dxa"/>
          </w:tcPr>
          <w:p w:rsidR="00C603BA" w:rsidRPr="0025204D" w:rsidRDefault="00C603BA" w:rsidP="004B452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COR DA GRAVAÇÃO DOS DIZERES E DO ANEL DA HASTE</w:t>
            </w:r>
          </w:p>
        </w:tc>
        <w:tc>
          <w:tcPr>
            <w:tcW w:w="5103" w:type="dxa"/>
          </w:tcPr>
          <w:p w:rsidR="00C603BA" w:rsidRPr="0025204D" w:rsidRDefault="00C603BA" w:rsidP="004B452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COR DO ANEL DE RUPTURA REFERENTE À CONCENTRAÇÃO DO PRODUTO</w:t>
            </w:r>
          </w:p>
        </w:tc>
      </w:tr>
      <w:tr w:rsidR="00C603BA" w:rsidRPr="0025204D" w:rsidTr="004B452B">
        <w:tc>
          <w:tcPr>
            <w:tcW w:w="2802" w:type="dxa"/>
          </w:tcPr>
          <w:p w:rsidR="00C603BA" w:rsidRPr="0025204D" w:rsidRDefault="00C603BA" w:rsidP="00DD7699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1. Cloreto de Potássio</w:t>
            </w:r>
          </w:p>
        </w:tc>
        <w:tc>
          <w:tcPr>
            <w:tcW w:w="2268" w:type="dxa"/>
          </w:tcPr>
          <w:p w:rsidR="00C603BA" w:rsidRPr="0025204D" w:rsidRDefault="00C603BA" w:rsidP="00DD7699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 xml:space="preserve">10% </w:t>
            </w:r>
          </w:p>
          <w:p w:rsidR="00C603BA" w:rsidRPr="0025204D" w:rsidRDefault="00C603BA" w:rsidP="00DD7699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 xml:space="preserve">15% </w:t>
            </w:r>
          </w:p>
          <w:p w:rsidR="00C603BA" w:rsidRPr="0025204D" w:rsidRDefault="00C603BA" w:rsidP="00DD7699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 xml:space="preserve">19,1% </w:t>
            </w:r>
          </w:p>
          <w:p w:rsidR="00C603BA" w:rsidRPr="0025204D" w:rsidRDefault="00C603BA" w:rsidP="00DD7699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20%</w:t>
            </w:r>
          </w:p>
        </w:tc>
        <w:tc>
          <w:tcPr>
            <w:tcW w:w="4252" w:type="dxa"/>
          </w:tcPr>
          <w:p w:rsidR="00C603BA" w:rsidRPr="0025204D" w:rsidRDefault="00C603BA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Preta - Processo Black C</w:t>
            </w:r>
          </w:p>
          <w:p w:rsidR="00C603BA" w:rsidRPr="0025204D" w:rsidRDefault="00C603BA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Preta- Processo Black C</w:t>
            </w:r>
          </w:p>
          <w:p w:rsidR="00C603BA" w:rsidRPr="0025204D" w:rsidRDefault="00C603BA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Preta- Processo Black C</w:t>
            </w:r>
          </w:p>
          <w:p w:rsidR="00C603BA" w:rsidRPr="0025204D" w:rsidRDefault="00C603BA" w:rsidP="00DD7699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Preta- Processo Black C</w:t>
            </w:r>
          </w:p>
        </w:tc>
        <w:tc>
          <w:tcPr>
            <w:tcW w:w="5103" w:type="dxa"/>
          </w:tcPr>
          <w:p w:rsidR="00C603BA" w:rsidRPr="0025204D" w:rsidRDefault="00C603BA" w:rsidP="00DD7699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Branca</w:t>
            </w:r>
          </w:p>
          <w:p w:rsidR="00C603BA" w:rsidRPr="0025204D" w:rsidRDefault="00C603BA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Amarela - 110 C-I09 C</w:t>
            </w:r>
          </w:p>
          <w:p w:rsidR="00C603BA" w:rsidRPr="0025204D" w:rsidRDefault="00C603BA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Marrom - 4695 C-4705 C</w:t>
            </w:r>
          </w:p>
          <w:p w:rsidR="00C603BA" w:rsidRPr="0025204D" w:rsidRDefault="00C603BA" w:rsidP="00DD7699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Laranja - 1585 C-1595 C</w:t>
            </w:r>
          </w:p>
        </w:tc>
      </w:tr>
      <w:tr w:rsidR="00C603BA" w:rsidRPr="0025204D" w:rsidTr="004B452B">
        <w:tc>
          <w:tcPr>
            <w:tcW w:w="2802" w:type="dxa"/>
          </w:tcPr>
          <w:p w:rsidR="00C603BA" w:rsidRPr="0025204D" w:rsidRDefault="00C603BA" w:rsidP="00DD7699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 xml:space="preserve">2. </w:t>
            </w:r>
            <w:proofErr w:type="spellStart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Gluconato</w:t>
            </w:r>
            <w:proofErr w:type="spellEnd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 xml:space="preserve"> de Cálcio</w:t>
            </w:r>
          </w:p>
        </w:tc>
        <w:tc>
          <w:tcPr>
            <w:tcW w:w="2268" w:type="dxa"/>
          </w:tcPr>
          <w:p w:rsidR="00C603BA" w:rsidRPr="0025204D" w:rsidRDefault="00C603BA" w:rsidP="00DD7699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10%</w:t>
            </w:r>
          </w:p>
        </w:tc>
        <w:tc>
          <w:tcPr>
            <w:tcW w:w="4252" w:type="dxa"/>
          </w:tcPr>
          <w:p w:rsidR="00C603BA" w:rsidRPr="0025204D" w:rsidRDefault="00C603BA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Laranja - 1585 C-1595 C</w:t>
            </w:r>
          </w:p>
        </w:tc>
        <w:tc>
          <w:tcPr>
            <w:tcW w:w="5103" w:type="dxa"/>
          </w:tcPr>
          <w:p w:rsidR="00C603BA" w:rsidRPr="0025204D" w:rsidRDefault="00C603BA" w:rsidP="00DD7699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Laranja - 1585 C-1595 C</w:t>
            </w:r>
          </w:p>
        </w:tc>
      </w:tr>
      <w:tr w:rsidR="00F51251" w:rsidRPr="0025204D" w:rsidTr="004B452B">
        <w:tc>
          <w:tcPr>
            <w:tcW w:w="2802" w:type="dxa"/>
          </w:tcPr>
          <w:p w:rsidR="00F51251" w:rsidRPr="0025204D" w:rsidRDefault="00F51251" w:rsidP="00DD7699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 xml:space="preserve">3. </w:t>
            </w:r>
            <w:proofErr w:type="spellStart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Aminofilina</w:t>
            </w:r>
            <w:proofErr w:type="spellEnd"/>
          </w:p>
        </w:tc>
        <w:tc>
          <w:tcPr>
            <w:tcW w:w="2268" w:type="dxa"/>
          </w:tcPr>
          <w:p w:rsidR="00F51251" w:rsidRPr="0025204D" w:rsidRDefault="00F51251" w:rsidP="00F51251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24 mg/</w:t>
            </w:r>
            <w:proofErr w:type="spellStart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mL</w:t>
            </w:r>
            <w:proofErr w:type="spellEnd"/>
          </w:p>
        </w:tc>
        <w:tc>
          <w:tcPr>
            <w:tcW w:w="4252" w:type="dxa"/>
          </w:tcPr>
          <w:p w:rsidR="00F51251" w:rsidRPr="0025204D" w:rsidRDefault="00F51251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Verde - 356 C-357C</w:t>
            </w:r>
          </w:p>
        </w:tc>
        <w:tc>
          <w:tcPr>
            <w:tcW w:w="5103" w:type="dxa"/>
          </w:tcPr>
          <w:p w:rsidR="00F51251" w:rsidRPr="0025204D" w:rsidRDefault="00F51251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Verde - 356 C-357C</w:t>
            </w:r>
          </w:p>
        </w:tc>
      </w:tr>
      <w:tr w:rsidR="00F51251" w:rsidRPr="0025204D" w:rsidTr="004B452B">
        <w:tc>
          <w:tcPr>
            <w:tcW w:w="2802" w:type="dxa"/>
          </w:tcPr>
          <w:p w:rsidR="00F51251" w:rsidRPr="0025204D" w:rsidRDefault="00F51251" w:rsidP="00DD7699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4. Glicose</w:t>
            </w:r>
          </w:p>
        </w:tc>
        <w:tc>
          <w:tcPr>
            <w:tcW w:w="2268" w:type="dxa"/>
          </w:tcPr>
          <w:p w:rsidR="00F51251" w:rsidRPr="0025204D" w:rsidRDefault="00F51251" w:rsidP="00F51251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10%</w:t>
            </w:r>
          </w:p>
          <w:p w:rsidR="00F51251" w:rsidRPr="0025204D" w:rsidRDefault="00F51251" w:rsidP="00F51251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25%</w:t>
            </w:r>
          </w:p>
          <w:p w:rsidR="00F51251" w:rsidRPr="0025204D" w:rsidRDefault="00F51251" w:rsidP="00F51251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50%</w:t>
            </w:r>
          </w:p>
        </w:tc>
        <w:tc>
          <w:tcPr>
            <w:tcW w:w="4252" w:type="dxa"/>
          </w:tcPr>
          <w:p w:rsidR="00F51251" w:rsidRPr="0025204D" w:rsidRDefault="00F51251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Azul - 285 C-286C</w:t>
            </w:r>
          </w:p>
          <w:p w:rsidR="00F51251" w:rsidRPr="0025204D" w:rsidRDefault="00F51251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Azul - 285 C-286C</w:t>
            </w:r>
          </w:p>
          <w:p w:rsidR="00F51251" w:rsidRPr="0025204D" w:rsidRDefault="00F51251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Azul - 285 C-286C</w:t>
            </w:r>
          </w:p>
        </w:tc>
        <w:tc>
          <w:tcPr>
            <w:tcW w:w="5103" w:type="dxa"/>
          </w:tcPr>
          <w:p w:rsidR="00F51251" w:rsidRPr="0025204D" w:rsidRDefault="00F51251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Branca</w:t>
            </w:r>
          </w:p>
          <w:p w:rsidR="00F51251" w:rsidRPr="0025204D" w:rsidRDefault="00F51251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Verde – 356C-357C</w:t>
            </w:r>
          </w:p>
          <w:p w:rsidR="00F51251" w:rsidRPr="0025204D" w:rsidRDefault="00F51251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Amarela – 110C-109C</w:t>
            </w:r>
          </w:p>
        </w:tc>
      </w:tr>
      <w:tr w:rsidR="00F51251" w:rsidRPr="0025204D" w:rsidTr="004B452B">
        <w:tc>
          <w:tcPr>
            <w:tcW w:w="2802" w:type="dxa"/>
          </w:tcPr>
          <w:p w:rsidR="00F51251" w:rsidRPr="0025204D" w:rsidRDefault="00F51251" w:rsidP="00DD7699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5. Cloreto de Sódio</w:t>
            </w:r>
          </w:p>
        </w:tc>
        <w:tc>
          <w:tcPr>
            <w:tcW w:w="2268" w:type="dxa"/>
          </w:tcPr>
          <w:p w:rsidR="00F51251" w:rsidRPr="0025204D" w:rsidRDefault="00F51251" w:rsidP="00F51251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0,9%</w:t>
            </w:r>
          </w:p>
          <w:p w:rsidR="00F51251" w:rsidRPr="0025204D" w:rsidRDefault="00F51251" w:rsidP="00F51251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10%</w:t>
            </w:r>
          </w:p>
          <w:p w:rsidR="00F51251" w:rsidRPr="0025204D" w:rsidRDefault="00F51251" w:rsidP="00F51251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20%</w:t>
            </w:r>
          </w:p>
        </w:tc>
        <w:tc>
          <w:tcPr>
            <w:tcW w:w="4252" w:type="dxa"/>
          </w:tcPr>
          <w:p w:rsidR="00F51251" w:rsidRPr="0025204D" w:rsidRDefault="00F51251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Amarela – 110C-109C</w:t>
            </w:r>
          </w:p>
          <w:p w:rsidR="00F51251" w:rsidRPr="0025204D" w:rsidRDefault="00F51251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Amarela – 110C-109C</w:t>
            </w:r>
          </w:p>
          <w:p w:rsidR="00F51251" w:rsidRPr="0025204D" w:rsidRDefault="00F51251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Amarela – 110C-109C</w:t>
            </w:r>
          </w:p>
        </w:tc>
        <w:tc>
          <w:tcPr>
            <w:tcW w:w="5103" w:type="dxa"/>
          </w:tcPr>
          <w:p w:rsidR="00797313" w:rsidRPr="0025204D" w:rsidRDefault="00797313" w:rsidP="00797313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Branca</w:t>
            </w:r>
          </w:p>
          <w:p w:rsidR="00797313" w:rsidRPr="0025204D" w:rsidRDefault="00797313" w:rsidP="00797313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Azul – 285 C-286C</w:t>
            </w:r>
          </w:p>
          <w:p w:rsidR="00F51251" w:rsidRPr="0025204D" w:rsidRDefault="00797313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Vermelha 1795 C-1805 C</w:t>
            </w:r>
          </w:p>
        </w:tc>
      </w:tr>
      <w:tr w:rsidR="00797313" w:rsidRPr="0025204D" w:rsidTr="004B452B">
        <w:tc>
          <w:tcPr>
            <w:tcW w:w="2802" w:type="dxa"/>
          </w:tcPr>
          <w:p w:rsidR="00797313" w:rsidRPr="0025204D" w:rsidRDefault="00797313" w:rsidP="00DD7699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 xml:space="preserve">6. Água </w:t>
            </w:r>
            <w:proofErr w:type="gramStart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para Injetáveis</w:t>
            </w:r>
            <w:proofErr w:type="gramEnd"/>
          </w:p>
        </w:tc>
        <w:tc>
          <w:tcPr>
            <w:tcW w:w="2268" w:type="dxa"/>
          </w:tcPr>
          <w:p w:rsidR="00797313" w:rsidRPr="0025204D" w:rsidRDefault="00797313" w:rsidP="00F51251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-</w:t>
            </w:r>
          </w:p>
        </w:tc>
        <w:tc>
          <w:tcPr>
            <w:tcW w:w="4252" w:type="dxa"/>
          </w:tcPr>
          <w:p w:rsidR="00797313" w:rsidRPr="0025204D" w:rsidRDefault="00797313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Branca</w:t>
            </w:r>
          </w:p>
        </w:tc>
        <w:tc>
          <w:tcPr>
            <w:tcW w:w="5103" w:type="dxa"/>
          </w:tcPr>
          <w:p w:rsidR="00797313" w:rsidRPr="0025204D" w:rsidRDefault="00797313" w:rsidP="00797313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Branca</w:t>
            </w:r>
          </w:p>
        </w:tc>
      </w:tr>
      <w:tr w:rsidR="00797313" w:rsidRPr="0025204D" w:rsidTr="004B452B">
        <w:tc>
          <w:tcPr>
            <w:tcW w:w="2802" w:type="dxa"/>
          </w:tcPr>
          <w:p w:rsidR="00797313" w:rsidRPr="0025204D" w:rsidRDefault="00797313" w:rsidP="00DD7699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7. Bicarbonato de Sódio</w:t>
            </w:r>
          </w:p>
        </w:tc>
        <w:tc>
          <w:tcPr>
            <w:tcW w:w="2268" w:type="dxa"/>
          </w:tcPr>
          <w:p w:rsidR="00797313" w:rsidRPr="0025204D" w:rsidRDefault="00797313" w:rsidP="00F51251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3%</w:t>
            </w:r>
          </w:p>
          <w:p w:rsidR="00797313" w:rsidRPr="0025204D" w:rsidRDefault="00797313" w:rsidP="00F51251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8,4%</w:t>
            </w:r>
          </w:p>
          <w:p w:rsidR="00797313" w:rsidRPr="0025204D" w:rsidRDefault="00797313" w:rsidP="00F51251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10%</w:t>
            </w:r>
          </w:p>
        </w:tc>
        <w:tc>
          <w:tcPr>
            <w:tcW w:w="4252" w:type="dxa"/>
          </w:tcPr>
          <w:p w:rsidR="00797313" w:rsidRPr="0025204D" w:rsidRDefault="00797313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Vermelha – 1795 C-1805 C</w:t>
            </w:r>
          </w:p>
          <w:p w:rsidR="00797313" w:rsidRPr="0025204D" w:rsidRDefault="00797313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Vermelha – 1795 C-1805 C</w:t>
            </w:r>
          </w:p>
          <w:p w:rsidR="00797313" w:rsidRPr="0025204D" w:rsidRDefault="00797313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Vermelha – 1795 C-1805 C</w:t>
            </w:r>
          </w:p>
        </w:tc>
        <w:tc>
          <w:tcPr>
            <w:tcW w:w="5103" w:type="dxa"/>
          </w:tcPr>
          <w:p w:rsidR="00797313" w:rsidRPr="0025204D" w:rsidRDefault="00797313" w:rsidP="00797313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Amarela – 110C-109C</w:t>
            </w:r>
          </w:p>
          <w:p w:rsidR="00797313" w:rsidRPr="0025204D" w:rsidRDefault="00797313" w:rsidP="00797313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Azul – 285 C-286C</w:t>
            </w:r>
          </w:p>
          <w:p w:rsidR="00797313" w:rsidRPr="0025204D" w:rsidRDefault="00797313" w:rsidP="00797313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Vermelha 1795 C-1805 C</w:t>
            </w:r>
          </w:p>
        </w:tc>
      </w:tr>
      <w:tr w:rsidR="00797313" w:rsidRPr="0025204D" w:rsidTr="004B452B">
        <w:tc>
          <w:tcPr>
            <w:tcW w:w="2802" w:type="dxa"/>
          </w:tcPr>
          <w:p w:rsidR="00797313" w:rsidRPr="0025204D" w:rsidRDefault="00797313" w:rsidP="00DD7699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8. Sulfato de Magnésio</w:t>
            </w:r>
          </w:p>
        </w:tc>
        <w:tc>
          <w:tcPr>
            <w:tcW w:w="2268" w:type="dxa"/>
          </w:tcPr>
          <w:p w:rsidR="00797313" w:rsidRPr="0025204D" w:rsidRDefault="00797313" w:rsidP="00F51251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10%</w:t>
            </w:r>
          </w:p>
          <w:p w:rsidR="00797313" w:rsidRPr="0025204D" w:rsidRDefault="00797313" w:rsidP="00F51251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50%</w:t>
            </w:r>
          </w:p>
          <w:p w:rsidR="00797313" w:rsidRPr="0025204D" w:rsidRDefault="00797313" w:rsidP="00F51251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 xml:space="preserve">1 </w:t>
            </w:r>
            <w:proofErr w:type="spellStart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mEq</w:t>
            </w:r>
            <w:proofErr w:type="spellEnd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/</w:t>
            </w:r>
            <w:proofErr w:type="spellStart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mL</w:t>
            </w:r>
            <w:proofErr w:type="spellEnd"/>
          </w:p>
        </w:tc>
        <w:tc>
          <w:tcPr>
            <w:tcW w:w="4252" w:type="dxa"/>
          </w:tcPr>
          <w:p w:rsidR="00797313" w:rsidRPr="0025204D" w:rsidRDefault="00797313" w:rsidP="00797313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</w:pPr>
            <w:proofErr w:type="spellStart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>Marrom</w:t>
            </w:r>
            <w:proofErr w:type="spellEnd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 xml:space="preserve"> - 4695 C-4705 C</w:t>
            </w:r>
          </w:p>
          <w:p w:rsidR="00797313" w:rsidRPr="0025204D" w:rsidRDefault="00797313" w:rsidP="00797313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</w:pPr>
            <w:proofErr w:type="spellStart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>Marrom</w:t>
            </w:r>
            <w:proofErr w:type="spellEnd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 xml:space="preserve"> - 4695 C-4705 C</w:t>
            </w:r>
          </w:p>
          <w:p w:rsidR="00797313" w:rsidRPr="0025204D" w:rsidRDefault="00797313" w:rsidP="00C603BA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Marrom - 4695 C-4705 C</w:t>
            </w:r>
          </w:p>
        </w:tc>
        <w:tc>
          <w:tcPr>
            <w:tcW w:w="5103" w:type="dxa"/>
          </w:tcPr>
          <w:p w:rsidR="00797313" w:rsidRPr="0025204D" w:rsidRDefault="00797313" w:rsidP="00797313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Azul – 285 C-286C</w:t>
            </w:r>
          </w:p>
          <w:p w:rsidR="00797313" w:rsidRPr="0025204D" w:rsidRDefault="00797313" w:rsidP="00797313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Amarela – 110C-109C</w:t>
            </w:r>
          </w:p>
          <w:p w:rsidR="00797313" w:rsidRPr="0025204D" w:rsidRDefault="00797313" w:rsidP="00797313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Verde – 356C-357C</w:t>
            </w:r>
          </w:p>
        </w:tc>
      </w:tr>
    </w:tbl>
    <w:p w:rsidR="0098498B" w:rsidRPr="004B452B" w:rsidRDefault="00050DD4" w:rsidP="004B452B">
      <w:pPr>
        <w:spacing w:before="300" w:after="300" w:line="240" w:lineRule="auto"/>
        <w:jc w:val="center"/>
        <w:rPr>
          <w:rFonts w:ascii="Times New Roman" w:hAnsi="Times New Roman" w:cs="Times New Roman"/>
          <w:b/>
          <w:strike/>
          <w:sz w:val="24"/>
          <w:szCs w:val="24"/>
        </w:rPr>
      </w:pPr>
      <w:r w:rsidRPr="004B452B">
        <w:rPr>
          <w:rFonts w:ascii="Times New Roman" w:hAnsi="Times New Roman" w:cs="Times New Roman"/>
          <w:b/>
          <w:strike/>
          <w:sz w:val="24"/>
          <w:szCs w:val="24"/>
        </w:rPr>
        <w:lastRenderedPageBreak/>
        <w:t>TABELA II</w:t>
      </w:r>
    </w:p>
    <w:p w:rsidR="00050DD4" w:rsidRPr="0025204D" w:rsidRDefault="00050DD4" w:rsidP="004B452B">
      <w:pPr>
        <w:spacing w:before="300" w:after="300" w:line="240" w:lineRule="auto"/>
        <w:jc w:val="center"/>
        <w:rPr>
          <w:rFonts w:ascii="Times New Roman" w:hAnsi="Times New Roman" w:cs="Times New Roman"/>
          <w:strike/>
          <w:sz w:val="24"/>
          <w:szCs w:val="24"/>
        </w:rPr>
      </w:pPr>
      <w:r w:rsidRPr="004B452B">
        <w:rPr>
          <w:rFonts w:ascii="Times New Roman" w:hAnsi="Times New Roman" w:cs="Times New Roman"/>
          <w:b/>
          <w:strike/>
          <w:sz w:val="24"/>
          <w:szCs w:val="24"/>
        </w:rPr>
        <w:t>COR DE GRAVAÇÃO (SISTEMA PANTONE) DOS DIZERES NOS RÓTULOS ADESIVOS PARA RECIPIENTES DE PLÁSTICO OU VIDRO</w:t>
      </w:r>
      <w:r w:rsidRPr="0025204D">
        <w:rPr>
          <w:rFonts w:ascii="Times New Roman" w:hAnsi="Times New Roman" w:cs="Times New Roman"/>
          <w:strike/>
          <w:sz w:val="24"/>
          <w:szCs w:val="24"/>
        </w:rPr>
        <w:t>.</w:t>
      </w:r>
    </w:p>
    <w:tbl>
      <w:tblPr>
        <w:tblStyle w:val="Tabelacomgrade"/>
        <w:tblW w:w="5000" w:type="pct"/>
        <w:tblLayout w:type="fixed"/>
        <w:tblLook w:val="04A0" w:firstRow="1" w:lastRow="0" w:firstColumn="1" w:lastColumn="0" w:noHBand="0" w:noVBand="1"/>
      </w:tblPr>
      <w:tblGrid>
        <w:gridCol w:w="2026"/>
        <w:gridCol w:w="2336"/>
        <w:gridCol w:w="3441"/>
        <w:gridCol w:w="2542"/>
        <w:gridCol w:w="3873"/>
      </w:tblGrid>
      <w:tr w:rsidR="00751C1B" w:rsidRPr="0025204D" w:rsidTr="004B452B">
        <w:tc>
          <w:tcPr>
            <w:tcW w:w="712" w:type="pct"/>
          </w:tcPr>
          <w:p w:rsidR="00050DD4" w:rsidRPr="0025204D" w:rsidRDefault="00050DD4" w:rsidP="004B452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PRODUTO</w:t>
            </w:r>
          </w:p>
        </w:tc>
        <w:tc>
          <w:tcPr>
            <w:tcW w:w="821" w:type="pct"/>
          </w:tcPr>
          <w:p w:rsidR="00050DD4" w:rsidRPr="0025204D" w:rsidRDefault="00050DD4" w:rsidP="004B452B">
            <w:pPr>
              <w:jc w:val="right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CONCENTRAÇÃO</w:t>
            </w:r>
          </w:p>
        </w:tc>
        <w:tc>
          <w:tcPr>
            <w:tcW w:w="1210" w:type="pct"/>
          </w:tcPr>
          <w:p w:rsidR="00050DD4" w:rsidRPr="0025204D" w:rsidRDefault="00050DD4" w:rsidP="004B452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COR DO FUNDO DO RÓTULO</w:t>
            </w:r>
          </w:p>
        </w:tc>
        <w:tc>
          <w:tcPr>
            <w:tcW w:w="894" w:type="pct"/>
          </w:tcPr>
          <w:p w:rsidR="00050DD4" w:rsidRPr="0025204D" w:rsidRDefault="00050DD4" w:rsidP="004B452B">
            <w:pPr>
              <w:jc w:val="right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COR DA GRAVAÇÃO</w:t>
            </w:r>
          </w:p>
        </w:tc>
        <w:tc>
          <w:tcPr>
            <w:tcW w:w="1362" w:type="pct"/>
          </w:tcPr>
          <w:p w:rsidR="00050DD4" w:rsidRPr="0025204D" w:rsidRDefault="00050DD4" w:rsidP="004B452B">
            <w:pPr>
              <w:jc w:val="center"/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COR DA FAIXA EQUIVALENTE AO ANEL DE RUPTURA REFERENTE À CONCENTRAÇÃO DO PRODUTO</w:t>
            </w:r>
          </w:p>
        </w:tc>
      </w:tr>
      <w:tr w:rsidR="00050DD4" w:rsidRPr="0025204D" w:rsidTr="004B452B">
        <w:tc>
          <w:tcPr>
            <w:tcW w:w="712" w:type="pct"/>
          </w:tcPr>
          <w:p w:rsidR="00050DD4" w:rsidRPr="0025204D" w:rsidRDefault="00050DD4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1. Cloreto de Potássio</w:t>
            </w:r>
            <w:r w:rsidR="00751C1B"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*</w:t>
            </w:r>
          </w:p>
        </w:tc>
        <w:tc>
          <w:tcPr>
            <w:tcW w:w="821" w:type="pct"/>
          </w:tcPr>
          <w:p w:rsidR="00050DD4" w:rsidRPr="0025204D" w:rsidRDefault="00050DD4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10%</w:t>
            </w:r>
          </w:p>
          <w:p w:rsidR="00050DD4" w:rsidRPr="0025204D" w:rsidRDefault="00050DD4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15%</w:t>
            </w:r>
          </w:p>
          <w:p w:rsidR="00050DD4" w:rsidRPr="0025204D" w:rsidRDefault="00050DD4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19,1%</w:t>
            </w:r>
          </w:p>
          <w:p w:rsidR="00050DD4" w:rsidRPr="0025204D" w:rsidRDefault="00050DD4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20%</w:t>
            </w:r>
          </w:p>
        </w:tc>
        <w:tc>
          <w:tcPr>
            <w:tcW w:w="1210" w:type="pct"/>
          </w:tcPr>
          <w:p w:rsidR="00BD168F" w:rsidRPr="0025204D" w:rsidRDefault="00BD168F" w:rsidP="00BD168F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</w:pPr>
            <w:proofErr w:type="spellStart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>Preta</w:t>
            </w:r>
            <w:proofErr w:type="spellEnd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 xml:space="preserve"> - Black C</w:t>
            </w:r>
          </w:p>
          <w:p w:rsidR="00BD168F" w:rsidRPr="0025204D" w:rsidRDefault="00BD168F" w:rsidP="00BD168F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</w:pPr>
            <w:proofErr w:type="spellStart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>Preta</w:t>
            </w:r>
            <w:proofErr w:type="spellEnd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 xml:space="preserve"> - Black C</w:t>
            </w:r>
          </w:p>
          <w:p w:rsidR="00BD168F" w:rsidRPr="0025204D" w:rsidRDefault="00BD168F" w:rsidP="00BD168F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</w:pPr>
            <w:proofErr w:type="spellStart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>Preta</w:t>
            </w:r>
            <w:proofErr w:type="spellEnd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 xml:space="preserve"> - Black C</w:t>
            </w:r>
          </w:p>
          <w:p w:rsidR="00BD168F" w:rsidRPr="0025204D" w:rsidRDefault="00BD168F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</w:pPr>
            <w:proofErr w:type="spellStart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>Preta</w:t>
            </w:r>
            <w:proofErr w:type="spellEnd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 xml:space="preserve"> - Black C</w:t>
            </w:r>
          </w:p>
        </w:tc>
        <w:tc>
          <w:tcPr>
            <w:tcW w:w="894" w:type="pct"/>
          </w:tcPr>
          <w:p w:rsidR="00050DD4" w:rsidRPr="0025204D" w:rsidRDefault="00BD168F" w:rsidP="00050DD4">
            <w:pPr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</w:pPr>
            <w:proofErr w:type="spellStart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  <w:t>Branca</w:t>
            </w:r>
            <w:proofErr w:type="spellEnd"/>
          </w:p>
          <w:p w:rsidR="00BD168F" w:rsidRPr="0025204D" w:rsidRDefault="00BD168F" w:rsidP="00050DD4">
            <w:pPr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</w:pPr>
            <w:proofErr w:type="spellStart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  <w:t>Branca</w:t>
            </w:r>
            <w:proofErr w:type="spellEnd"/>
          </w:p>
          <w:p w:rsidR="00BD168F" w:rsidRPr="0025204D" w:rsidRDefault="00BD168F" w:rsidP="00050DD4">
            <w:pPr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</w:pPr>
            <w:proofErr w:type="spellStart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  <w:t>Branca</w:t>
            </w:r>
            <w:proofErr w:type="spellEnd"/>
          </w:p>
          <w:p w:rsidR="00BD168F" w:rsidRPr="0025204D" w:rsidRDefault="00BD168F" w:rsidP="00050DD4">
            <w:pPr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</w:pPr>
            <w:proofErr w:type="spellStart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  <w:t>Branca</w:t>
            </w:r>
            <w:proofErr w:type="spellEnd"/>
          </w:p>
        </w:tc>
        <w:tc>
          <w:tcPr>
            <w:tcW w:w="1362" w:type="pct"/>
          </w:tcPr>
          <w:p w:rsidR="00050DD4" w:rsidRPr="0025204D" w:rsidRDefault="00BD168F" w:rsidP="00050DD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Branca</w:t>
            </w:r>
          </w:p>
          <w:p w:rsidR="00751C1B" w:rsidRPr="0025204D" w:rsidRDefault="00751C1B" w:rsidP="00751C1B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Amarela - 110 C-I09 C</w:t>
            </w:r>
          </w:p>
          <w:p w:rsidR="00751C1B" w:rsidRPr="0025204D" w:rsidRDefault="00751C1B" w:rsidP="00751C1B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Marrom - 4695 C-4705 C</w:t>
            </w:r>
          </w:p>
          <w:p w:rsidR="00BD168F" w:rsidRPr="0025204D" w:rsidRDefault="00751C1B" w:rsidP="00751C1B">
            <w:pPr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Laranja - 1585 C-1595 C</w:t>
            </w:r>
          </w:p>
        </w:tc>
      </w:tr>
      <w:tr w:rsidR="00751C1B" w:rsidRPr="0025204D" w:rsidTr="004B452B">
        <w:tc>
          <w:tcPr>
            <w:tcW w:w="712" w:type="pct"/>
          </w:tcPr>
          <w:p w:rsidR="00751C1B" w:rsidRPr="0025204D" w:rsidRDefault="00751C1B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2. Glicose</w:t>
            </w:r>
          </w:p>
        </w:tc>
        <w:tc>
          <w:tcPr>
            <w:tcW w:w="821" w:type="pct"/>
          </w:tcPr>
          <w:p w:rsidR="00751C1B" w:rsidRPr="0025204D" w:rsidRDefault="00751C1B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10%</w:t>
            </w:r>
          </w:p>
          <w:p w:rsidR="00751C1B" w:rsidRPr="0025204D" w:rsidRDefault="00751C1B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25%</w:t>
            </w:r>
          </w:p>
          <w:p w:rsidR="00751C1B" w:rsidRPr="0025204D" w:rsidRDefault="00751C1B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50%</w:t>
            </w:r>
          </w:p>
        </w:tc>
        <w:tc>
          <w:tcPr>
            <w:tcW w:w="1210" w:type="pct"/>
          </w:tcPr>
          <w:p w:rsidR="00751C1B" w:rsidRPr="0025204D" w:rsidRDefault="00751C1B" w:rsidP="00751C1B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Azul – 285 C-286C</w:t>
            </w:r>
          </w:p>
          <w:p w:rsidR="00751C1B" w:rsidRPr="0025204D" w:rsidRDefault="00751C1B" w:rsidP="00751C1B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Azul – 285 C-286C</w:t>
            </w:r>
          </w:p>
          <w:p w:rsidR="00751C1B" w:rsidRPr="0025204D" w:rsidRDefault="00751C1B" w:rsidP="00BD168F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Azul – 285 C-286C</w:t>
            </w:r>
          </w:p>
        </w:tc>
        <w:tc>
          <w:tcPr>
            <w:tcW w:w="894" w:type="pct"/>
          </w:tcPr>
          <w:p w:rsidR="00751C1B" w:rsidRPr="0025204D" w:rsidRDefault="00751C1B" w:rsidP="00751C1B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</w:pPr>
            <w:proofErr w:type="spellStart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>Preta</w:t>
            </w:r>
            <w:proofErr w:type="spellEnd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 xml:space="preserve"> - Black C</w:t>
            </w:r>
          </w:p>
          <w:p w:rsidR="00751C1B" w:rsidRPr="0025204D" w:rsidRDefault="00751C1B" w:rsidP="00751C1B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</w:pPr>
            <w:proofErr w:type="spellStart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>Preta</w:t>
            </w:r>
            <w:proofErr w:type="spellEnd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 xml:space="preserve"> - Black C</w:t>
            </w:r>
          </w:p>
          <w:p w:rsidR="00751C1B" w:rsidRPr="0025204D" w:rsidRDefault="00751C1B" w:rsidP="00050DD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</w:pPr>
            <w:proofErr w:type="spellStart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>Preta</w:t>
            </w:r>
            <w:proofErr w:type="spellEnd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 xml:space="preserve"> - Black C</w:t>
            </w:r>
          </w:p>
        </w:tc>
        <w:tc>
          <w:tcPr>
            <w:tcW w:w="1362" w:type="pct"/>
          </w:tcPr>
          <w:p w:rsidR="00751C1B" w:rsidRPr="0025204D" w:rsidRDefault="00751C1B" w:rsidP="00751C1B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Branca</w:t>
            </w:r>
          </w:p>
          <w:p w:rsidR="00751C1B" w:rsidRPr="0025204D" w:rsidRDefault="00751C1B" w:rsidP="00751C1B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Verde – 356C-357C</w:t>
            </w:r>
          </w:p>
          <w:p w:rsidR="00751C1B" w:rsidRPr="0025204D" w:rsidRDefault="00751C1B" w:rsidP="00751C1B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Amarela – 110C-109C</w:t>
            </w:r>
          </w:p>
        </w:tc>
      </w:tr>
      <w:tr w:rsidR="00751C1B" w:rsidRPr="0025204D" w:rsidTr="004B452B">
        <w:tc>
          <w:tcPr>
            <w:tcW w:w="712" w:type="pct"/>
          </w:tcPr>
          <w:p w:rsidR="00751C1B" w:rsidRPr="0025204D" w:rsidRDefault="00751C1B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3. Cloreto de Sódio</w:t>
            </w:r>
          </w:p>
        </w:tc>
        <w:tc>
          <w:tcPr>
            <w:tcW w:w="821" w:type="pct"/>
          </w:tcPr>
          <w:p w:rsidR="00751C1B" w:rsidRPr="0025204D" w:rsidRDefault="00751C1B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0,9%</w:t>
            </w:r>
          </w:p>
          <w:p w:rsidR="00751C1B" w:rsidRPr="0025204D" w:rsidRDefault="00751C1B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10%</w:t>
            </w:r>
          </w:p>
          <w:p w:rsidR="00751C1B" w:rsidRPr="0025204D" w:rsidRDefault="00751C1B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20%</w:t>
            </w:r>
          </w:p>
        </w:tc>
        <w:tc>
          <w:tcPr>
            <w:tcW w:w="1210" w:type="pct"/>
          </w:tcPr>
          <w:p w:rsidR="00751C1B" w:rsidRPr="0025204D" w:rsidRDefault="00751C1B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Amarela – 110C-109C</w:t>
            </w:r>
          </w:p>
          <w:p w:rsidR="00751C1B" w:rsidRPr="0025204D" w:rsidRDefault="00751C1B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Amarela – 110C-109C</w:t>
            </w:r>
          </w:p>
          <w:p w:rsidR="00751C1B" w:rsidRPr="0025204D" w:rsidRDefault="00751C1B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Amarela – 110C-109C</w:t>
            </w:r>
          </w:p>
        </w:tc>
        <w:tc>
          <w:tcPr>
            <w:tcW w:w="894" w:type="pct"/>
          </w:tcPr>
          <w:p w:rsidR="00751C1B" w:rsidRPr="0025204D" w:rsidRDefault="00751C1B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</w:pPr>
            <w:proofErr w:type="spellStart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>Preta</w:t>
            </w:r>
            <w:proofErr w:type="spellEnd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 xml:space="preserve"> - Black C</w:t>
            </w:r>
          </w:p>
          <w:p w:rsidR="00751C1B" w:rsidRPr="0025204D" w:rsidRDefault="00751C1B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</w:pPr>
            <w:proofErr w:type="spellStart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>Preta</w:t>
            </w:r>
            <w:proofErr w:type="spellEnd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 xml:space="preserve"> - Black C</w:t>
            </w:r>
          </w:p>
          <w:p w:rsidR="00751C1B" w:rsidRPr="0025204D" w:rsidRDefault="00751C1B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</w:pPr>
            <w:proofErr w:type="spellStart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>Preta</w:t>
            </w:r>
            <w:proofErr w:type="spellEnd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 xml:space="preserve"> - Black C</w:t>
            </w:r>
          </w:p>
        </w:tc>
        <w:tc>
          <w:tcPr>
            <w:tcW w:w="1362" w:type="pct"/>
          </w:tcPr>
          <w:p w:rsidR="00751C1B" w:rsidRPr="0025204D" w:rsidRDefault="00751C1B" w:rsidP="00751C1B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Branca</w:t>
            </w:r>
          </w:p>
          <w:p w:rsidR="00751C1B" w:rsidRPr="0025204D" w:rsidRDefault="00751C1B" w:rsidP="00751C1B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Azul – 285 C-286C</w:t>
            </w:r>
          </w:p>
          <w:p w:rsidR="00751C1B" w:rsidRPr="0025204D" w:rsidRDefault="00751C1B" w:rsidP="00751C1B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Vermelha 1795 C-1805 C</w:t>
            </w:r>
          </w:p>
        </w:tc>
      </w:tr>
      <w:tr w:rsidR="00751C1B" w:rsidRPr="0025204D" w:rsidTr="004B452B">
        <w:tc>
          <w:tcPr>
            <w:tcW w:w="712" w:type="pct"/>
          </w:tcPr>
          <w:p w:rsidR="00751C1B" w:rsidRPr="0025204D" w:rsidRDefault="00751C1B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 xml:space="preserve">4. Água </w:t>
            </w:r>
            <w:proofErr w:type="gramStart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para Injetáveis</w:t>
            </w:r>
            <w:proofErr w:type="gramEnd"/>
          </w:p>
        </w:tc>
        <w:tc>
          <w:tcPr>
            <w:tcW w:w="821" w:type="pct"/>
          </w:tcPr>
          <w:p w:rsidR="00751C1B" w:rsidRPr="0025204D" w:rsidRDefault="00751C1B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-</w:t>
            </w:r>
          </w:p>
        </w:tc>
        <w:tc>
          <w:tcPr>
            <w:tcW w:w="1210" w:type="pct"/>
          </w:tcPr>
          <w:p w:rsidR="00751C1B" w:rsidRPr="0025204D" w:rsidRDefault="00751C1B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Branca</w:t>
            </w:r>
          </w:p>
        </w:tc>
        <w:tc>
          <w:tcPr>
            <w:tcW w:w="894" w:type="pct"/>
          </w:tcPr>
          <w:p w:rsidR="00751C1B" w:rsidRPr="0025204D" w:rsidRDefault="00751C1B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</w:pPr>
            <w:proofErr w:type="spellStart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>Preta</w:t>
            </w:r>
            <w:proofErr w:type="spellEnd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 xml:space="preserve"> - Black C</w:t>
            </w:r>
          </w:p>
        </w:tc>
        <w:tc>
          <w:tcPr>
            <w:tcW w:w="1362" w:type="pct"/>
          </w:tcPr>
          <w:p w:rsidR="00751C1B" w:rsidRPr="0025204D" w:rsidRDefault="00751C1B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Branca</w:t>
            </w:r>
          </w:p>
        </w:tc>
      </w:tr>
      <w:tr w:rsidR="00751C1B" w:rsidRPr="0025204D" w:rsidTr="004B452B">
        <w:tc>
          <w:tcPr>
            <w:tcW w:w="712" w:type="pct"/>
          </w:tcPr>
          <w:p w:rsidR="00751C1B" w:rsidRPr="0025204D" w:rsidRDefault="00751C1B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5. Sulfato de Magnésio</w:t>
            </w:r>
          </w:p>
        </w:tc>
        <w:tc>
          <w:tcPr>
            <w:tcW w:w="821" w:type="pct"/>
          </w:tcPr>
          <w:p w:rsidR="00751C1B" w:rsidRPr="0025204D" w:rsidRDefault="00751C1B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10%</w:t>
            </w:r>
          </w:p>
          <w:p w:rsidR="00751C1B" w:rsidRPr="0025204D" w:rsidRDefault="00751C1B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50%</w:t>
            </w:r>
          </w:p>
          <w:p w:rsidR="00751C1B" w:rsidRPr="0025204D" w:rsidRDefault="00751C1B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 xml:space="preserve">1 </w:t>
            </w:r>
            <w:proofErr w:type="spellStart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mEq</w:t>
            </w:r>
            <w:proofErr w:type="spellEnd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/</w:t>
            </w:r>
            <w:proofErr w:type="spellStart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</w:rPr>
              <w:t>mL</w:t>
            </w:r>
            <w:proofErr w:type="spellEnd"/>
          </w:p>
        </w:tc>
        <w:tc>
          <w:tcPr>
            <w:tcW w:w="1210" w:type="pct"/>
          </w:tcPr>
          <w:p w:rsidR="00751C1B" w:rsidRPr="0025204D" w:rsidRDefault="00751C1B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</w:pPr>
            <w:proofErr w:type="spellStart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>Marrom</w:t>
            </w:r>
            <w:proofErr w:type="spellEnd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 xml:space="preserve"> - 4695 C-4705 C</w:t>
            </w:r>
          </w:p>
          <w:p w:rsidR="00751C1B" w:rsidRPr="0025204D" w:rsidRDefault="00751C1B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</w:pPr>
            <w:proofErr w:type="spellStart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>Marrom</w:t>
            </w:r>
            <w:proofErr w:type="spellEnd"/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val="en-US" w:eastAsia="pt-BR"/>
              </w:rPr>
              <w:t xml:space="preserve"> - 4695 C-4705 C</w:t>
            </w:r>
          </w:p>
          <w:p w:rsidR="00751C1B" w:rsidRPr="0025204D" w:rsidRDefault="00751C1B" w:rsidP="00944BE4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Marrom - 4695 C-4705 C</w:t>
            </w:r>
          </w:p>
        </w:tc>
        <w:tc>
          <w:tcPr>
            <w:tcW w:w="894" w:type="pct"/>
          </w:tcPr>
          <w:p w:rsidR="00751C1B" w:rsidRPr="0025204D" w:rsidRDefault="00751C1B" w:rsidP="00751C1B">
            <w:pPr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</w:pPr>
            <w:proofErr w:type="spellStart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  <w:t>Branca</w:t>
            </w:r>
            <w:proofErr w:type="spellEnd"/>
          </w:p>
          <w:p w:rsidR="00751C1B" w:rsidRPr="0025204D" w:rsidRDefault="00751C1B" w:rsidP="00751C1B">
            <w:pPr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</w:pPr>
            <w:proofErr w:type="spellStart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  <w:t>Branca</w:t>
            </w:r>
            <w:proofErr w:type="spellEnd"/>
          </w:p>
          <w:p w:rsidR="00751C1B" w:rsidRPr="0025204D" w:rsidRDefault="00751C1B" w:rsidP="00944BE4">
            <w:pPr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</w:pPr>
            <w:proofErr w:type="spellStart"/>
            <w:r w:rsidRPr="0025204D">
              <w:rPr>
                <w:rFonts w:ascii="Times New Roman" w:hAnsi="Times New Roman" w:cs="Times New Roman"/>
                <w:strike/>
                <w:sz w:val="24"/>
                <w:szCs w:val="24"/>
                <w:lang w:val="en-US"/>
              </w:rPr>
              <w:t>Branca</w:t>
            </w:r>
            <w:proofErr w:type="spellEnd"/>
          </w:p>
        </w:tc>
        <w:tc>
          <w:tcPr>
            <w:tcW w:w="1362" w:type="pct"/>
          </w:tcPr>
          <w:p w:rsidR="00751C1B" w:rsidRPr="0025204D" w:rsidRDefault="00751C1B" w:rsidP="00751C1B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Azul – 285 C-286C</w:t>
            </w:r>
          </w:p>
          <w:p w:rsidR="00751C1B" w:rsidRPr="0025204D" w:rsidRDefault="00751C1B" w:rsidP="00751C1B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Amarela – 110C-109C</w:t>
            </w:r>
          </w:p>
          <w:p w:rsidR="00751C1B" w:rsidRPr="0025204D" w:rsidRDefault="00751C1B" w:rsidP="00751C1B">
            <w:pPr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</w:pPr>
            <w:r w:rsidRPr="0025204D">
              <w:rPr>
                <w:rFonts w:ascii="Times New Roman" w:eastAsia="Times New Roman" w:hAnsi="Times New Roman" w:cs="Times New Roman"/>
                <w:strike/>
                <w:sz w:val="24"/>
                <w:szCs w:val="24"/>
                <w:lang w:eastAsia="pt-BR"/>
              </w:rPr>
              <w:t>Verde – 356C-357C</w:t>
            </w:r>
          </w:p>
        </w:tc>
      </w:tr>
    </w:tbl>
    <w:p w:rsidR="00050DD4" w:rsidRPr="0025204D" w:rsidRDefault="008A0743" w:rsidP="00DD7699">
      <w:pPr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* Devido ao risco em potencial do produto, deve ser adicionada uma faixa vermelha de, no mínimo, 3mm.</w:t>
      </w:r>
    </w:p>
    <w:p w:rsidR="004B452B" w:rsidRDefault="004B452B" w:rsidP="00944BE4">
      <w:pPr>
        <w:spacing w:before="300" w:after="300" w:line="240" w:lineRule="auto"/>
        <w:jc w:val="center"/>
        <w:rPr>
          <w:rFonts w:ascii="Times New Roman" w:hAnsi="Times New Roman" w:cs="Times New Roman"/>
          <w:strike/>
          <w:sz w:val="24"/>
          <w:szCs w:val="24"/>
        </w:rPr>
        <w:sectPr w:rsidR="004B452B" w:rsidSect="004B452B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8A0743" w:rsidRPr="004B452B" w:rsidRDefault="008A0743" w:rsidP="00944BE4">
      <w:pPr>
        <w:spacing w:before="300" w:after="300" w:line="240" w:lineRule="auto"/>
        <w:jc w:val="center"/>
        <w:rPr>
          <w:rFonts w:ascii="Times New Roman" w:hAnsi="Times New Roman" w:cs="Times New Roman"/>
          <w:b/>
          <w:strike/>
          <w:sz w:val="24"/>
          <w:szCs w:val="24"/>
        </w:rPr>
      </w:pPr>
      <w:r w:rsidRPr="004B452B">
        <w:rPr>
          <w:rFonts w:ascii="Times New Roman" w:hAnsi="Times New Roman" w:cs="Times New Roman"/>
          <w:b/>
          <w:strike/>
          <w:sz w:val="24"/>
          <w:szCs w:val="24"/>
        </w:rPr>
        <w:lastRenderedPageBreak/>
        <w:t>ANEXO III</w:t>
      </w:r>
    </w:p>
    <w:p w:rsidR="008A0743" w:rsidRPr="004B452B" w:rsidRDefault="008A0743" w:rsidP="00944BE4">
      <w:pPr>
        <w:spacing w:before="300" w:after="300" w:line="240" w:lineRule="auto"/>
        <w:jc w:val="center"/>
        <w:rPr>
          <w:rFonts w:ascii="Times New Roman" w:hAnsi="Times New Roman" w:cs="Times New Roman"/>
          <w:b/>
          <w:strike/>
          <w:sz w:val="24"/>
          <w:szCs w:val="24"/>
        </w:rPr>
      </w:pPr>
      <w:r w:rsidRPr="004B452B">
        <w:rPr>
          <w:rFonts w:ascii="Times New Roman" w:hAnsi="Times New Roman" w:cs="Times New Roman"/>
          <w:b/>
          <w:strike/>
          <w:sz w:val="24"/>
          <w:szCs w:val="24"/>
        </w:rPr>
        <w:t>RECIPIENTES PARA SOLUÇÕES PARENTERAIS DE PEQUENO VOLUME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1. OBJETIVO 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Este Regulamento Técnico fixa os requisitos mínimos em relação aos aspectos físicos, químicos e biológicos para os recipientes indicados para o envase das SPPV. 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 REFERÊNCIAS 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2.1 BRASIL. Instrução Normativa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n.°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01, de 30 de setembro de 1994. Estabelece os documentos necessários para processos de petições, junto a Secretaria Sanitária. Diário Oficial da [República Federativa do Brasil]. Brasília, v.1, n.189; p. 014938, 4 out. 1994. Seção 1, p1. 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2.2. BRASIL. Portaria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n.°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500 de 9 de outubro de 1997. Aprova O Regulamento Técnico de Soluções Parenterais de Grande volume. - SPGV e seus anexo à Diário Oficial da [República Federativa do Brasil] Brasília, v.1, -n.191., p.022996, 13 out. 1997. Seção 1,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pt.l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. 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2.4. -FARM</w:t>
      </w:r>
      <w:r w:rsidR="004B452B">
        <w:rPr>
          <w:rFonts w:ascii="Times New Roman" w:hAnsi="Times New Roman" w:cs="Times New Roman"/>
          <w:strike/>
          <w:sz w:val="24"/>
          <w:szCs w:val="24"/>
        </w:rPr>
        <w:t xml:space="preserve">ACOPÉIA Europeia.  3.ed. Saint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Ruffine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: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Muisonneuve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, 1997. 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2.5. FARMACOPÉIA Brasileira. 4.ed. São. Paulo: Andrei. 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2.6 FARMACOPÉIA dos Estados Unidos da América. 23.ed. Washington, D.C., 1985. 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2.8. </w:t>
      </w:r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>FARMACOPÉIA Britânica</w:t>
      </w:r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. London: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Pharmaceutical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Press, 1996. 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2.9. Guia para utilização da NBR 309-01 - planos de amostragem e procedimentos na inspeção por atributos - NBR 5427. Rio de Janeiro: ABNT, 1985. 27p.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2.10. Guia para inspeção por amostragem no controle e certificação da qualidade - NBR 5425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>, Rio de Janeiro: ABNT, 1985. 51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p.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2.11. Plástico de polietileno para artigos médicos 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>o</w:t>
      </w:r>
      <w:r w:rsidRPr="0025204D">
        <w:rPr>
          <w:rFonts w:ascii="Times New Roman" w:hAnsi="Times New Roman" w:cs="Times New Roman"/>
          <w:strike/>
          <w:sz w:val="24"/>
          <w:szCs w:val="24"/>
        </w:rPr>
        <w:t>dontológic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>os e hospitalares de uso único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-NBR 11339. Rio de Janeiro: ABNT, 1990: 4g.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2.12. Plástico de polietileno para artigos médicos, odontológicos e hospitalares de uso único - NI3R 11340. Rio de Janeiro: ABNT, 1990. 4p.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2.13. Planos de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 xml:space="preserve"> amostragem e procedimentos dg inspeção por atributos - NBR 5426. Rio de j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aneiro: ABNT. 1985. 71p.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lastRenderedPageBreak/>
        <w:t xml:space="preserve">3: DEFINIÇÕES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Para efeito deste 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>Regulamento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Técnico são adotadas as seguintes definições: </w:t>
      </w:r>
    </w:p>
    <w:p w:rsidR="008A0743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3.</w:t>
      </w:r>
      <w:r w:rsidR="008A0743" w:rsidRPr="0025204D">
        <w:rPr>
          <w:rFonts w:ascii="Times New Roman" w:hAnsi="Times New Roman" w:cs="Times New Roman"/>
          <w:strike/>
          <w:sz w:val="24"/>
          <w:szCs w:val="24"/>
        </w:rPr>
        <w:t xml:space="preserve">1. Fabricante: pessoa jurídica que realiza as operações de fabricação até o produto acabado.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3.2. Recipiente: embalagem primária representada por ampola, 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>frasco, ampola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,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flaconete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, seringa preenchida ou outras formas de 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 xml:space="preserve">apresentação de injetáveis.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3.3. Solução Parenteral de Pequeno Volume (SPPV): Solução estéril e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apirogênica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acondicionada em recipiente com capacidade inferior à 100 </w:t>
      </w:r>
      <w:proofErr w:type="spellStart"/>
      <w:r w:rsidR="00944BE4" w:rsidRPr="0025204D">
        <w:rPr>
          <w:rFonts w:ascii="Times New Roman" w:hAnsi="Times New Roman" w:cs="Times New Roman"/>
          <w:strike/>
          <w:sz w:val="24"/>
          <w:szCs w:val="24"/>
        </w:rPr>
        <w:t>m</w:t>
      </w:r>
      <w:r w:rsidRPr="0025204D">
        <w:rPr>
          <w:rFonts w:ascii="Times New Roman" w:hAnsi="Times New Roman" w:cs="Times New Roman"/>
          <w:strike/>
          <w:sz w:val="24"/>
          <w:szCs w:val="24"/>
        </w:rPr>
        <w:t>L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, própria para administração por via parenteral.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3.4. </w:t>
      </w:r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>Via Parenteral</w:t>
      </w:r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: acesso para administração de medicamentos que 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>alcancem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espaços internos do organismo, incluindo vasos sanguíneos, órgãos 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>e tecidos.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4. ABRANGENCIA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Não estão abrangidas neste Anexo as bolsas plásticas.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5. CONDIÇÕES GERAIS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5.1. Para garantir a segurança e efic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>ácia das SPPV é indispensável qu</w:t>
      </w:r>
      <w:r w:rsidRPr="0025204D">
        <w:rPr>
          <w:rFonts w:ascii="Times New Roman" w:hAnsi="Times New Roman" w:cs="Times New Roman"/>
          <w:strike/>
          <w:sz w:val="24"/>
          <w:szCs w:val="24"/>
        </w:rPr>
        <w:t>e os recipientes utilizados atendam os requisitos mínimos que assegurem t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 xml:space="preserve">otal ausência de contaminações </w:t>
      </w:r>
      <w:r w:rsidR="004B452B">
        <w:rPr>
          <w:rFonts w:ascii="Times New Roman" w:hAnsi="Times New Roman" w:cs="Times New Roman"/>
          <w:strike/>
          <w:sz w:val="24"/>
          <w:szCs w:val="24"/>
        </w:rPr>
        <w:t>físicas, químicas e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biológicas, bem como total compatibilidade com o produto.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5.2. Os recipientes devem atender as seguintes exigências: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5.2.1. Possibilitar o envasamento, a esterilizaçã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>o quan</w:t>
      </w:r>
      <w:r w:rsidRPr="0025204D">
        <w:rPr>
          <w:rFonts w:ascii="Times New Roman" w:hAnsi="Times New Roman" w:cs="Times New Roman"/>
          <w:strike/>
          <w:sz w:val="24"/>
          <w:szCs w:val="24"/>
        </w:rPr>
        <w:t>do for o caso, a embalagem, o a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>rmazenamen</w:t>
      </w:r>
      <w:r w:rsidRPr="0025204D">
        <w:rPr>
          <w:rFonts w:ascii="Times New Roman" w:hAnsi="Times New Roman" w:cs="Times New Roman"/>
          <w:strike/>
          <w:sz w:val="24"/>
          <w:szCs w:val="24"/>
        </w:rPr>
        <w:t>to,</w:t>
      </w:r>
      <w:r w:rsidR="004B452B">
        <w:rPr>
          <w:rFonts w:ascii="Times New Roman" w:hAnsi="Times New Roman" w:cs="Times New Roman"/>
          <w:strike/>
          <w:sz w:val="24"/>
          <w:szCs w:val="24"/>
        </w:rPr>
        <w:t xml:space="preserve"> o transporte, a manipulação e a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administração das SPPV de forma segura.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5.2.2. Assegurar que a qualidade das SPPV se mantenha durante o prazo de validade do produto.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5.2.3. Não promover interações físicas, químicas ou biológicas entre o recipiente e a solução, que afetem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 xml:space="preserve"> a estabilidade da preparação.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5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>.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2.4. Ser resistente a alterações térmicas.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5.2.5. Possuir transparência suficiente para permitir a inspeção de seu conteúdo.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5.2.6. Proteger </w:t>
      </w:r>
      <w:r w:rsidR="008A0743" w:rsidRPr="0025204D">
        <w:rPr>
          <w:rFonts w:ascii="Times New Roman" w:hAnsi="Times New Roman" w:cs="Times New Roman"/>
          <w:strike/>
          <w:sz w:val="24"/>
          <w:szCs w:val="24"/>
        </w:rPr>
        <w:t xml:space="preserve">o conteúdo da luz, calor e radiações, quando necessário.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40F7B">
        <w:rPr>
          <w:rFonts w:ascii="Times New Roman" w:hAnsi="Times New Roman" w:cs="Times New Roman"/>
          <w:strike/>
          <w:sz w:val="24"/>
          <w:szCs w:val="24"/>
        </w:rPr>
        <w:lastRenderedPageBreak/>
        <w:t>6. CONDIÇÕ</w:t>
      </w:r>
      <w:r w:rsidR="008A0743" w:rsidRPr="00240F7B">
        <w:rPr>
          <w:rFonts w:ascii="Times New Roman" w:hAnsi="Times New Roman" w:cs="Times New Roman"/>
          <w:strike/>
          <w:sz w:val="24"/>
          <w:szCs w:val="24"/>
        </w:rPr>
        <w:t>ES ESPEC</w:t>
      </w:r>
      <w:r w:rsidRPr="00240F7B">
        <w:rPr>
          <w:rFonts w:ascii="Times New Roman" w:hAnsi="Times New Roman" w:cs="Times New Roman"/>
          <w:strike/>
          <w:sz w:val="24"/>
          <w:szCs w:val="24"/>
        </w:rPr>
        <w:t>Í</w:t>
      </w:r>
      <w:r w:rsidR="008A0743" w:rsidRPr="00240F7B">
        <w:rPr>
          <w:rFonts w:ascii="Times New Roman" w:hAnsi="Times New Roman" w:cs="Times New Roman"/>
          <w:strike/>
          <w:sz w:val="24"/>
          <w:szCs w:val="24"/>
        </w:rPr>
        <w:t>FICAS</w:t>
      </w:r>
      <w:r w:rsidR="008A0743" w:rsidRPr="0025204D">
        <w:rPr>
          <w:rFonts w:ascii="Times New Roman" w:hAnsi="Times New Roman" w:cs="Times New Roman"/>
          <w:strike/>
          <w:sz w:val="24"/>
          <w:szCs w:val="24"/>
        </w:rPr>
        <w:t xml:space="preserve">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Os recipientes utilizados para acondicionamento das SPPV devem ser de vidro ou plásticos e atender às seguintes especificações: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6.1. Recipientes de Vidro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6.1.1. Os recipientes de vidro util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>izados devem ser classificados e</w:t>
      </w:r>
      <w:r w:rsidRPr="0025204D">
        <w:rPr>
          <w:rFonts w:ascii="Times New Roman" w:hAnsi="Times New Roman" w:cs="Times New Roman"/>
          <w:strike/>
          <w:sz w:val="24"/>
          <w:szCs w:val="24"/>
        </w:rPr>
        <w:t>m tipos, conf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 xml:space="preserve">orme as suas características: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6.1.1.1. Vidro Tipo I</w:t>
      </w:r>
      <w:r w:rsidR="008A0743" w:rsidRPr="0025204D">
        <w:rPr>
          <w:rFonts w:ascii="Times New Roman" w:hAnsi="Times New Roman" w:cs="Times New Roman"/>
          <w:strike/>
          <w:sz w:val="24"/>
          <w:szCs w:val="24"/>
        </w:rPr>
        <w:t xml:space="preserve"> - vidro de </w:t>
      </w:r>
      <w:proofErr w:type="spellStart"/>
      <w:r w:rsidR="008A0743" w:rsidRPr="0025204D">
        <w:rPr>
          <w:rFonts w:ascii="Times New Roman" w:hAnsi="Times New Roman" w:cs="Times New Roman"/>
          <w:strike/>
          <w:sz w:val="24"/>
          <w:szCs w:val="24"/>
        </w:rPr>
        <w:t>borossilicato</w:t>
      </w:r>
      <w:proofErr w:type="spellEnd"/>
      <w:r w:rsidR="008A0743" w:rsidRPr="0025204D">
        <w:rPr>
          <w:rFonts w:ascii="Times New Roman" w:hAnsi="Times New Roman" w:cs="Times New Roman"/>
          <w:strike/>
          <w:sz w:val="24"/>
          <w:szCs w:val="24"/>
        </w:rPr>
        <w:t xml:space="preserve"> de resistência </w:t>
      </w:r>
      <w:proofErr w:type="spellStart"/>
      <w:r w:rsidR="008A0743" w:rsidRPr="0025204D">
        <w:rPr>
          <w:rFonts w:ascii="Times New Roman" w:hAnsi="Times New Roman" w:cs="Times New Roman"/>
          <w:strike/>
          <w:sz w:val="24"/>
          <w:szCs w:val="24"/>
        </w:rPr>
        <w:t>hidro</w:t>
      </w:r>
      <w:r w:rsidRPr="0025204D">
        <w:rPr>
          <w:rFonts w:ascii="Times New Roman" w:hAnsi="Times New Roman" w:cs="Times New Roman"/>
          <w:strike/>
          <w:sz w:val="24"/>
          <w:szCs w:val="24"/>
        </w:rPr>
        <w:t>lí</w:t>
      </w:r>
      <w:r w:rsidR="008A0743" w:rsidRPr="0025204D">
        <w:rPr>
          <w:rFonts w:ascii="Times New Roman" w:hAnsi="Times New Roman" w:cs="Times New Roman"/>
          <w:strike/>
          <w:sz w:val="24"/>
          <w:szCs w:val="24"/>
        </w:rPr>
        <w:t>tica</w:t>
      </w:r>
      <w:proofErr w:type="spellEnd"/>
      <w:r w:rsidR="008A0743" w:rsidRPr="0025204D">
        <w:rPr>
          <w:rFonts w:ascii="Times New Roman" w:hAnsi="Times New Roman" w:cs="Times New Roman"/>
          <w:strike/>
          <w:sz w:val="24"/>
          <w:szCs w:val="24"/>
        </w:rPr>
        <w:t xml:space="preserve"> elevada, neutro, indicado para envase de todas as SPPV.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>1.1.2. Vidro Tipo II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- vidro sódico-cálcico de resistência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hidrolítica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elevada, superfície tratada, indicado para envase das SPPV neutras ou ácidas.</w:t>
      </w:r>
    </w:p>
    <w:p w:rsidR="008A0743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6.1.1.3. Vidro Tipo III</w:t>
      </w:r>
      <w:r w:rsidR="008A0743" w:rsidRPr="0025204D">
        <w:rPr>
          <w:rFonts w:ascii="Times New Roman" w:hAnsi="Times New Roman" w:cs="Times New Roman"/>
          <w:strike/>
          <w:sz w:val="24"/>
          <w:szCs w:val="24"/>
        </w:rPr>
        <w:t xml:space="preserve"> - vidro sódico-cálcico, com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="008A0743" w:rsidRPr="0025204D">
        <w:rPr>
          <w:rFonts w:ascii="Times New Roman" w:hAnsi="Times New Roman" w:cs="Times New Roman"/>
          <w:strike/>
          <w:sz w:val="24"/>
          <w:szCs w:val="24"/>
        </w:rPr>
        <w:t>moderada re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sistência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hidrolítica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>, indicado</w:t>
      </w:r>
      <w:r w:rsidR="008A0743" w:rsidRPr="0025204D">
        <w:rPr>
          <w:rFonts w:ascii="Times New Roman" w:hAnsi="Times New Roman" w:cs="Times New Roman"/>
          <w:strike/>
          <w:sz w:val="24"/>
          <w:szCs w:val="24"/>
        </w:rPr>
        <w:t xml:space="preserve"> para preparações não aquosos e em pó para uso parenteral.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6.1.1.4. Tipos d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>e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vidro diferentes dos acima descritos só poderão ser usados após a comprovação da estabilidade e compatibilidade físico-química e bioló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>gica em relação à solução envasada e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aprovação pela Agência Nacional de Vigilância Sanitária. </w:t>
      </w:r>
    </w:p>
    <w:p w:rsidR="00240F7B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6.1.2. Requisitos</w:t>
      </w:r>
      <w:r w:rsidR="00240F7B">
        <w:rPr>
          <w:rFonts w:ascii="Times New Roman" w:hAnsi="Times New Roman" w:cs="Times New Roman"/>
          <w:strike/>
          <w:sz w:val="24"/>
          <w:szCs w:val="24"/>
        </w:rPr>
        <w:t xml:space="preserve"> físicos, químicos e biológicos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>Os recipientes de vidro utilizados para o envase</w:t>
      </w:r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das SPPV devem atender aos requisitos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físicos, químicos e biológicos estabelecidos na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Farmacopéia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Brasileira. </w:t>
      </w:r>
    </w:p>
    <w:p w:rsidR="00240F7B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6.1.3. Ensaios e</w:t>
      </w:r>
      <w:r w:rsidR="00240F7B">
        <w:rPr>
          <w:rFonts w:ascii="Times New Roman" w:hAnsi="Times New Roman" w:cs="Times New Roman"/>
          <w:strike/>
          <w:sz w:val="24"/>
          <w:szCs w:val="24"/>
        </w:rPr>
        <w:t xml:space="preserve"> Testes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Os ensaios e testes físicos, químicos e biológicos devem ser realizados conforme monografia da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Farmacopéia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Brasileira ou</w:t>
      </w:r>
      <w:r w:rsidR="00944BE4" w:rsidRPr="0025204D">
        <w:rPr>
          <w:rFonts w:ascii="Times New Roman" w:hAnsi="Times New Roman" w:cs="Times New Roman"/>
          <w:strike/>
          <w:sz w:val="24"/>
          <w:szCs w:val="24"/>
        </w:rPr>
        <w:t xml:space="preserve"> outras aprovadas pela ANVISA.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6.2. Recipientes de Plástico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6.2.1. Os recipientes de-plástico, utilizados como material de envase de SPPV aquosas são fabricados basicamente, dos seguintes polímeros: Polietileno e Polipropileno. Os recipientes descritos neste Anexo não são adequados para emulsões.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6.2.2. Os reci</w:t>
      </w:r>
      <w:r w:rsidR="00240F7B">
        <w:rPr>
          <w:rFonts w:ascii="Times New Roman" w:hAnsi="Times New Roman" w:cs="Times New Roman"/>
          <w:strike/>
          <w:sz w:val="24"/>
          <w:szCs w:val="24"/>
        </w:rPr>
        <w:t>pientes plásticos não descritos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neste Regulamento Técnico só podem ser usados após a comprovação da estabilidade e compatibilidade físico-química e -biológica em relação à solução envasada e aprovação pela Agência Nacional de Vigilância Sanitária.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6.2.3. Os recipientes de plástico devem atender às seguintes especificações: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lastRenderedPageBreak/>
        <w:t xml:space="preserve">6.2.3.1. Ser isentos de pigmentos e corantes.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6.2.3.2. Ser fabricados com polímeros que atendam as especificações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farmacopeicas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e outras especificações que venham a ser aprovadas pela ANVISA.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6.2.3.3. Apresentar transparência suficiente para permitir inspeção de seu conteúdo. </w:t>
      </w:r>
    </w:p>
    <w:p w:rsidR="00944BE4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6.2.3.4. Ser resistente ao processo de esterilização de modo a não apresentar marcas, deformações, rachaduras, perda da transparência ou qualquer outro tipo de modificação após o processo. </w:t>
      </w:r>
    </w:p>
    <w:p w:rsidR="00240F7B" w:rsidRDefault="008A0743" w:rsidP="00240F7B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6.2.4. Requisitos físicos, químicos e bi</w:t>
      </w:r>
      <w:r w:rsidR="00240F7B">
        <w:rPr>
          <w:rFonts w:ascii="Times New Roman" w:hAnsi="Times New Roman" w:cs="Times New Roman"/>
          <w:strike/>
          <w:sz w:val="24"/>
          <w:szCs w:val="24"/>
        </w:rPr>
        <w:t>ológicos</w:t>
      </w:r>
    </w:p>
    <w:p w:rsidR="00944BE4" w:rsidRPr="0025204D" w:rsidRDefault="008A0743" w:rsidP="00240F7B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Os recipientes de plástico devem atender aos seguintes requisitos: 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6.2.4.1. Requisitos físicos </w:t>
      </w:r>
    </w:p>
    <w:p w:rsidR="00240F7B" w:rsidRDefault="00240F7B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>
        <w:rPr>
          <w:rFonts w:ascii="Times New Roman" w:hAnsi="Times New Roman" w:cs="Times New Roman"/>
          <w:strike/>
          <w:sz w:val="24"/>
          <w:szCs w:val="24"/>
        </w:rPr>
        <w:t>6.2.4.1.1. Controle Visual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Os recipientes de plástico devem ser observados, quanto ao seu aspecto geral, e não devem apresentar: 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a) falhas de sopro (fissuras, rachaduras, rebarbas, escamas, bolhas); 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b) inclusão de materiais, internos e externos; 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c) partículas estranhas; </w:t>
      </w:r>
    </w:p>
    <w:p w:rsidR="008A0743" w:rsidRPr="0025204D" w:rsidRDefault="008A0743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d) sistema de fechamento deficiente;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e)</w:t>
      </w:r>
      <w:r w:rsidR="00240F7B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falta de centralização e falhas internas (fissuras, rachaduras) das paredes do bico, desde a sua base até o ponto de abertura;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f) falta de uniformidade da união do molde;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g)</w:t>
      </w:r>
      <w:r w:rsidR="00240F7B">
        <w:rPr>
          <w:rFonts w:ascii="Times New Roman" w:hAnsi="Times New Roman" w:cs="Times New Roman"/>
          <w:strike/>
          <w:sz w:val="24"/>
          <w:szCs w:val="24"/>
        </w:rPr>
        <w:t xml:space="preserve"> </w:t>
      </w: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qualquer alteração significativa que venha ocorrer fora das especificações do fabricante.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6.2.4.1.2. Solda do Bico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O fechamento do bico, nas condições do processo, deve garantir a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hermeticidade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do recipiente.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lastRenderedPageBreak/>
        <w:t xml:space="preserve"> 6.2.4.1.3. Distribuição do Material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O recipiente de plástico deve apresentar paredes uniformes, com espessura que assegure a resistência à penetração de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microorganismos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.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6.2.4.1.4. Transparência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O recipiente de plástico deve ter uma transparência tal que possibilite a verificação do aspecto e limpidez da solução contida, contra a luz, permitindo a observação a olho nu de partículas, turbidez ou troca de cor da solução.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6.2.4.1.5. Estanqueidade e Resistência à Temperatura e a Pressão Interna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O recipiente de plástico cheio deve suportar as condições de temperatura e de pressão dg processo de esterilização, sem perda de sua estanqueidade.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6.2.4.1.7. Aderência do Rótulo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O rótulo deve aderir ao recipiente de maneira que não se desprenda durante o prazo de validade do produto. Deve cumprir com ensaio de aderência.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6.2.4.1.8. Pesos e Dimensões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>Os recipientes de plástico devem possuir peso e dimensões, de acordo com as especificações e limites de tolerância estabelecidos pelo fabricante.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6.2.4.2. Requisitos Químicos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Os polímeros e os recipientes de plástico devem responder aos requisitos da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Farmacopéia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Brasileira e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Européia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>.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6.2.4.3. Requisitos Biológicos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6.2.4.3.1. Impermeabilidade aos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Microorganismos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Depois de sua esterilização e durante o armazenamento o recipiente de plástico deve garantir a esterilidade da solução nele contida.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6.2.4.3.2. Toxicidade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O recipiente de plástico não deve liberar para a solução nele contida, substâncias em quantidades capazes de exercer efeitos tóxicos.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Os componentes de adesivos, de colas de rótulos e de tintas de impressão, não devem migrar para o interior do recipiente.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lastRenderedPageBreak/>
        <w:t xml:space="preserve">6.2.4.3.3. Substâncias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Pirogênicas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O recipiente de plástico não deve liberar na solução nele </w:t>
      </w:r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>contida substâncias</w:t>
      </w:r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capazes de exercer efeitos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pirogênicos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. </w:t>
      </w:r>
    </w:p>
    <w:p w:rsidR="00944BE4" w:rsidRPr="0025204D" w:rsidRDefault="00944BE4" w:rsidP="00944BE4">
      <w:pPr>
        <w:spacing w:before="300" w:after="300" w:line="240" w:lineRule="auto"/>
        <w:ind w:firstLine="573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6.2.5. Ensaios e Testes Físicos, Químicos e Biológicos </w:t>
      </w:r>
      <w:proofErr w:type="gramStart"/>
      <w:r w:rsidRPr="0025204D">
        <w:rPr>
          <w:rFonts w:ascii="Times New Roman" w:hAnsi="Times New Roman" w:cs="Times New Roman"/>
          <w:strike/>
          <w:sz w:val="24"/>
          <w:szCs w:val="24"/>
        </w:rPr>
        <w:t>Os ensaio</w:t>
      </w:r>
      <w:proofErr w:type="gram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físicos, químicos e biológicos devem ser realizados de acordo com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Farmacopéia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 Brasileira e </w:t>
      </w:r>
      <w:proofErr w:type="spellStart"/>
      <w:r w:rsidRPr="0025204D">
        <w:rPr>
          <w:rFonts w:ascii="Times New Roman" w:hAnsi="Times New Roman" w:cs="Times New Roman"/>
          <w:strike/>
          <w:sz w:val="24"/>
          <w:szCs w:val="24"/>
        </w:rPr>
        <w:t>Européia</w:t>
      </w:r>
      <w:proofErr w:type="spellEnd"/>
      <w:r w:rsidRPr="0025204D">
        <w:rPr>
          <w:rFonts w:ascii="Times New Roman" w:hAnsi="Times New Roman" w:cs="Times New Roman"/>
          <w:strike/>
          <w:sz w:val="24"/>
          <w:szCs w:val="24"/>
        </w:rPr>
        <w:t xml:space="preserve">. </w:t>
      </w:r>
    </w:p>
    <w:p w:rsidR="00050DD4" w:rsidRPr="0025204D" w:rsidRDefault="00240F7B" w:rsidP="00944BE4">
      <w:pPr>
        <w:spacing w:before="300" w:after="30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>
        <w:rPr>
          <w:rFonts w:ascii="Times New Roman" w:hAnsi="Times New Roman" w:cs="Times New Roman"/>
          <w:strike/>
          <w:sz w:val="24"/>
          <w:szCs w:val="24"/>
        </w:rPr>
        <w:t>(Of. El nº</w:t>
      </w:r>
      <w:bookmarkStart w:id="0" w:name="_GoBack"/>
      <w:bookmarkEnd w:id="0"/>
      <w:r w:rsidR="00944BE4" w:rsidRPr="0025204D">
        <w:rPr>
          <w:rFonts w:ascii="Times New Roman" w:hAnsi="Times New Roman" w:cs="Times New Roman"/>
          <w:strike/>
          <w:sz w:val="24"/>
          <w:szCs w:val="24"/>
        </w:rPr>
        <w:t xml:space="preserve"> 25/2001)</w:t>
      </w:r>
    </w:p>
    <w:sectPr w:rsidR="00050DD4" w:rsidRPr="0025204D" w:rsidSect="004B452B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204D" w:rsidRDefault="0025204D" w:rsidP="0025204D">
      <w:pPr>
        <w:spacing w:after="0" w:line="240" w:lineRule="auto"/>
      </w:pPr>
      <w:r>
        <w:separator/>
      </w:r>
    </w:p>
  </w:endnote>
  <w:endnote w:type="continuationSeparator" w:id="0">
    <w:p w:rsidR="0025204D" w:rsidRDefault="0025204D" w:rsidP="00252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204D" w:rsidRPr="0025204D" w:rsidRDefault="0025204D" w:rsidP="0025204D">
    <w:pPr>
      <w:tabs>
        <w:tab w:val="center" w:pos="4252"/>
        <w:tab w:val="right" w:pos="8504"/>
      </w:tabs>
      <w:spacing w:after="0" w:line="240" w:lineRule="auto"/>
      <w:jc w:val="center"/>
      <w:rPr>
        <w:rFonts w:ascii="Calibri" w:eastAsia="Times New Roman" w:hAnsi="Calibri" w:cs="Times New Roman"/>
      </w:rPr>
    </w:pPr>
    <w:r w:rsidRPr="00B517AC">
      <w:rPr>
        <w:rFonts w:ascii="Calibri" w:eastAsia="Times New Roman" w:hAnsi="Calibri" w:cs="Times New Roman"/>
        <w:color w:val="943634"/>
      </w:rPr>
      <w:t xml:space="preserve">Este texto não substitui </w:t>
    </w:r>
    <w:proofErr w:type="gramStart"/>
    <w:r w:rsidRPr="00B517AC">
      <w:rPr>
        <w:rFonts w:ascii="Calibri" w:eastAsia="Times New Roman" w:hAnsi="Calibri" w:cs="Times New Roman"/>
        <w:color w:val="943634"/>
      </w:rPr>
      <w:t>o(</w:t>
    </w:r>
    <w:proofErr w:type="gramEnd"/>
    <w:r w:rsidRPr="00B517AC">
      <w:rPr>
        <w:rFonts w:ascii="Calibri" w:eastAsia="Times New Roman" w:hAnsi="Calibri" w:cs="Times New Roman"/>
        <w:color w:val="943634"/>
      </w:rPr>
      <w:t>s) publicado(s) em Diário Oficial da União.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204D" w:rsidRDefault="0025204D" w:rsidP="0025204D">
      <w:pPr>
        <w:spacing w:after="0" w:line="240" w:lineRule="auto"/>
      </w:pPr>
      <w:r>
        <w:separator/>
      </w:r>
    </w:p>
  </w:footnote>
  <w:footnote w:type="continuationSeparator" w:id="0">
    <w:p w:rsidR="0025204D" w:rsidRDefault="0025204D" w:rsidP="002520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204D" w:rsidRPr="00B517AC" w:rsidRDefault="0025204D" w:rsidP="0025204D">
    <w:pPr>
      <w:tabs>
        <w:tab w:val="center" w:pos="4252"/>
        <w:tab w:val="right" w:pos="8504"/>
      </w:tabs>
      <w:spacing w:after="0" w:line="240" w:lineRule="auto"/>
      <w:jc w:val="center"/>
      <w:rPr>
        <w:rFonts w:ascii="Calibri" w:eastAsia="Times New Roman" w:hAnsi="Calibri" w:cs="Times New Roman"/>
      </w:rPr>
    </w:pPr>
    <w:r>
      <w:rPr>
        <w:rFonts w:ascii="Calibri" w:eastAsia="Times New Roman" w:hAnsi="Calibri" w:cs="Times New Roman"/>
        <w:noProof/>
        <w:lang w:eastAsia="pt-BR"/>
      </w:rPr>
      <w:drawing>
        <wp:inline distT="0" distB="0" distL="0" distR="0" wp14:anchorId="46B6D6B6" wp14:editId="6F57E838">
          <wp:extent cx="657225" cy="647700"/>
          <wp:effectExtent l="0" t="0" r="9525" b="0"/>
          <wp:docPr id="16" name="Imagem 16" descr="Descrição: Brasão da Repúbl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Brasão da Repúblic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72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5204D" w:rsidRPr="00B517AC" w:rsidRDefault="0025204D" w:rsidP="0025204D">
    <w:pPr>
      <w:tabs>
        <w:tab w:val="center" w:pos="4252"/>
        <w:tab w:val="right" w:pos="8504"/>
      </w:tabs>
      <w:spacing w:after="0" w:line="240" w:lineRule="auto"/>
      <w:jc w:val="center"/>
      <w:rPr>
        <w:rFonts w:ascii="Calibri" w:eastAsia="Times New Roman" w:hAnsi="Calibri" w:cs="Times New Roman"/>
        <w:b/>
        <w:sz w:val="24"/>
      </w:rPr>
    </w:pPr>
    <w:r w:rsidRPr="00B517AC">
      <w:rPr>
        <w:rFonts w:ascii="Calibri" w:eastAsia="Times New Roman" w:hAnsi="Calibri" w:cs="Times New Roman"/>
        <w:b/>
        <w:sz w:val="24"/>
      </w:rPr>
      <w:t>Ministério da Saúde - MS</w:t>
    </w:r>
  </w:p>
  <w:p w:rsidR="0025204D" w:rsidRPr="00B517AC" w:rsidRDefault="0025204D" w:rsidP="0025204D">
    <w:pPr>
      <w:tabs>
        <w:tab w:val="center" w:pos="4252"/>
        <w:tab w:val="right" w:pos="8504"/>
      </w:tabs>
      <w:spacing w:after="0" w:line="240" w:lineRule="auto"/>
      <w:jc w:val="center"/>
      <w:rPr>
        <w:rFonts w:ascii="Calibri" w:eastAsia="Times New Roman" w:hAnsi="Calibri" w:cs="Times New Roman"/>
        <w:b/>
        <w:sz w:val="24"/>
      </w:rPr>
    </w:pPr>
    <w:r w:rsidRPr="00B517AC">
      <w:rPr>
        <w:rFonts w:ascii="Calibri" w:eastAsia="Times New Roman" w:hAnsi="Calibri" w:cs="Times New Roman"/>
        <w:b/>
        <w:sz w:val="24"/>
      </w:rPr>
      <w:t>Agência Nacional de Vigilância Sanitária - ANVISA</w:t>
    </w:r>
  </w:p>
  <w:p w:rsidR="0025204D" w:rsidRDefault="0025204D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4CED"/>
    <w:rsid w:val="00050DD4"/>
    <w:rsid w:val="001A563C"/>
    <w:rsid w:val="001E708B"/>
    <w:rsid w:val="00240F7B"/>
    <w:rsid w:val="0025204D"/>
    <w:rsid w:val="003B30CA"/>
    <w:rsid w:val="004B452B"/>
    <w:rsid w:val="00705C84"/>
    <w:rsid w:val="0073244D"/>
    <w:rsid w:val="007441BF"/>
    <w:rsid w:val="00751C1B"/>
    <w:rsid w:val="00754B2A"/>
    <w:rsid w:val="00786686"/>
    <w:rsid w:val="00797313"/>
    <w:rsid w:val="008A0743"/>
    <w:rsid w:val="00944BE4"/>
    <w:rsid w:val="0098498B"/>
    <w:rsid w:val="00B30817"/>
    <w:rsid w:val="00BD168F"/>
    <w:rsid w:val="00C603BA"/>
    <w:rsid w:val="00C76678"/>
    <w:rsid w:val="00CC23E7"/>
    <w:rsid w:val="00D44CED"/>
    <w:rsid w:val="00D621E1"/>
    <w:rsid w:val="00DD7699"/>
    <w:rsid w:val="00DF3F30"/>
    <w:rsid w:val="00E82F88"/>
    <w:rsid w:val="00ED3FAD"/>
    <w:rsid w:val="00F51251"/>
    <w:rsid w:val="00F85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A2F0C1"/>
  <w15:docId w15:val="{51FC1849-7BA8-4123-ACE8-A73EE340A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F3F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3F3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DF3F30"/>
    <w:pPr>
      <w:ind w:left="720"/>
      <w:contextualSpacing/>
    </w:pPr>
  </w:style>
  <w:style w:type="table" w:styleId="Tabelacomgrade">
    <w:name w:val="Table Grid"/>
    <w:basedOn w:val="Tabelanormal"/>
    <w:uiPriority w:val="59"/>
    <w:rsid w:val="009849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520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5204D"/>
  </w:style>
  <w:style w:type="paragraph" w:styleId="Rodap">
    <w:name w:val="footer"/>
    <w:basedOn w:val="Normal"/>
    <w:link w:val="RodapChar"/>
    <w:uiPriority w:val="99"/>
    <w:unhideWhenUsed/>
    <w:rsid w:val="002520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520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7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9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7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9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9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5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7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9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EA23B54B4C11D478B02E3F24C9EDF15" ma:contentTypeVersion="9" ma:contentTypeDescription="Crie um novo documento." ma:contentTypeScope="" ma:versionID="4315a51345f9a78aef7a61ba9417856b">
  <xsd:schema xmlns:xsd="http://www.w3.org/2001/XMLSchema" xmlns:xs="http://www.w3.org/2001/XMLSchema" xmlns:p="http://schemas.microsoft.com/office/2006/metadata/properties" xmlns:ns2="3358cef2-5e33-4382-9f34-ebdf29ebf261" xmlns:ns3="1b481078-05fd-4425-adfc-5f858dcaa140" targetNamespace="http://schemas.microsoft.com/office/2006/metadata/properties" ma:root="true" ma:fieldsID="8afaca136e5893b18a7576def1b03b61" ns2:_="" ns3:_="">
    <xsd:import namespace="3358cef2-5e33-4382-9f34-ebdf29ebf261"/>
    <xsd:import namespace="1b481078-05fd-4425-adfc-5f858dcaa14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58cef2-5e33-4382-9f34-ebdf29ebf26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481078-05fd-4425-adfc-5f858dcaa1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6F8498F-AFE2-43B5-8F44-6B8A99E38B1B}"/>
</file>

<file path=customXml/itemProps2.xml><?xml version="1.0" encoding="utf-8"?>
<ds:datastoreItem xmlns:ds="http://schemas.openxmlformats.org/officeDocument/2006/customXml" ds:itemID="{F0380A32-AC94-47F8-8AA5-173EF587F550}"/>
</file>

<file path=customXml/itemProps3.xml><?xml version="1.0" encoding="utf-8"?>
<ds:datastoreItem xmlns:ds="http://schemas.openxmlformats.org/officeDocument/2006/customXml" ds:itemID="{B7A32B7C-C1C7-42E4-BCB8-05DCC7FB615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24</Pages>
  <Words>5035</Words>
  <Characters>27195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laianabrasil</dc:creator>
  <cp:lastModifiedBy>Raianne Liberal Coutinho</cp:lastModifiedBy>
  <cp:revision>4</cp:revision>
  <dcterms:created xsi:type="dcterms:W3CDTF">2015-12-02T14:47:00Z</dcterms:created>
  <dcterms:modified xsi:type="dcterms:W3CDTF">2017-07-07T17:50:00Z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0x0101003EA23B54B4C11D478B02E3F24C9EDF15</vt:lpwstr>
  </property>
</Properties>
</file>