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6FE" w:rsidRPr="00EB234D" w:rsidRDefault="009A3646" w:rsidP="00A660ED">
      <w:pPr>
        <w:pStyle w:val="Ttulo4"/>
      </w:pPr>
      <w:bookmarkStart w:id="0" w:name="_GoBack"/>
      <w:bookmarkEnd w:id="0"/>
      <w:r w:rsidRPr="00EB234D">
        <w:t>RESOLUÇÃO DA DIRETORIA COLEGIADA - RDC Nº 11, DE 04 DE FEVEREIRO DE 2000</w:t>
      </w:r>
    </w:p>
    <w:p w:rsidR="00A660ED" w:rsidRPr="00EB234D" w:rsidRDefault="00A660ED" w:rsidP="00A660ED">
      <w:pPr>
        <w:rPr>
          <w:sz w:val="24"/>
          <w:szCs w:val="24"/>
        </w:rPr>
      </w:pPr>
    </w:p>
    <w:p w:rsidR="00D356FE" w:rsidRPr="00EB234D" w:rsidRDefault="00A660ED" w:rsidP="00A660ED">
      <w:pPr>
        <w:jc w:val="center"/>
        <w:rPr>
          <w:b/>
          <w:color w:val="0000FF"/>
          <w:sz w:val="24"/>
          <w:szCs w:val="24"/>
        </w:rPr>
      </w:pPr>
      <w:r w:rsidRPr="00EB234D">
        <w:rPr>
          <w:b/>
          <w:color w:val="0000FF"/>
          <w:sz w:val="24"/>
          <w:szCs w:val="24"/>
        </w:rPr>
        <w:t>(Publicada em DOU nº 26, de 07 de fevereiro de 2000)</w:t>
      </w:r>
    </w:p>
    <w:p w:rsidR="00A660ED" w:rsidRPr="00EB234D" w:rsidRDefault="00A660ED" w:rsidP="00A660ED">
      <w:pPr>
        <w:jc w:val="center"/>
        <w:rPr>
          <w:b/>
          <w:color w:val="0000FF"/>
          <w:sz w:val="24"/>
          <w:szCs w:val="24"/>
        </w:rPr>
      </w:pPr>
    </w:p>
    <w:p w:rsidR="00A660ED" w:rsidRPr="00EB234D" w:rsidRDefault="00A660ED" w:rsidP="00A660ED">
      <w:pPr>
        <w:jc w:val="center"/>
        <w:rPr>
          <w:b/>
          <w:color w:val="0000FF"/>
          <w:sz w:val="24"/>
          <w:szCs w:val="24"/>
        </w:rPr>
      </w:pPr>
      <w:r w:rsidRPr="00EB234D">
        <w:rPr>
          <w:b/>
          <w:color w:val="0000FF"/>
          <w:sz w:val="24"/>
          <w:szCs w:val="24"/>
        </w:rPr>
        <w:t>(Revogada pela Resolução – RDC nº 06, de 02 de janeiro de 2001)</w:t>
      </w:r>
    </w:p>
    <w:p w:rsidR="00A660ED" w:rsidRPr="00EB234D" w:rsidRDefault="00A660ED" w:rsidP="00A660ED">
      <w:pPr>
        <w:jc w:val="center"/>
        <w:rPr>
          <w:sz w:val="24"/>
          <w:szCs w:val="24"/>
        </w:rPr>
      </w:pPr>
    </w:p>
    <w:p w:rsidR="00A660ED" w:rsidRPr="00EB234D" w:rsidRDefault="00A660ED" w:rsidP="00A660ED">
      <w:pPr>
        <w:jc w:val="center"/>
        <w:rPr>
          <w:sz w:val="24"/>
          <w:szCs w:val="24"/>
        </w:rPr>
      </w:pPr>
    </w:p>
    <w:p w:rsidR="00D356FE" w:rsidRPr="00EB234D" w:rsidRDefault="00A660ED">
      <w:pPr>
        <w:pStyle w:val="Recuodecorpodetexto2"/>
        <w:rPr>
          <w:strike/>
        </w:rPr>
      </w:pPr>
      <w:r w:rsidRPr="00EB234D">
        <w:rPr>
          <w:strike/>
        </w:rPr>
        <w:t>Dispõe sobre o Sistema de Recolhimento da Arrecadação de Taxas de Fiscalização de Vigilância Sanitária e institui a Guia de Recolhimento de Multas à ANVS e dá outras providências.</w:t>
      </w:r>
    </w:p>
    <w:p w:rsidR="00D356FE" w:rsidRPr="00EB234D" w:rsidRDefault="00D356FE">
      <w:pPr>
        <w:jc w:val="both"/>
        <w:rPr>
          <w:strike/>
          <w:sz w:val="24"/>
          <w:szCs w:val="24"/>
        </w:rPr>
      </w:pPr>
    </w:p>
    <w:p w:rsidR="00D356FE" w:rsidRPr="00EB234D" w:rsidRDefault="00A660ED">
      <w:pPr>
        <w:ind w:firstLine="567"/>
        <w:jc w:val="both"/>
        <w:rPr>
          <w:strike/>
          <w:color w:val="000000"/>
          <w:sz w:val="24"/>
          <w:szCs w:val="24"/>
        </w:rPr>
      </w:pPr>
      <w:r w:rsidRPr="00EB234D">
        <w:rPr>
          <w:b/>
          <w:bCs/>
          <w:strike/>
          <w:color w:val="000000"/>
          <w:sz w:val="24"/>
          <w:szCs w:val="24"/>
        </w:rPr>
        <w:t>O Diretor-Presidente da Agência Nacional de Vigilância Sanitária</w:t>
      </w:r>
      <w:r w:rsidRPr="00EB234D">
        <w:rPr>
          <w:strike/>
          <w:color w:val="000000"/>
          <w:sz w:val="24"/>
          <w:szCs w:val="24"/>
        </w:rPr>
        <w:t xml:space="preserve"> no uso da atribuição que lhe confere o inciso IV do Art. 13, do Regulamento da ANVS aprovado pelo Decreto 3.029, de 16 de abril de 1999, </w:t>
      </w:r>
    </w:p>
    <w:p w:rsidR="00D356FE" w:rsidRPr="00EB234D" w:rsidRDefault="00D356FE">
      <w:pPr>
        <w:ind w:firstLine="567"/>
        <w:jc w:val="both"/>
        <w:rPr>
          <w:strike/>
          <w:color w:val="000000"/>
          <w:sz w:val="24"/>
          <w:szCs w:val="24"/>
        </w:rPr>
      </w:pPr>
    </w:p>
    <w:p w:rsidR="00D356FE" w:rsidRPr="00EB234D" w:rsidRDefault="00A660ED">
      <w:pPr>
        <w:ind w:firstLine="567"/>
        <w:jc w:val="both"/>
        <w:rPr>
          <w:strike/>
          <w:color w:val="000000"/>
          <w:sz w:val="24"/>
          <w:szCs w:val="24"/>
        </w:rPr>
      </w:pPr>
      <w:r w:rsidRPr="00EB234D">
        <w:rPr>
          <w:strike/>
          <w:color w:val="000000"/>
          <w:sz w:val="24"/>
          <w:szCs w:val="24"/>
        </w:rPr>
        <w:t>considerando a necessidade de manter alternativas de recolhimento das Taxas de Fiscalização de Vigilância Sanitária enquanto perdurarem os procedimentos de ajustes na sistemática instituída pela RDC n.º 28 de 20 de dezembro de 1999, republicada, no D.O.U. de 23 de dezembro 1999;</w:t>
      </w:r>
    </w:p>
    <w:p w:rsidR="00D356FE" w:rsidRPr="00EB234D" w:rsidRDefault="00D356FE">
      <w:pPr>
        <w:ind w:firstLine="567"/>
        <w:jc w:val="both"/>
        <w:rPr>
          <w:strike/>
          <w:color w:val="000000"/>
          <w:sz w:val="24"/>
          <w:szCs w:val="24"/>
        </w:rPr>
      </w:pPr>
    </w:p>
    <w:p w:rsidR="00D356FE" w:rsidRPr="00EB234D" w:rsidRDefault="00A660ED">
      <w:pPr>
        <w:ind w:firstLine="567"/>
        <w:jc w:val="both"/>
        <w:rPr>
          <w:strike/>
          <w:color w:val="000000"/>
          <w:sz w:val="24"/>
          <w:szCs w:val="24"/>
        </w:rPr>
      </w:pPr>
      <w:r w:rsidRPr="00EB234D">
        <w:rPr>
          <w:strike/>
          <w:color w:val="000000"/>
          <w:sz w:val="24"/>
          <w:szCs w:val="24"/>
        </w:rPr>
        <w:t>considerando, ainda, a urgência de alterar a sistemática de arrecadação para melhor controle do recolhimento de multas devidas à Agência,</w:t>
      </w:r>
    </w:p>
    <w:p w:rsidR="00D356FE" w:rsidRPr="00EB234D" w:rsidRDefault="00D356FE">
      <w:pPr>
        <w:ind w:firstLine="567"/>
        <w:jc w:val="both"/>
        <w:rPr>
          <w:strike/>
          <w:color w:val="000000"/>
          <w:sz w:val="24"/>
          <w:szCs w:val="24"/>
        </w:rPr>
      </w:pPr>
    </w:p>
    <w:p w:rsidR="00D356FE" w:rsidRPr="00EB234D" w:rsidRDefault="00A660ED">
      <w:pPr>
        <w:ind w:firstLine="567"/>
        <w:jc w:val="both"/>
        <w:rPr>
          <w:strike/>
          <w:color w:val="000000"/>
          <w:sz w:val="24"/>
          <w:szCs w:val="24"/>
        </w:rPr>
      </w:pPr>
      <w:r w:rsidRPr="00EB234D">
        <w:rPr>
          <w:strike/>
          <w:color w:val="000000"/>
          <w:sz w:val="24"/>
          <w:szCs w:val="24"/>
        </w:rPr>
        <w:t xml:space="preserve">adoto, </w:t>
      </w:r>
      <w:r w:rsidRPr="00EB234D">
        <w:rPr>
          <w:b/>
          <w:bCs/>
          <w:strike/>
          <w:color w:val="000000"/>
          <w:sz w:val="24"/>
          <w:szCs w:val="24"/>
        </w:rPr>
        <w:t>ad referendum</w:t>
      </w:r>
      <w:r w:rsidRPr="00EB234D">
        <w:rPr>
          <w:strike/>
          <w:color w:val="000000"/>
          <w:sz w:val="24"/>
          <w:szCs w:val="24"/>
        </w:rPr>
        <w:t>, a seguinte Resolução de Diretoria Colegiada e determino a sua publicação:</w:t>
      </w:r>
    </w:p>
    <w:p w:rsidR="00D356FE" w:rsidRPr="00EB234D" w:rsidRDefault="00D356FE">
      <w:pPr>
        <w:jc w:val="both"/>
        <w:rPr>
          <w:strike/>
          <w:sz w:val="24"/>
          <w:szCs w:val="24"/>
        </w:rPr>
      </w:pPr>
    </w:p>
    <w:p w:rsidR="00EB234D" w:rsidRPr="00EB234D" w:rsidRDefault="00A660ED" w:rsidP="00EB234D">
      <w:pPr>
        <w:rPr>
          <w:b/>
          <w:color w:val="0000FF"/>
          <w:sz w:val="24"/>
          <w:szCs w:val="24"/>
        </w:rPr>
      </w:pPr>
      <w:r w:rsidRPr="00EB234D">
        <w:rPr>
          <w:strike/>
          <w:sz w:val="24"/>
          <w:szCs w:val="24"/>
        </w:rPr>
        <w:tab/>
        <w:t>Art. 1º O procedimento para arrecadação do item 13, constante da Resolução 367, de 02/08/99, poderá ser feito por intermédio da GUIA COMPLEMENTAR, disponível na Rede Corporativa do Ministério da Saúde, página da Agência Nacional de Vigilância Sanitária, http://anvs.saude.gov.br, com o preenchimento dos campos indicando:</w:t>
      </w:r>
      <w:r w:rsidR="00EB234D" w:rsidRPr="00EB234D">
        <w:rPr>
          <w:b/>
          <w:color w:val="0000FF"/>
          <w:sz w:val="24"/>
          <w:szCs w:val="24"/>
        </w:rPr>
        <w:t xml:space="preserve"> (Revogado pela Resolução – RDC nº 101, de 27 de novembro de 2000)</w:t>
      </w:r>
    </w:p>
    <w:p w:rsidR="00D356FE" w:rsidRPr="00EB234D" w:rsidRDefault="00D356FE">
      <w:pPr>
        <w:jc w:val="both"/>
        <w:rPr>
          <w:strike/>
          <w:sz w:val="24"/>
          <w:szCs w:val="24"/>
        </w:rPr>
      </w:pPr>
    </w:p>
    <w:p w:rsidR="00D356FE" w:rsidRPr="00EB234D" w:rsidRDefault="00A660ED">
      <w:pPr>
        <w:jc w:val="both"/>
        <w:rPr>
          <w:strike/>
          <w:sz w:val="24"/>
          <w:szCs w:val="24"/>
        </w:rPr>
      </w:pPr>
      <w:r w:rsidRPr="00EB234D">
        <w:rPr>
          <w:strike/>
          <w:sz w:val="24"/>
          <w:szCs w:val="24"/>
        </w:rPr>
        <w:tab/>
        <w:t>1 - CGC ou CNPJ da empresa e senha.</w:t>
      </w:r>
    </w:p>
    <w:p w:rsidR="00D356FE" w:rsidRPr="00EB234D" w:rsidRDefault="00A660ED">
      <w:pPr>
        <w:jc w:val="both"/>
        <w:rPr>
          <w:strike/>
          <w:sz w:val="24"/>
          <w:szCs w:val="24"/>
        </w:rPr>
      </w:pPr>
      <w:r w:rsidRPr="00EB234D">
        <w:rPr>
          <w:strike/>
          <w:sz w:val="24"/>
          <w:szCs w:val="24"/>
        </w:rPr>
        <w:tab/>
        <w:t>2 - N. º do Fato Gerador</w:t>
      </w:r>
      <w:r w:rsidRPr="00EB234D">
        <w:rPr>
          <w:b/>
          <w:bCs/>
          <w:strike/>
          <w:sz w:val="24"/>
          <w:szCs w:val="24"/>
        </w:rPr>
        <w:t xml:space="preserve">, </w:t>
      </w:r>
      <w:r w:rsidRPr="00EB234D">
        <w:rPr>
          <w:strike/>
          <w:sz w:val="24"/>
          <w:szCs w:val="24"/>
        </w:rPr>
        <w:t>constante da Resolução 367, de 02/08/99.</w:t>
      </w:r>
    </w:p>
    <w:p w:rsidR="00D356FE" w:rsidRPr="00EB234D" w:rsidRDefault="00A660ED">
      <w:pPr>
        <w:jc w:val="both"/>
        <w:rPr>
          <w:b/>
          <w:bCs/>
          <w:strike/>
          <w:sz w:val="24"/>
          <w:szCs w:val="24"/>
        </w:rPr>
      </w:pPr>
      <w:r w:rsidRPr="00EB234D">
        <w:rPr>
          <w:strike/>
          <w:sz w:val="24"/>
          <w:szCs w:val="24"/>
        </w:rPr>
        <w:tab/>
        <w:t>3 - N. º do Processo.</w:t>
      </w:r>
    </w:p>
    <w:p w:rsidR="00D356FE" w:rsidRPr="00EB234D" w:rsidRDefault="00A660ED">
      <w:pPr>
        <w:jc w:val="both"/>
        <w:rPr>
          <w:strike/>
          <w:sz w:val="24"/>
          <w:szCs w:val="24"/>
        </w:rPr>
      </w:pPr>
      <w:r w:rsidRPr="00EB234D">
        <w:rPr>
          <w:b/>
          <w:bCs/>
          <w:strike/>
          <w:sz w:val="24"/>
          <w:szCs w:val="24"/>
        </w:rPr>
        <w:tab/>
      </w:r>
      <w:r w:rsidRPr="00EB234D">
        <w:rPr>
          <w:strike/>
          <w:sz w:val="24"/>
          <w:szCs w:val="24"/>
        </w:rPr>
        <w:t>4 - Valor da Taxa para Licença de Importação constante da Tabela da Resolução 367, de acordo com o tipo da empresa.</w:t>
      </w:r>
    </w:p>
    <w:p w:rsidR="00D356FE" w:rsidRPr="00EB234D" w:rsidRDefault="00A660ED">
      <w:pPr>
        <w:pStyle w:val="Corpodetexto"/>
        <w:tabs>
          <w:tab w:val="clear" w:pos="1134"/>
        </w:tabs>
        <w:rPr>
          <w:strike/>
        </w:rPr>
      </w:pPr>
      <w:r w:rsidRPr="00EB234D">
        <w:rPr>
          <w:strike/>
        </w:rPr>
        <w:tab/>
        <w:t>5 - Texto especificando a que se refere a Guia de Recolhimento Complementar, informando o n.º da Licença de Importação e entre outros dados de interesse no processo, até o limite de 100 (cem) caracteres.</w:t>
      </w:r>
    </w:p>
    <w:p w:rsidR="00D356FE" w:rsidRPr="00EB234D" w:rsidRDefault="00A660ED">
      <w:pPr>
        <w:jc w:val="both"/>
        <w:rPr>
          <w:strike/>
          <w:sz w:val="24"/>
          <w:szCs w:val="24"/>
        </w:rPr>
      </w:pPr>
      <w:r w:rsidRPr="00EB234D">
        <w:rPr>
          <w:strike/>
          <w:sz w:val="24"/>
          <w:szCs w:val="24"/>
        </w:rPr>
        <w:tab/>
      </w:r>
    </w:p>
    <w:p w:rsidR="00EB234D" w:rsidRPr="00EB234D" w:rsidRDefault="00A660ED" w:rsidP="00EB234D">
      <w:pPr>
        <w:ind w:firstLine="567"/>
        <w:rPr>
          <w:b/>
          <w:color w:val="0000FF"/>
          <w:sz w:val="24"/>
          <w:szCs w:val="24"/>
        </w:rPr>
      </w:pPr>
      <w:r w:rsidRPr="00EB234D">
        <w:rPr>
          <w:strike/>
          <w:sz w:val="24"/>
          <w:szCs w:val="24"/>
        </w:rPr>
        <w:t>Art. 2º Fica prorrogada, até 31 de março de 2000, a autorização para recolhimento nos formulários previstos no Art. 2º da Resolução 003, de 29 de abril de 1999, no Art. 2º da Resolução n.º 217, de 21 de junho de 1999 e no Art. 2º da Resolução 404, de 11 de agosto de 1999, a serem preenchidos da seguinte forma:</w:t>
      </w:r>
      <w:r w:rsidR="00EB234D" w:rsidRPr="00EB234D">
        <w:rPr>
          <w:strike/>
          <w:sz w:val="24"/>
          <w:szCs w:val="24"/>
        </w:rPr>
        <w:t xml:space="preserve"> </w:t>
      </w:r>
      <w:r w:rsidR="00337D5E" w:rsidRPr="00337D5E">
        <w:rPr>
          <w:b/>
          <w:strike/>
          <w:color w:val="0000FF"/>
          <w:sz w:val="24"/>
          <w:szCs w:val="24"/>
        </w:rPr>
        <w:t>(Prazo prorrogado pela Resolução – RDC nº 29, de 31 de março de 2000)(vide Resolução – RDC nº 60, de 29 de junho de 2000)</w:t>
      </w:r>
      <w:r w:rsidR="00337D5E">
        <w:rPr>
          <w:b/>
          <w:strike/>
          <w:color w:val="0000FF"/>
          <w:sz w:val="24"/>
          <w:szCs w:val="24"/>
        </w:rPr>
        <w:t xml:space="preserve"> </w:t>
      </w:r>
      <w:r w:rsidR="00EB234D" w:rsidRPr="00EB234D">
        <w:rPr>
          <w:b/>
          <w:color w:val="0000FF"/>
          <w:sz w:val="24"/>
          <w:szCs w:val="24"/>
        </w:rPr>
        <w:t>(Revogado pela Resolução – RDC nº 101, de 27 de novembro de 2000)</w:t>
      </w:r>
    </w:p>
    <w:p w:rsidR="00D356FE" w:rsidRPr="00EB234D" w:rsidRDefault="00D356FE">
      <w:pPr>
        <w:pStyle w:val="Corpodetexto"/>
        <w:tabs>
          <w:tab w:val="clear" w:pos="1134"/>
        </w:tabs>
        <w:ind w:firstLine="567"/>
        <w:rPr>
          <w:strike/>
        </w:rPr>
      </w:pPr>
    </w:p>
    <w:p w:rsidR="00D356FE" w:rsidRPr="00EB234D" w:rsidRDefault="00A660ED">
      <w:pPr>
        <w:pStyle w:val="Corpodetexto"/>
        <w:tabs>
          <w:tab w:val="clear" w:pos="1134"/>
        </w:tabs>
        <w:rPr>
          <w:strike/>
        </w:rPr>
      </w:pPr>
      <w:r w:rsidRPr="00EB234D">
        <w:rPr>
          <w:strike/>
        </w:rPr>
        <w:tab/>
        <w:t>1 - No campo “Agência (</w:t>
      </w:r>
      <w:proofErr w:type="spellStart"/>
      <w:r w:rsidRPr="00EB234D">
        <w:rPr>
          <w:strike/>
        </w:rPr>
        <w:t>pref</w:t>
      </w:r>
      <w:proofErr w:type="spellEnd"/>
      <w:r w:rsidRPr="00EB234D">
        <w:rPr>
          <w:strike/>
        </w:rPr>
        <w:t>/</w:t>
      </w:r>
      <w:proofErr w:type="spellStart"/>
      <w:r w:rsidRPr="00EB234D">
        <w:rPr>
          <w:strike/>
        </w:rPr>
        <w:t>dv</w:t>
      </w:r>
      <w:proofErr w:type="spellEnd"/>
      <w:r w:rsidRPr="00EB234D">
        <w:rPr>
          <w:strike/>
        </w:rPr>
        <w:t>)”: 3602-1.</w:t>
      </w:r>
    </w:p>
    <w:p w:rsidR="00D356FE" w:rsidRPr="00EB234D" w:rsidRDefault="00A660ED">
      <w:pPr>
        <w:pStyle w:val="Corpodetexto"/>
        <w:tabs>
          <w:tab w:val="clear" w:pos="1134"/>
        </w:tabs>
        <w:rPr>
          <w:strike/>
        </w:rPr>
      </w:pPr>
      <w:r w:rsidRPr="00EB234D">
        <w:rPr>
          <w:strike/>
        </w:rPr>
        <w:tab/>
        <w:t>2 - No campo “N.º da conta”: 170.500-8.</w:t>
      </w:r>
    </w:p>
    <w:p w:rsidR="00D356FE" w:rsidRPr="00EB234D" w:rsidRDefault="00A660ED">
      <w:pPr>
        <w:pStyle w:val="Corpodetexto"/>
        <w:tabs>
          <w:tab w:val="clear" w:pos="1134"/>
        </w:tabs>
        <w:rPr>
          <w:strike/>
        </w:rPr>
      </w:pPr>
      <w:r w:rsidRPr="00EB234D">
        <w:rPr>
          <w:strike/>
        </w:rPr>
        <w:lastRenderedPageBreak/>
        <w:tab/>
        <w:t xml:space="preserve">3 - No campo “ Depositado por”: Nome da empresa, o n.º do </w:t>
      </w:r>
      <w:r w:rsidRPr="00EB234D">
        <w:rPr>
          <w:b/>
          <w:bCs/>
          <w:strike/>
        </w:rPr>
        <w:t>CGC</w:t>
      </w:r>
      <w:r w:rsidRPr="00EB234D">
        <w:rPr>
          <w:strike/>
        </w:rPr>
        <w:t xml:space="preserve"> ou do </w:t>
      </w:r>
      <w:r w:rsidRPr="00EB234D">
        <w:rPr>
          <w:b/>
          <w:bCs/>
          <w:strike/>
        </w:rPr>
        <w:t>CNPJ</w:t>
      </w:r>
      <w:r w:rsidRPr="00EB234D">
        <w:rPr>
          <w:strike/>
        </w:rPr>
        <w:t xml:space="preserve">, o código do fato gerador, constante da Resolução 367, de 02/08/99 e o n.º do processo original, quando houver. </w:t>
      </w:r>
    </w:p>
    <w:p w:rsidR="00D356FE" w:rsidRPr="00EB234D" w:rsidRDefault="00A660ED">
      <w:pPr>
        <w:pStyle w:val="Corpodetexto"/>
        <w:tabs>
          <w:tab w:val="clear" w:pos="1134"/>
        </w:tabs>
        <w:rPr>
          <w:strike/>
        </w:rPr>
      </w:pPr>
      <w:r w:rsidRPr="00EB234D">
        <w:rPr>
          <w:strike/>
        </w:rPr>
        <w:tab/>
        <w:t>4 - No campo “Depósito identificado (código-</w:t>
      </w:r>
      <w:proofErr w:type="spellStart"/>
      <w:r w:rsidRPr="00EB234D">
        <w:rPr>
          <w:strike/>
        </w:rPr>
        <w:t>dv</w:t>
      </w:r>
      <w:proofErr w:type="spellEnd"/>
      <w:r w:rsidRPr="00EB234D">
        <w:rPr>
          <w:strike/>
        </w:rPr>
        <w:t>) /Finalidade”: o n.º 25300236212250-7.</w:t>
      </w:r>
    </w:p>
    <w:p w:rsidR="00D356FE" w:rsidRPr="00EB234D" w:rsidRDefault="00A660ED">
      <w:pPr>
        <w:pStyle w:val="Corpodetexto"/>
        <w:tabs>
          <w:tab w:val="clear" w:pos="1134"/>
        </w:tabs>
        <w:rPr>
          <w:strike/>
        </w:rPr>
      </w:pPr>
      <w:r w:rsidRPr="00EB234D">
        <w:rPr>
          <w:strike/>
        </w:rPr>
        <w:tab/>
        <w:t>5 - No recibo de depósito, no campo “Nome do cliente”: ANVS e o código do fato Gerador, citado no item 3 acima.</w:t>
      </w:r>
    </w:p>
    <w:p w:rsidR="00D356FE" w:rsidRPr="00EB234D" w:rsidRDefault="00A660ED">
      <w:pPr>
        <w:pStyle w:val="Corpodetexto"/>
        <w:tabs>
          <w:tab w:val="clear" w:pos="1134"/>
        </w:tabs>
        <w:rPr>
          <w:strike/>
        </w:rPr>
      </w:pPr>
      <w:r w:rsidRPr="00EB234D">
        <w:rPr>
          <w:strike/>
        </w:rPr>
        <w:tab/>
      </w:r>
      <w:r w:rsidRPr="00EB234D">
        <w:rPr>
          <w:strike/>
        </w:rPr>
        <w:tab/>
      </w:r>
    </w:p>
    <w:p w:rsidR="00D356FE" w:rsidRPr="00EB234D" w:rsidRDefault="00A660ED">
      <w:pPr>
        <w:pStyle w:val="Corpodetexto"/>
        <w:tabs>
          <w:tab w:val="clear" w:pos="1134"/>
        </w:tabs>
        <w:ind w:firstLine="567"/>
        <w:rPr>
          <w:strike/>
        </w:rPr>
      </w:pPr>
      <w:r w:rsidRPr="00EB234D">
        <w:rPr>
          <w:strike/>
        </w:rPr>
        <w:t>Art. 3º Para efeito de recolhimento por intermédio da Guia de Recolhimento da Agência Nacional de Vigilância Sanitária – GRVS, o item 1.4 da Tabela constante da Resolução n.º 367, de 02/08/99 fica desdobrado no item 1.4.1.,incluíndo os descontos previstos na Nota n º 11 da mesma Resolução, de acordo com o tipo da empresa, que passa a vigorar com os valores do anexo.</w:t>
      </w:r>
    </w:p>
    <w:p w:rsidR="00D356FE" w:rsidRPr="00EB234D" w:rsidRDefault="00D356FE">
      <w:pPr>
        <w:pStyle w:val="Corpodetexto"/>
        <w:tabs>
          <w:tab w:val="clear" w:pos="1134"/>
        </w:tabs>
        <w:ind w:firstLine="567"/>
        <w:rPr>
          <w:strike/>
        </w:rPr>
      </w:pPr>
    </w:p>
    <w:p w:rsidR="00D356FE" w:rsidRPr="00EB234D" w:rsidRDefault="00A660ED">
      <w:pPr>
        <w:pStyle w:val="Corpodetexto"/>
        <w:tabs>
          <w:tab w:val="clear" w:pos="1134"/>
        </w:tabs>
        <w:ind w:firstLine="567"/>
        <w:rPr>
          <w:strike/>
        </w:rPr>
      </w:pPr>
      <w:r w:rsidRPr="00EB234D">
        <w:rPr>
          <w:strike/>
        </w:rPr>
        <w:t>Art. 4º Fica adotado o formulário de cobrança do Banco do Brasil S/A, para pagamento de multa referente a infrações, resultantes da ação fiscalizadora por parte da Agência Nacional de Vigilância Sanitária.</w:t>
      </w:r>
    </w:p>
    <w:p w:rsidR="00D356FE" w:rsidRPr="00EB234D" w:rsidRDefault="00D356FE">
      <w:pPr>
        <w:pStyle w:val="Corpodetexto"/>
        <w:tabs>
          <w:tab w:val="clear" w:pos="1134"/>
        </w:tabs>
        <w:ind w:firstLine="567"/>
        <w:rPr>
          <w:strike/>
        </w:rPr>
      </w:pPr>
    </w:p>
    <w:p w:rsidR="00D356FE" w:rsidRPr="00EB234D" w:rsidRDefault="00A660ED">
      <w:pPr>
        <w:pStyle w:val="Corpodetexto"/>
        <w:tabs>
          <w:tab w:val="clear" w:pos="1134"/>
        </w:tabs>
        <w:ind w:firstLine="567"/>
        <w:rPr>
          <w:strike/>
        </w:rPr>
      </w:pPr>
      <w:r w:rsidRPr="00EB234D">
        <w:rPr>
          <w:strike/>
        </w:rPr>
        <w:t>Art. 5º Determinar que a Procuradoria, ao notificar o infrator do resultado do julgamento dos Processos Administrativo – Sanitários, encaminhe a Guia de Recolhimento, devidamente preenchida.</w:t>
      </w:r>
    </w:p>
    <w:p w:rsidR="00D356FE" w:rsidRPr="00EB234D" w:rsidRDefault="00D356FE">
      <w:pPr>
        <w:pStyle w:val="Corpodetexto"/>
        <w:tabs>
          <w:tab w:val="clear" w:pos="1134"/>
        </w:tabs>
        <w:ind w:firstLine="567"/>
        <w:rPr>
          <w:strike/>
        </w:rPr>
      </w:pPr>
    </w:p>
    <w:p w:rsidR="00EB234D" w:rsidRPr="00EB234D" w:rsidRDefault="00A660ED" w:rsidP="00EB234D">
      <w:pPr>
        <w:ind w:firstLine="567"/>
        <w:rPr>
          <w:b/>
          <w:color w:val="0000FF"/>
          <w:sz w:val="24"/>
          <w:szCs w:val="24"/>
        </w:rPr>
      </w:pPr>
      <w:r w:rsidRPr="00EB234D">
        <w:rPr>
          <w:strike/>
          <w:sz w:val="24"/>
          <w:szCs w:val="24"/>
        </w:rPr>
        <w:t>Art. 6º A Guia de que trata o Artigo 4º estará disponível na Rede Corporativa do Ministério da Saúde, página da Agência Nacional de Vigilância Sanitária, no endereço constante do Artigo 1º.</w:t>
      </w:r>
      <w:r w:rsidR="00EB234D" w:rsidRPr="00EB234D">
        <w:rPr>
          <w:b/>
          <w:color w:val="0000FF"/>
          <w:sz w:val="24"/>
          <w:szCs w:val="24"/>
        </w:rPr>
        <w:t xml:space="preserve"> (Revogado pela Resolução – RDC nº 101, de 27 de novembro de 2000)</w:t>
      </w:r>
    </w:p>
    <w:p w:rsidR="00D356FE" w:rsidRPr="00EB234D" w:rsidRDefault="00D356FE">
      <w:pPr>
        <w:pStyle w:val="Corpodetexto"/>
        <w:tabs>
          <w:tab w:val="clear" w:pos="1134"/>
        </w:tabs>
        <w:ind w:firstLine="567"/>
        <w:rPr>
          <w:strike/>
        </w:rPr>
      </w:pPr>
    </w:p>
    <w:p w:rsidR="00D356FE" w:rsidRPr="00EB234D" w:rsidRDefault="00A660ED">
      <w:pPr>
        <w:pStyle w:val="Corpodetexto"/>
        <w:tabs>
          <w:tab w:val="clear" w:pos="1134"/>
        </w:tabs>
        <w:ind w:firstLine="567"/>
        <w:rPr>
          <w:strike/>
        </w:rPr>
      </w:pPr>
      <w:r w:rsidRPr="00EB234D">
        <w:rPr>
          <w:strike/>
        </w:rPr>
        <w:t>Art. 7º Os casos omissos pertinentes a esta Resolução serão resolvidos pela Diretoria de Administração e Finanças.</w:t>
      </w:r>
    </w:p>
    <w:p w:rsidR="00D356FE" w:rsidRPr="00EB234D" w:rsidRDefault="00D356FE">
      <w:pPr>
        <w:pStyle w:val="Corpodetexto"/>
        <w:tabs>
          <w:tab w:val="clear" w:pos="1134"/>
        </w:tabs>
        <w:ind w:left="567" w:hanging="567"/>
        <w:rPr>
          <w:strike/>
        </w:rPr>
      </w:pPr>
    </w:p>
    <w:p w:rsidR="00D356FE" w:rsidRPr="00EB234D" w:rsidRDefault="00A660ED">
      <w:pPr>
        <w:pStyle w:val="Corpodetexto"/>
        <w:tabs>
          <w:tab w:val="clear" w:pos="1134"/>
        </w:tabs>
        <w:ind w:left="567"/>
        <w:rPr>
          <w:strike/>
        </w:rPr>
      </w:pPr>
      <w:r w:rsidRPr="00EB234D">
        <w:rPr>
          <w:strike/>
        </w:rPr>
        <w:t>Art. 8º Esta Resolução de Diretoria Colegiada entrará em vigor na data de sua publicação.</w:t>
      </w:r>
    </w:p>
    <w:p w:rsidR="00D356FE" w:rsidRPr="00EB234D" w:rsidRDefault="00D356FE">
      <w:pPr>
        <w:pStyle w:val="Corpodetexto"/>
        <w:tabs>
          <w:tab w:val="clear" w:pos="1134"/>
        </w:tabs>
      </w:pPr>
    </w:p>
    <w:p w:rsidR="00D356FE" w:rsidRPr="00EB234D" w:rsidRDefault="00D356FE">
      <w:pPr>
        <w:pStyle w:val="Corpodetexto"/>
        <w:tabs>
          <w:tab w:val="clear" w:pos="1134"/>
        </w:tabs>
      </w:pPr>
    </w:p>
    <w:p w:rsidR="00D356FE" w:rsidRPr="00EB234D" w:rsidRDefault="00D356FE">
      <w:pPr>
        <w:pStyle w:val="Ttulo2"/>
        <w:rPr>
          <w:b w:val="0"/>
          <w:bCs w:val="0"/>
        </w:rPr>
      </w:pPr>
    </w:p>
    <w:p w:rsidR="00D356FE" w:rsidRPr="00EB234D" w:rsidRDefault="00A660ED">
      <w:pPr>
        <w:pStyle w:val="Ttulo2"/>
        <w:rPr>
          <w:b w:val="0"/>
          <w:bCs w:val="0"/>
        </w:rPr>
      </w:pPr>
      <w:r w:rsidRPr="00EB234D">
        <w:rPr>
          <w:b w:val="0"/>
          <w:bCs w:val="0"/>
        </w:rPr>
        <w:t>GONZALO VECINA NETO</w:t>
      </w:r>
    </w:p>
    <w:p w:rsidR="00F950C4" w:rsidRPr="00EB234D" w:rsidRDefault="00F950C4">
      <w:pPr>
        <w:pStyle w:val="Ttulo2"/>
        <w:rPr>
          <w:b w:val="0"/>
          <w:bCs w:val="0"/>
        </w:rPr>
        <w:sectPr w:rsidR="00F950C4" w:rsidRPr="00EB234D" w:rsidSect="00EB234D">
          <w:headerReference w:type="default" r:id="rId7"/>
          <w:footerReference w:type="default" r:id="rId8"/>
          <w:pgSz w:w="11907" w:h="16840" w:code="9"/>
          <w:pgMar w:top="851" w:right="851" w:bottom="851" w:left="851" w:header="709" w:footer="582" w:gutter="0"/>
          <w:cols w:space="709"/>
        </w:sectPr>
      </w:pPr>
    </w:p>
    <w:p w:rsidR="00D356FE" w:rsidRPr="00EB234D" w:rsidRDefault="00A660ED" w:rsidP="00F950C4">
      <w:pPr>
        <w:pStyle w:val="Ttulo2"/>
        <w:rPr>
          <w:b w:val="0"/>
          <w:bCs w:val="0"/>
        </w:rPr>
      </w:pPr>
      <w:r w:rsidRPr="00EB234D">
        <w:rPr>
          <w:b w:val="0"/>
          <w:bCs w:val="0"/>
        </w:rPr>
        <w:lastRenderedPageBreak/>
        <w:t>ANEXO</w:t>
      </w:r>
    </w:p>
    <w:p w:rsidR="00D356FE" w:rsidRPr="00EB234D" w:rsidRDefault="00D356FE">
      <w:pPr>
        <w:jc w:val="center"/>
        <w:rPr>
          <w:sz w:val="24"/>
          <w:szCs w:val="24"/>
        </w:rPr>
      </w:pPr>
    </w:p>
    <w:p w:rsidR="00D356FE" w:rsidRPr="00EB234D" w:rsidRDefault="00D356FE">
      <w:pPr>
        <w:ind w:right="-1"/>
        <w:jc w:val="center"/>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3138"/>
        <w:gridCol w:w="831"/>
        <w:gridCol w:w="1417"/>
        <w:gridCol w:w="871"/>
        <w:gridCol w:w="1114"/>
        <w:gridCol w:w="10"/>
        <w:gridCol w:w="1286"/>
        <w:gridCol w:w="1123"/>
        <w:gridCol w:w="11"/>
        <w:gridCol w:w="1134"/>
        <w:gridCol w:w="9"/>
        <w:gridCol w:w="1246"/>
        <w:gridCol w:w="10"/>
      </w:tblGrid>
      <w:tr w:rsidR="009A6483" w:rsidRPr="00890DF7" w:rsidTr="00631D22">
        <w:trPr>
          <w:gridAfter w:val="1"/>
          <w:wAfter w:w="10" w:type="dxa"/>
          <w:cantSplit/>
          <w:trHeight w:val="240"/>
          <w:jc w:val="center"/>
        </w:trPr>
        <w:tc>
          <w:tcPr>
            <w:tcW w:w="13183" w:type="dxa"/>
            <w:gridSpan w:val="13"/>
            <w:vAlign w:val="center"/>
          </w:tcPr>
          <w:p w:rsidR="00D356FE" w:rsidRPr="00890DF7" w:rsidRDefault="00A660ED">
            <w:pPr>
              <w:jc w:val="center"/>
              <w:rPr>
                <w:strike/>
                <w:sz w:val="24"/>
                <w:szCs w:val="24"/>
              </w:rPr>
            </w:pPr>
            <w:r w:rsidRPr="00890DF7">
              <w:rPr>
                <w:strike/>
                <w:sz w:val="24"/>
                <w:szCs w:val="24"/>
              </w:rPr>
              <w:t xml:space="preserve">TABELA DE DESCONTOS DA TAXA DE VIGILÂNCIA SANITÁRIA </w:t>
            </w:r>
          </w:p>
        </w:tc>
      </w:tr>
      <w:tr w:rsidR="00D356FE" w:rsidRPr="00890DF7" w:rsidTr="00631D22">
        <w:trPr>
          <w:gridAfter w:val="1"/>
          <w:wAfter w:w="10" w:type="dxa"/>
          <w:cantSplit/>
          <w:trHeight w:val="240"/>
          <w:jc w:val="center"/>
        </w:trPr>
        <w:tc>
          <w:tcPr>
            <w:tcW w:w="993" w:type="dxa"/>
            <w:vMerge w:val="restart"/>
            <w:vAlign w:val="center"/>
          </w:tcPr>
          <w:p w:rsidR="00D356FE" w:rsidRPr="00890DF7" w:rsidRDefault="00A660ED">
            <w:pPr>
              <w:jc w:val="center"/>
              <w:rPr>
                <w:strike/>
                <w:sz w:val="24"/>
                <w:szCs w:val="24"/>
              </w:rPr>
            </w:pPr>
            <w:r w:rsidRPr="00890DF7">
              <w:rPr>
                <w:strike/>
                <w:sz w:val="24"/>
                <w:szCs w:val="24"/>
              </w:rPr>
              <w:t>ITENS</w:t>
            </w:r>
          </w:p>
        </w:tc>
        <w:tc>
          <w:tcPr>
            <w:tcW w:w="3138" w:type="dxa"/>
            <w:vMerge w:val="restart"/>
            <w:vAlign w:val="center"/>
          </w:tcPr>
          <w:p w:rsidR="00D356FE" w:rsidRPr="00890DF7" w:rsidRDefault="00A660ED">
            <w:pPr>
              <w:jc w:val="center"/>
              <w:rPr>
                <w:strike/>
                <w:sz w:val="24"/>
                <w:szCs w:val="24"/>
              </w:rPr>
            </w:pPr>
            <w:r w:rsidRPr="00890DF7">
              <w:rPr>
                <w:strike/>
                <w:sz w:val="24"/>
                <w:szCs w:val="24"/>
              </w:rPr>
              <w:t>DESCRIÇÃO DO FATO GERADOR</w:t>
            </w:r>
          </w:p>
        </w:tc>
        <w:tc>
          <w:tcPr>
            <w:tcW w:w="2248" w:type="dxa"/>
            <w:gridSpan w:val="2"/>
            <w:vAlign w:val="center"/>
          </w:tcPr>
          <w:p w:rsidR="00D356FE" w:rsidRPr="00890DF7" w:rsidRDefault="00A660ED">
            <w:pPr>
              <w:jc w:val="center"/>
              <w:rPr>
                <w:strike/>
                <w:sz w:val="24"/>
                <w:szCs w:val="24"/>
              </w:rPr>
            </w:pPr>
            <w:r w:rsidRPr="00890DF7">
              <w:rPr>
                <w:strike/>
                <w:sz w:val="24"/>
                <w:szCs w:val="24"/>
              </w:rPr>
              <w:t>IDENTIFICADOR DO PRODUTO</w:t>
            </w:r>
          </w:p>
        </w:tc>
        <w:tc>
          <w:tcPr>
            <w:tcW w:w="6804" w:type="dxa"/>
            <w:gridSpan w:val="9"/>
            <w:vAlign w:val="center"/>
          </w:tcPr>
          <w:p w:rsidR="00D356FE" w:rsidRPr="00890DF7" w:rsidRDefault="00A660ED">
            <w:pPr>
              <w:jc w:val="center"/>
              <w:rPr>
                <w:strike/>
                <w:sz w:val="24"/>
                <w:szCs w:val="24"/>
              </w:rPr>
            </w:pPr>
            <w:r w:rsidRPr="00890DF7">
              <w:rPr>
                <w:strike/>
                <w:sz w:val="24"/>
                <w:szCs w:val="24"/>
              </w:rPr>
              <w:t>TIPO DE EMPRESA</w:t>
            </w:r>
          </w:p>
        </w:tc>
      </w:tr>
      <w:tr w:rsidR="00D356FE" w:rsidRPr="00890DF7" w:rsidTr="009A3646">
        <w:trPr>
          <w:gridAfter w:val="1"/>
          <w:wAfter w:w="10" w:type="dxa"/>
          <w:cantSplit/>
          <w:trHeight w:val="276"/>
          <w:jc w:val="center"/>
        </w:trPr>
        <w:tc>
          <w:tcPr>
            <w:tcW w:w="993" w:type="dxa"/>
            <w:vMerge/>
          </w:tcPr>
          <w:p w:rsidR="00D356FE" w:rsidRPr="00890DF7" w:rsidRDefault="00D356FE">
            <w:pPr>
              <w:rPr>
                <w:strike/>
                <w:sz w:val="24"/>
                <w:szCs w:val="24"/>
              </w:rPr>
            </w:pPr>
          </w:p>
        </w:tc>
        <w:tc>
          <w:tcPr>
            <w:tcW w:w="3138" w:type="dxa"/>
            <w:vMerge/>
          </w:tcPr>
          <w:p w:rsidR="00D356FE" w:rsidRPr="00890DF7" w:rsidRDefault="00D356FE">
            <w:pPr>
              <w:rPr>
                <w:strike/>
                <w:sz w:val="24"/>
                <w:szCs w:val="24"/>
              </w:rPr>
            </w:pPr>
          </w:p>
        </w:tc>
        <w:tc>
          <w:tcPr>
            <w:tcW w:w="831" w:type="dxa"/>
            <w:vMerge w:val="restart"/>
            <w:vAlign w:val="center"/>
          </w:tcPr>
          <w:p w:rsidR="00D356FE" w:rsidRPr="00890DF7" w:rsidRDefault="00A660ED">
            <w:pPr>
              <w:jc w:val="center"/>
              <w:rPr>
                <w:strike/>
                <w:sz w:val="24"/>
                <w:szCs w:val="24"/>
              </w:rPr>
            </w:pPr>
            <w:r w:rsidRPr="00890DF7">
              <w:rPr>
                <w:strike/>
                <w:sz w:val="24"/>
                <w:szCs w:val="24"/>
              </w:rPr>
              <w:t>Fato Gerador</w:t>
            </w:r>
          </w:p>
        </w:tc>
        <w:tc>
          <w:tcPr>
            <w:tcW w:w="1417" w:type="dxa"/>
            <w:vMerge w:val="restart"/>
            <w:vAlign w:val="center"/>
          </w:tcPr>
          <w:p w:rsidR="00D356FE" w:rsidRPr="00890DF7" w:rsidRDefault="00A660ED">
            <w:pPr>
              <w:jc w:val="center"/>
              <w:rPr>
                <w:strike/>
                <w:sz w:val="24"/>
                <w:szCs w:val="24"/>
              </w:rPr>
            </w:pPr>
            <w:r w:rsidRPr="00890DF7">
              <w:rPr>
                <w:strike/>
                <w:sz w:val="24"/>
                <w:szCs w:val="24"/>
              </w:rPr>
              <w:t>(DV)</w:t>
            </w:r>
          </w:p>
        </w:tc>
        <w:tc>
          <w:tcPr>
            <w:tcW w:w="871" w:type="dxa"/>
            <w:vMerge w:val="restart"/>
            <w:vAlign w:val="center"/>
          </w:tcPr>
          <w:p w:rsidR="00D356FE" w:rsidRPr="00890DF7" w:rsidRDefault="00A660ED">
            <w:pPr>
              <w:jc w:val="center"/>
              <w:rPr>
                <w:strike/>
                <w:sz w:val="24"/>
                <w:szCs w:val="24"/>
              </w:rPr>
            </w:pPr>
            <w:r w:rsidRPr="00890DF7">
              <w:rPr>
                <w:strike/>
                <w:sz w:val="24"/>
                <w:szCs w:val="24"/>
              </w:rPr>
              <w:t>GRUPO I GRANDE</w:t>
            </w:r>
          </w:p>
          <w:p w:rsidR="00D356FE" w:rsidRPr="00890DF7" w:rsidRDefault="00A660ED">
            <w:pPr>
              <w:jc w:val="center"/>
              <w:rPr>
                <w:strike/>
                <w:sz w:val="24"/>
                <w:szCs w:val="24"/>
              </w:rPr>
            </w:pPr>
            <w:r w:rsidRPr="00890DF7">
              <w:rPr>
                <w:strike/>
                <w:sz w:val="24"/>
                <w:szCs w:val="24"/>
              </w:rPr>
              <w:t>R$</w:t>
            </w:r>
          </w:p>
        </w:tc>
        <w:tc>
          <w:tcPr>
            <w:tcW w:w="1114" w:type="dxa"/>
            <w:vMerge w:val="restart"/>
            <w:vAlign w:val="center"/>
          </w:tcPr>
          <w:p w:rsidR="00D356FE" w:rsidRPr="00890DF7" w:rsidRDefault="00A660ED">
            <w:pPr>
              <w:jc w:val="center"/>
              <w:rPr>
                <w:strike/>
                <w:sz w:val="24"/>
                <w:szCs w:val="24"/>
              </w:rPr>
            </w:pPr>
            <w:r w:rsidRPr="00890DF7">
              <w:rPr>
                <w:strike/>
                <w:sz w:val="24"/>
                <w:szCs w:val="24"/>
              </w:rPr>
              <w:t>GRUPO II GRANDE</w:t>
            </w:r>
          </w:p>
          <w:p w:rsidR="00D356FE" w:rsidRPr="00890DF7" w:rsidRDefault="00A660ED">
            <w:pPr>
              <w:jc w:val="center"/>
              <w:rPr>
                <w:strike/>
                <w:sz w:val="24"/>
                <w:szCs w:val="24"/>
              </w:rPr>
            </w:pPr>
            <w:r w:rsidRPr="00890DF7">
              <w:rPr>
                <w:strike/>
                <w:sz w:val="24"/>
                <w:szCs w:val="24"/>
              </w:rPr>
              <w:t>R$</w:t>
            </w:r>
          </w:p>
        </w:tc>
        <w:tc>
          <w:tcPr>
            <w:tcW w:w="1296" w:type="dxa"/>
            <w:gridSpan w:val="2"/>
            <w:vMerge w:val="restart"/>
            <w:vAlign w:val="center"/>
          </w:tcPr>
          <w:p w:rsidR="00D356FE" w:rsidRPr="00890DF7" w:rsidRDefault="00A660ED">
            <w:pPr>
              <w:jc w:val="center"/>
              <w:rPr>
                <w:strike/>
                <w:sz w:val="24"/>
                <w:szCs w:val="24"/>
              </w:rPr>
            </w:pPr>
            <w:r w:rsidRPr="00890DF7">
              <w:rPr>
                <w:strike/>
                <w:sz w:val="24"/>
                <w:szCs w:val="24"/>
              </w:rPr>
              <w:t>GRUPO III MÉDIA</w:t>
            </w:r>
          </w:p>
          <w:p w:rsidR="00D356FE" w:rsidRPr="00890DF7" w:rsidRDefault="00A660ED">
            <w:pPr>
              <w:jc w:val="center"/>
              <w:rPr>
                <w:strike/>
                <w:sz w:val="24"/>
                <w:szCs w:val="24"/>
              </w:rPr>
            </w:pPr>
            <w:r w:rsidRPr="00890DF7">
              <w:rPr>
                <w:strike/>
                <w:sz w:val="24"/>
                <w:szCs w:val="24"/>
              </w:rPr>
              <w:t>R$</w:t>
            </w:r>
          </w:p>
        </w:tc>
        <w:tc>
          <w:tcPr>
            <w:tcW w:w="1134" w:type="dxa"/>
            <w:gridSpan w:val="2"/>
            <w:vMerge w:val="restart"/>
            <w:vAlign w:val="center"/>
          </w:tcPr>
          <w:p w:rsidR="00D356FE" w:rsidRPr="00890DF7" w:rsidRDefault="00A660ED">
            <w:pPr>
              <w:jc w:val="center"/>
              <w:rPr>
                <w:strike/>
                <w:sz w:val="24"/>
                <w:szCs w:val="24"/>
              </w:rPr>
            </w:pPr>
            <w:r w:rsidRPr="00890DF7">
              <w:rPr>
                <w:strike/>
                <w:sz w:val="24"/>
                <w:szCs w:val="24"/>
              </w:rPr>
              <w:t>GRUPO IV MÉDIA</w:t>
            </w:r>
          </w:p>
          <w:p w:rsidR="00D356FE" w:rsidRPr="00890DF7" w:rsidRDefault="00A660ED">
            <w:pPr>
              <w:jc w:val="center"/>
              <w:rPr>
                <w:strike/>
                <w:sz w:val="24"/>
                <w:szCs w:val="24"/>
              </w:rPr>
            </w:pPr>
            <w:r w:rsidRPr="00890DF7">
              <w:rPr>
                <w:strike/>
                <w:sz w:val="24"/>
                <w:szCs w:val="24"/>
              </w:rPr>
              <w:t>R$</w:t>
            </w:r>
          </w:p>
        </w:tc>
        <w:tc>
          <w:tcPr>
            <w:tcW w:w="1134" w:type="dxa"/>
            <w:vMerge w:val="restart"/>
            <w:vAlign w:val="center"/>
          </w:tcPr>
          <w:p w:rsidR="00D356FE" w:rsidRPr="00890DF7" w:rsidRDefault="00A660ED">
            <w:pPr>
              <w:jc w:val="center"/>
              <w:rPr>
                <w:strike/>
                <w:sz w:val="24"/>
                <w:szCs w:val="24"/>
              </w:rPr>
            </w:pPr>
            <w:r w:rsidRPr="00890DF7">
              <w:rPr>
                <w:strike/>
                <w:sz w:val="24"/>
                <w:szCs w:val="24"/>
              </w:rPr>
              <w:t>PEQUENA</w:t>
            </w:r>
          </w:p>
          <w:p w:rsidR="00D356FE" w:rsidRPr="00890DF7" w:rsidRDefault="00A660ED">
            <w:pPr>
              <w:jc w:val="center"/>
              <w:rPr>
                <w:strike/>
                <w:sz w:val="24"/>
                <w:szCs w:val="24"/>
              </w:rPr>
            </w:pPr>
            <w:r w:rsidRPr="00890DF7">
              <w:rPr>
                <w:strike/>
                <w:sz w:val="24"/>
                <w:szCs w:val="24"/>
              </w:rPr>
              <w:t>R$</w:t>
            </w:r>
          </w:p>
        </w:tc>
        <w:tc>
          <w:tcPr>
            <w:tcW w:w="1255" w:type="dxa"/>
            <w:gridSpan w:val="2"/>
            <w:vMerge w:val="restart"/>
            <w:vAlign w:val="center"/>
          </w:tcPr>
          <w:p w:rsidR="00D356FE" w:rsidRPr="00890DF7" w:rsidRDefault="00A660ED">
            <w:pPr>
              <w:jc w:val="center"/>
              <w:rPr>
                <w:strike/>
                <w:sz w:val="24"/>
                <w:szCs w:val="24"/>
              </w:rPr>
            </w:pPr>
            <w:r w:rsidRPr="00890DF7">
              <w:rPr>
                <w:strike/>
                <w:sz w:val="24"/>
                <w:szCs w:val="24"/>
              </w:rPr>
              <w:t>MICRO</w:t>
            </w:r>
          </w:p>
          <w:p w:rsidR="00D356FE" w:rsidRPr="00890DF7" w:rsidRDefault="00A660ED">
            <w:pPr>
              <w:jc w:val="center"/>
              <w:rPr>
                <w:strike/>
                <w:sz w:val="24"/>
                <w:szCs w:val="24"/>
              </w:rPr>
            </w:pPr>
            <w:r w:rsidRPr="00890DF7">
              <w:rPr>
                <w:strike/>
                <w:sz w:val="24"/>
                <w:szCs w:val="24"/>
              </w:rPr>
              <w:t>R$</w:t>
            </w:r>
          </w:p>
        </w:tc>
      </w:tr>
      <w:tr w:rsidR="00D356FE" w:rsidRPr="00890DF7" w:rsidTr="009A3646">
        <w:trPr>
          <w:gridAfter w:val="1"/>
          <w:wAfter w:w="10" w:type="dxa"/>
          <w:cantSplit/>
          <w:trHeight w:val="276"/>
          <w:jc w:val="center"/>
        </w:trPr>
        <w:tc>
          <w:tcPr>
            <w:tcW w:w="993" w:type="dxa"/>
            <w:vMerge/>
          </w:tcPr>
          <w:p w:rsidR="00D356FE" w:rsidRPr="00890DF7" w:rsidRDefault="00D356FE">
            <w:pPr>
              <w:jc w:val="center"/>
              <w:rPr>
                <w:strike/>
                <w:sz w:val="24"/>
                <w:szCs w:val="24"/>
              </w:rPr>
            </w:pPr>
          </w:p>
        </w:tc>
        <w:tc>
          <w:tcPr>
            <w:tcW w:w="3138" w:type="dxa"/>
            <w:vMerge/>
          </w:tcPr>
          <w:p w:rsidR="00D356FE" w:rsidRPr="00890DF7" w:rsidRDefault="00D356FE">
            <w:pPr>
              <w:jc w:val="center"/>
              <w:rPr>
                <w:strike/>
                <w:sz w:val="24"/>
                <w:szCs w:val="24"/>
              </w:rPr>
            </w:pPr>
          </w:p>
        </w:tc>
        <w:tc>
          <w:tcPr>
            <w:tcW w:w="831" w:type="dxa"/>
            <w:vMerge/>
          </w:tcPr>
          <w:p w:rsidR="00D356FE" w:rsidRPr="00890DF7" w:rsidRDefault="00D356FE">
            <w:pPr>
              <w:jc w:val="center"/>
              <w:rPr>
                <w:strike/>
                <w:sz w:val="24"/>
                <w:szCs w:val="24"/>
              </w:rPr>
            </w:pPr>
          </w:p>
        </w:tc>
        <w:tc>
          <w:tcPr>
            <w:tcW w:w="1417" w:type="dxa"/>
            <w:vMerge/>
          </w:tcPr>
          <w:p w:rsidR="00D356FE" w:rsidRPr="00890DF7" w:rsidRDefault="00D356FE">
            <w:pPr>
              <w:jc w:val="center"/>
              <w:rPr>
                <w:strike/>
                <w:sz w:val="24"/>
                <w:szCs w:val="24"/>
              </w:rPr>
            </w:pPr>
          </w:p>
        </w:tc>
        <w:tc>
          <w:tcPr>
            <w:tcW w:w="871" w:type="dxa"/>
            <w:vMerge/>
          </w:tcPr>
          <w:p w:rsidR="00D356FE" w:rsidRPr="00890DF7" w:rsidRDefault="00D356FE">
            <w:pPr>
              <w:jc w:val="center"/>
              <w:rPr>
                <w:strike/>
                <w:sz w:val="24"/>
                <w:szCs w:val="24"/>
              </w:rPr>
            </w:pPr>
          </w:p>
        </w:tc>
        <w:tc>
          <w:tcPr>
            <w:tcW w:w="1114" w:type="dxa"/>
            <w:vMerge/>
          </w:tcPr>
          <w:p w:rsidR="00D356FE" w:rsidRPr="00890DF7" w:rsidRDefault="00D356FE">
            <w:pPr>
              <w:jc w:val="center"/>
              <w:rPr>
                <w:strike/>
                <w:sz w:val="24"/>
                <w:szCs w:val="24"/>
              </w:rPr>
            </w:pPr>
          </w:p>
        </w:tc>
        <w:tc>
          <w:tcPr>
            <w:tcW w:w="1296" w:type="dxa"/>
            <w:gridSpan w:val="2"/>
            <w:vMerge/>
          </w:tcPr>
          <w:p w:rsidR="00D356FE" w:rsidRPr="00890DF7" w:rsidRDefault="00D356FE">
            <w:pPr>
              <w:jc w:val="center"/>
              <w:rPr>
                <w:strike/>
                <w:sz w:val="24"/>
                <w:szCs w:val="24"/>
              </w:rPr>
            </w:pPr>
          </w:p>
        </w:tc>
        <w:tc>
          <w:tcPr>
            <w:tcW w:w="1134" w:type="dxa"/>
            <w:gridSpan w:val="2"/>
            <w:vMerge/>
          </w:tcPr>
          <w:p w:rsidR="00D356FE" w:rsidRPr="00890DF7" w:rsidRDefault="00D356FE">
            <w:pPr>
              <w:jc w:val="center"/>
              <w:rPr>
                <w:strike/>
                <w:sz w:val="24"/>
                <w:szCs w:val="24"/>
              </w:rPr>
            </w:pPr>
          </w:p>
        </w:tc>
        <w:tc>
          <w:tcPr>
            <w:tcW w:w="1134" w:type="dxa"/>
            <w:vMerge/>
          </w:tcPr>
          <w:p w:rsidR="00D356FE" w:rsidRPr="00890DF7" w:rsidRDefault="00D356FE">
            <w:pPr>
              <w:jc w:val="center"/>
              <w:rPr>
                <w:strike/>
                <w:sz w:val="24"/>
                <w:szCs w:val="24"/>
              </w:rPr>
            </w:pPr>
          </w:p>
        </w:tc>
        <w:tc>
          <w:tcPr>
            <w:tcW w:w="1255" w:type="dxa"/>
            <w:gridSpan w:val="2"/>
            <w:vMerge/>
          </w:tcPr>
          <w:p w:rsidR="00D356FE" w:rsidRPr="00890DF7" w:rsidRDefault="00D356FE">
            <w:pPr>
              <w:jc w:val="center"/>
              <w:rPr>
                <w:strike/>
                <w:sz w:val="24"/>
                <w:szCs w:val="24"/>
              </w:rPr>
            </w:pPr>
          </w:p>
        </w:tc>
      </w:tr>
      <w:tr w:rsidR="009A6483" w:rsidRPr="00890DF7" w:rsidTr="009A3646">
        <w:trPr>
          <w:cantSplit/>
          <w:trHeight w:val="240"/>
          <w:jc w:val="center"/>
        </w:trPr>
        <w:tc>
          <w:tcPr>
            <w:tcW w:w="993" w:type="dxa"/>
            <w:vAlign w:val="center"/>
          </w:tcPr>
          <w:p w:rsidR="00D356FE" w:rsidRPr="00890DF7" w:rsidRDefault="00A660ED">
            <w:pPr>
              <w:jc w:val="center"/>
              <w:rPr>
                <w:strike/>
                <w:sz w:val="24"/>
                <w:szCs w:val="24"/>
              </w:rPr>
            </w:pPr>
            <w:r w:rsidRPr="00890DF7">
              <w:rPr>
                <w:strike/>
                <w:sz w:val="24"/>
                <w:szCs w:val="24"/>
              </w:rPr>
              <w:t>1.4.</w:t>
            </w:r>
          </w:p>
        </w:tc>
        <w:tc>
          <w:tcPr>
            <w:tcW w:w="3138" w:type="dxa"/>
          </w:tcPr>
          <w:p w:rsidR="00D356FE" w:rsidRPr="00890DF7" w:rsidRDefault="00A660ED">
            <w:pPr>
              <w:jc w:val="both"/>
              <w:rPr>
                <w:strike/>
                <w:sz w:val="24"/>
                <w:szCs w:val="24"/>
              </w:rPr>
            </w:pPr>
            <w:r w:rsidRPr="00890DF7">
              <w:rPr>
                <w:strike/>
                <w:sz w:val="24"/>
                <w:szCs w:val="24"/>
              </w:rPr>
              <w:t xml:space="preserve">Drogarias, farmácias e comércio varejista de material médico hospitalar. </w:t>
            </w:r>
          </w:p>
        </w:tc>
        <w:tc>
          <w:tcPr>
            <w:tcW w:w="831" w:type="dxa"/>
          </w:tcPr>
          <w:p w:rsidR="00D356FE" w:rsidRPr="00890DF7" w:rsidRDefault="00D356FE">
            <w:pPr>
              <w:jc w:val="center"/>
              <w:rPr>
                <w:strike/>
                <w:sz w:val="24"/>
                <w:szCs w:val="24"/>
              </w:rPr>
            </w:pPr>
          </w:p>
          <w:p w:rsidR="00D356FE" w:rsidRPr="00890DF7" w:rsidRDefault="00D356FE">
            <w:pPr>
              <w:jc w:val="center"/>
              <w:rPr>
                <w:strike/>
                <w:sz w:val="24"/>
                <w:szCs w:val="24"/>
              </w:rPr>
            </w:pPr>
          </w:p>
          <w:p w:rsidR="00D356FE" w:rsidRPr="00890DF7" w:rsidRDefault="00A660ED">
            <w:pPr>
              <w:jc w:val="center"/>
              <w:rPr>
                <w:strike/>
                <w:sz w:val="24"/>
                <w:szCs w:val="24"/>
              </w:rPr>
            </w:pPr>
            <w:r w:rsidRPr="00890DF7">
              <w:rPr>
                <w:strike/>
                <w:sz w:val="24"/>
                <w:szCs w:val="24"/>
              </w:rPr>
              <w:t>014</w:t>
            </w:r>
          </w:p>
        </w:tc>
        <w:tc>
          <w:tcPr>
            <w:tcW w:w="1417" w:type="dxa"/>
          </w:tcPr>
          <w:p w:rsidR="00D356FE" w:rsidRPr="00890DF7" w:rsidRDefault="00D356FE">
            <w:pPr>
              <w:jc w:val="center"/>
              <w:rPr>
                <w:strike/>
                <w:sz w:val="24"/>
                <w:szCs w:val="24"/>
              </w:rPr>
            </w:pPr>
          </w:p>
          <w:p w:rsidR="00D356FE" w:rsidRPr="00890DF7" w:rsidRDefault="00D356FE">
            <w:pPr>
              <w:jc w:val="center"/>
              <w:rPr>
                <w:strike/>
                <w:sz w:val="24"/>
                <w:szCs w:val="24"/>
              </w:rPr>
            </w:pPr>
          </w:p>
          <w:p w:rsidR="00D356FE" w:rsidRPr="00890DF7" w:rsidRDefault="00A660ED">
            <w:pPr>
              <w:jc w:val="center"/>
              <w:rPr>
                <w:strike/>
                <w:sz w:val="24"/>
                <w:szCs w:val="24"/>
              </w:rPr>
            </w:pPr>
            <w:r w:rsidRPr="00890DF7">
              <w:rPr>
                <w:strike/>
                <w:sz w:val="24"/>
                <w:szCs w:val="24"/>
              </w:rPr>
              <w:t>8</w:t>
            </w:r>
          </w:p>
        </w:tc>
        <w:tc>
          <w:tcPr>
            <w:tcW w:w="871" w:type="dxa"/>
          </w:tcPr>
          <w:p w:rsidR="00D356FE" w:rsidRPr="00890DF7" w:rsidRDefault="00D356FE">
            <w:pPr>
              <w:jc w:val="center"/>
              <w:rPr>
                <w:strike/>
                <w:sz w:val="24"/>
                <w:szCs w:val="24"/>
              </w:rPr>
            </w:pPr>
          </w:p>
          <w:p w:rsidR="00D356FE" w:rsidRPr="00890DF7" w:rsidRDefault="00D356FE">
            <w:pPr>
              <w:jc w:val="center"/>
              <w:rPr>
                <w:strike/>
                <w:sz w:val="24"/>
                <w:szCs w:val="24"/>
              </w:rPr>
            </w:pPr>
          </w:p>
          <w:p w:rsidR="00D356FE" w:rsidRPr="00890DF7" w:rsidRDefault="00A660ED">
            <w:pPr>
              <w:jc w:val="center"/>
              <w:rPr>
                <w:strike/>
                <w:sz w:val="24"/>
                <w:szCs w:val="24"/>
              </w:rPr>
            </w:pPr>
            <w:r w:rsidRPr="00890DF7">
              <w:rPr>
                <w:strike/>
                <w:sz w:val="24"/>
                <w:szCs w:val="24"/>
              </w:rPr>
              <w:t>5.000</w:t>
            </w:r>
          </w:p>
        </w:tc>
        <w:tc>
          <w:tcPr>
            <w:tcW w:w="1124" w:type="dxa"/>
            <w:gridSpan w:val="2"/>
          </w:tcPr>
          <w:p w:rsidR="00D356FE" w:rsidRPr="00890DF7" w:rsidRDefault="00D356FE">
            <w:pPr>
              <w:jc w:val="center"/>
              <w:rPr>
                <w:strike/>
                <w:sz w:val="24"/>
                <w:szCs w:val="24"/>
              </w:rPr>
            </w:pPr>
          </w:p>
          <w:p w:rsidR="00D356FE" w:rsidRPr="00890DF7" w:rsidRDefault="00D356FE">
            <w:pPr>
              <w:jc w:val="center"/>
              <w:rPr>
                <w:strike/>
                <w:sz w:val="24"/>
                <w:szCs w:val="24"/>
              </w:rPr>
            </w:pPr>
          </w:p>
          <w:p w:rsidR="00D356FE" w:rsidRPr="00890DF7" w:rsidRDefault="00A660ED">
            <w:pPr>
              <w:jc w:val="center"/>
              <w:rPr>
                <w:strike/>
                <w:sz w:val="24"/>
                <w:szCs w:val="24"/>
              </w:rPr>
            </w:pPr>
            <w:r w:rsidRPr="00890DF7">
              <w:rPr>
                <w:strike/>
                <w:sz w:val="24"/>
                <w:szCs w:val="24"/>
              </w:rPr>
              <w:t>4.250</w:t>
            </w:r>
          </w:p>
        </w:tc>
        <w:tc>
          <w:tcPr>
            <w:tcW w:w="1286" w:type="dxa"/>
          </w:tcPr>
          <w:p w:rsidR="00D356FE" w:rsidRPr="00890DF7" w:rsidRDefault="00D356FE">
            <w:pPr>
              <w:jc w:val="center"/>
              <w:rPr>
                <w:strike/>
                <w:sz w:val="24"/>
                <w:szCs w:val="24"/>
              </w:rPr>
            </w:pPr>
          </w:p>
          <w:p w:rsidR="00D356FE" w:rsidRPr="00890DF7" w:rsidRDefault="00D356FE">
            <w:pPr>
              <w:jc w:val="center"/>
              <w:rPr>
                <w:strike/>
                <w:sz w:val="24"/>
                <w:szCs w:val="24"/>
              </w:rPr>
            </w:pPr>
          </w:p>
          <w:p w:rsidR="00D356FE" w:rsidRPr="00890DF7" w:rsidRDefault="00A660ED">
            <w:pPr>
              <w:jc w:val="center"/>
              <w:rPr>
                <w:strike/>
                <w:sz w:val="24"/>
                <w:szCs w:val="24"/>
              </w:rPr>
            </w:pPr>
            <w:r w:rsidRPr="00890DF7">
              <w:rPr>
                <w:strike/>
                <w:sz w:val="24"/>
                <w:szCs w:val="24"/>
              </w:rPr>
              <w:t>3.500</w:t>
            </w:r>
          </w:p>
        </w:tc>
        <w:tc>
          <w:tcPr>
            <w:tcW w:w="1123" w:type="dxa"/>
          </w:tcPr>
          <w:p w:rsidR="00D356FE" w:rsidRPr="00890DF7" w:rsidRDefault="00D356FE">
            <w:pPr>
              <w:jc w:val="center"/>
              <w:rPr>
                <w:strike/>
                <w:sz w:val="24"/>
                <w:szCs w:val="24"/>
              </w:rPr>
            </w:pPr>
          </w:p>
          <w:p w:rsidR="00D356FE" w:rsidRPr="00890DF7" w:rsidRDefault="00D356FE">
            <w:pPr>
              <w:jc w:val="center"/>
              <w:rPr>
                <w:strike/>
                <w:sz w:val="24"/>
                <w:szCs w:val="24"/>
              </w:rPr>
            </w:pPr>
          </w:p>
          <w:p w:rsidR="00D356FE" w:rsidRPr="00890DF7" w:rsidRDefault="00A660ED">
            <w:pPr>
              <w:jc w:val="center"/>
              <w:rPr>
                <w:strike/>
                <w:sz w:val="24"/>
                <w:szCs w:val="24"/>
              </w:rPr>
            </w:pPr>
            <w:r w:rsidRPr="00890DF7">
              <w:rPr>
                <w:strike/>
                <w:sz w:val="24"/>
                <w:szCs w:val="24"/>
              </w:rPr>
              <w:t>2.000</w:t>
            </w:r>
          </w:p>
        </w:tc>
        <w:tc>
          <w:tcPr>
            <w:tcW w:w="1154" w:type="dxa"/>
            <w:gridSpan w:val="3"/>
          </w:tcPr>
          <w:p w:rsidR="00D356FE" w:rsidRPr="00890DF7" w:rsidRDefault="00D356FE">
            <w:pPr>
              <w:jc w:val="center"/>
              <w:rPr>
                <w:strike/>
                <w:sz w:val="24"/>
                <w:szCs w:val="24"/>
              </w:rPr>
            </w:pPr>
          </w:p>
          <w:p w:rsidR="00D356FE" w:rsidRPr="00890DF7" w:rsidRDefault="00D356FE">
            <w:pPr>
              <w:jc w:val="center"/>
              <w:rPr>
                <w:strike/>
                <w:sz w:val="24"/>
                <w:szCs w:val="24"/>
              </w:rPr>
            </w:pPr>
          </w:p>
          <w:p w:rsidR="00D356FE" w:rsidRPr="00890DF7" w:rsidRDefault="00A660ED">
            <w:pPr>
              <w:jc w:val="center"/>
              <w:rPr>
                <w:strike/>
                <w:sz w:val="24"/>
                <w:szCs w:val="24"/>
              </w:rPr>
            </w:pPr>
            <w:r w:rsidRPr="00890DF7">
              <w:rPr>
                <w:strike/>
                <w:sz w:val="24"/>
                <w:szCs w:val="24"/>
              </w:rPr>
              <w:t>500</w:t>
            </w:r>
          </w:p>
        </w:tc>
        <w:tc>
          <w:tcPr>
            <w:tcW w:w="1256" w:type="dxa"/>
            <w:gridSpan w:val="2"/>
          </w:tcPr>
          <w:p w:rsidR="00D356FE" w:rsidRPr="00890DF7" w:rsidRDefault="00D356FE">
            <w:pPr>
              <w:jc w:val="center"/>
              <w:rPr>
                <w:strike/>
                <w:sz w:val="24"/>
                <w:szCs w:val="24"/>
              </w:rPr>
            </w:pPr>
          </w:p>
          <w:p w:rsidR="00D356FE" w:rsidRPr="00890DF7" w:rsidRDefault="00D356FE">
            <w:pPr>
              <w:jc w:val="center"/>
              <w:rPr>
                <w:strike/>
                <w:sz w:val="24"/>
                <w:szCs w:val="24"/>
              </w:rPr>
            </w:pPr>
          </w:p>
          <w:p w:rsidR="00D356FE" w:rsidRPr="00890DF7" w:rsidRDefault="00A660ED">
            <w:pPr>
              <w:jc w:val="center"/>
              <w:rPr>
                <w:strike/>
                <w:sz w:val="24"/>
                <w:szCs w:val="24"/>
              </w:rPr>
            </w:pPr>
            <w:r w:rsidRPr="00890DF7">
              <w:rPr>
                <w:strike/>
                <w:sz w:val="24"/>
                <w:szCs w:val="24"/>
              </w:rPr>
              <w:t>500</w:t>
            </w:r>
          </w:p>
        </w:tc>
      </w:tr>
      <w:tr w:rsidR="009A6483" w:rsidRPr="00890DF7" w:rsidTr="009A3646">
        <w:trPr>
          <w:cantSplit/>
          <w:trHeight w:val="240"/>
          <w:jc w:val="center"/>
        </w:trPr>
        <w:tc>
          <w:tcPr>
            <w:tcW w:w="993" w:type="dxa"/>
            <w:vAlign w:val="center"/>
          </w:tcPr>
          <w:p w:rsidR="00D356FE" w:rsidRPr="00890DF7" w:rsidRDefault="00A660ED">
            <w:pPr>
              <w:jc w:val="center"/>
              <w:rPr>
                <w:strike/>
                <w:sz w:val="24"/>
                <w:szCs w:val="24"/>
              </w:rPr>
            </w:pPr>
            <w:r w:rsidRPr="00890DF7">
              <w:rPr>
                <w:strike/>
                <w:sz w:val="24"/>
                <w:szCs w:val="24"/>
              </w:rPr>
              <w:t>1.4.1</w:t>
            </w:r>
          </w:p>
        </w:tc>
        <w:tc>
          <w:tcPr>
            <w:tcW w:w="3138" w:type="dxa"/>
            <w:vAlign w:val="center"/>
          </w:tcPr>
          <w:p w:rsidR="00D356FE" w:rsidRPr="00890DF7" w:rsidRDefault="00A660E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imes New Roman" w:hAnsi="Times New Roman" w:cs="Times New Roman"/>
                <w:strike/>
                <w:sz w:val="24"/>
                <w:szCs w:val="24"/>
              </w:rPr>
            </w:pPr>
            <w:r w:rsidRPr="00890DF7">
              <w:rPr>
                <w:rFonts w:ascii="Times New Roman" w:hAnsi="Times New Roman" w:cs="Times New Roman"/>
                <w:strike/>
                <w:sz w:val="24"/>
                <w:szCs w:val="24"/>
              </w:rPr>
              <w:t>Autorização Especiais de Funcionamento para comercialização de medicamentos controlados</w:t>
            </w:r>
          </w:p>
        </w:tc>
        <w:tc>
          <w:tcPr>
            <w:tcW w:w="831" w:type="dxa"/>
            <w:vAlign w:val="center"/>
          </w:tcPr>
          <w:p w:rsidR="00D356FE" w:rsidRPr="00890DF7" w:rsidRDefault="00A660ED">
            <w:pPr>
              <w:jc w:val="center"/>
              <w:rPr>
                <w:strike/>
                <w:sz w:val="24"/>
                <w:szCs w:val="24"/>
              </w:rPr>
            </w:pPr>
            <w:r w:rsidRPr="00890DF7">
              <w:rPr>
                <w:strike/>
                <w:sz w:val="24"/>
                <w:szCs w:val="24"/>
              </w:rPr>
              <w:t>140</w:t>
            </w:r>
          </w:p>
        </w:tc>
        <w:tc>
          <w:tcPr>
            <w:tcW w:w="1417" w:type="dxa"/>
            <w:vAlign w:val="center"/>
          </w:tcPr>
          <w:p w:rsidR="00D356FE" w:rsidRPr="00890DF7" w:rsidRDefault="00A660ED">
            <w:pPr>
              <w:jc w:val="center"/>
              <w:rPr>
                <w:strike/>
                <w:sz w:val="24"/>
                <w:szCs w:val="24"/>
              </w:rPr>
            </w:pPr>
            <w:r w:rsidRPr="00890DF7">
              <w:rPr>
                <w:strike/>
                <w:sz w:val="24"/>
                <w:szCs w:val="24"/>
              </w:rPr>
              <w:t>3</w:t>
            </w:r>
          </w:p>
        </w:tc>
        <w:tc>
          <w:tcPr>
            <w:tcW w:w="871" w:type="dxa"/>
            <w:vAlign w:val="center"/>
          </w:tcPr>
          <w:p w:rsidR="00D356FE" w:rsidRPr="00890DF7" w:rsidRDefault="00A660ED">
            <w:pPr>
              <w:jc w:val="center"/>
              <w:rPr>
                <w:strike/>
                <w:sz w:val="24"/>
                <w:szCs w:val="24"/>
              </w:rPr>
            </w:pPr>
            <w:r w:rsidRPr="00890DF7">
              <w:rPr>
                <w:strike/>
                <w:sz w:val="24"/>
                <w:szCs w:val="24"/>
              </w:rPr>
              <w:t>1.000</w:t>
            </w:r>
          </w:p>
        </w:tc>
        <w:tc>
          <w:tcPr>
            <w:tcW w:w="1124" w:type="dxa"/>
            <w:gridSpan w:val="2"/>
            <w:vAlign w:val="center"/>
          </w:tcPr>
          <w:p w:rsidR="00D356FE" w:rsidRPr="00890DF7" w:rsidRDefault="00A660E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center"/>
              <w:rPr>
                <w:rFonts w:ascii="Times New Roman" w:hAnsi="Times New Roman" w:cs="Times New Roman"/>
                <w:strike/>
                <w:sz w:val="24"/>
                <w:szCs w:val="24"/>
              </w:rPr>
            </w:pPr>
            <w:r w:rsidRPr="00890DF7">
              <w:rPr>
                <w:rFonts w:ascii="Times New Roman" w:hAnsi="Times New Roman" w:cs="Times New Roman"/>
                <w:strike/>
                <w:sz w:val="24"/>
                <w:szCs w:val="24"/>
              </w:rPr>
              <w:t>850</w:t>
            </w:r>
          </w:p>
        </w:tc>
        <w:tc>
          <w:tcPr>
            <w:tcW w:w="1286" w:type="dxa"/>
            <w:vAlign w:val="center"/>
          </w:tcPr>
          <w:p w:rsidR="00D356FE" w:rsidRPr="00890DF7" w:rsidRDefault="00A660ED">
            <w:pPr>
              <w:jc w:val="center"/>
              <w:rPr>
                <w:strike/>
                <w:sz w:val="24"/>
                <w:szCs w:val="24"/>
              </w:rPr>
            </w:pPr>
            <w:r w:rsidRPr="00890DF7">
              <w:rPr>
                <w:strike/>
                <w:sz w:val="24"/>
                <w:szCs w:val="24"/>
              </w:rPr>
              <w:t>700</w:t>
            </w:r>
          </w:p>
        </w:tc>
        <w:tc>
          <w:tcPr>
            <w:tcW w:w="1123" w:type="dxa"/>
            <w:vAlign w:val="center"/>
          </w:tcPr>
          <w:p w:rsidR="00D356FE" w:rsidRPr="00890DF7" w:rsidRDefault="00A660ED">
            <w:pPr>
              <w:jc w:val="center"/>
              <w:rPr>
                <w:strike/>
                <w:sz w:val="24"/>
                <w:szCs w:val="24"/>
              </w:rPr>
            </w:pPr>
            <w:r w:rsidRPr="00890DF7">
              <w:rPr>
                <w:strike/>
                <w:sz w:val="24"/>
                <w:szCs w:val="24"/>
              </w:rPr>
              <w:t>400</w:t>
            </w:r>
          </w:p>
        </w:tc>
        <w:tc>
          <w:tcPr>
            <w:tcW w:w="1154" w:type="dxa"/>
            <w:gridSpan w:val="3"/>
            <w:vAlign w:val="center"/>
          </w:tcPr>
          <w:p w:rsidR="00D356FE" w:rsidRPr="00890DF7" w:rsidRDefault="00A660ED">
            <w:pPr>
              <w:jc w:val="center"/>
              <w:rPr>
                <w:strike/>
                <w:sz w:val="24"/>
                <w:szCs w:val="24"/>
              </w:rPr>
            </w:pPr>
            <w:r w:rsidRPr="00890DF7">
              <w:rPr>
                <w:strike/>
                <w:sz w:val="24"/>
                <w:szCs w:val="24"/>
              </w:rPr>
              <w:t>100</w:t>
            </w:r>
          </w:p>
        </w:tc>
        <w:tc>
          <w:tcPr>
            <w:tcW w:w="1256" w:type="dxa"/>
            <w:gridSpan w:val="2"/>
            <w:vAlign w:val="center"/>
          </w:tcPr>
          <w:p w:rsidR="00D356FE" w:rsidRPr="00890DF7" w:rsidRDefault="00A660ED">
            <w:pPr>
              <w:jc w:val="center"/>
              <w:rPr>
                <w:strike/>
                <w:sz w:val="24"/>
                <w:szCs w:val="24"/>
              </w:rPr>
            </w:pPr>
            <w:r w:rsidRPr="00890DF7">
              <w:rPr>
                <w:strike/>
                <w:sz w:val="24"/>
                <w:szCs w:val="24"/>
              </w:rPr>
              <w:t>100</w:t>
            </w:r>
          </w:p>
        </w:tc>
      </w:tr>
    </w:tbl>
    <w:p w:rsidR="00D356FE" w:rsidRPr="00890DF7" w:rsidRDefault="00D356FE">
      <w:pPr>
        <w:rPr>
          <w:strike/>
          <w:sz w:val="24"/>
          <w:szCs w:val="24"/>
        </w:rPr>
      </w:pPr>
    </w:p>
    <w:sectPr w:rsidR="00D356FE" w:rsidRPr="00890DF7" w:rsidSect="00F950C4">
      <w:pgSz w:w="16840" w:h="11907" w:orient="landscape" w:code="9"/>
      <w:pgMar w:top="851" w:right="851" w:bottom="851" w:left="851" w:header="709" w:footer="709" w:gutter="0"/>
      <w:cols w:space="70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3118" w:rsidRDefault="00C23118" w:rsidP="00EB234D">
      <w:r>
        <w:separator/>
      </w:r>
    </w:p>
  </w:endnote>
  <w:endnote w:type="continuationSeparator" w:id="0">
    <w:p w:rsidR="00C23118" w:rsidRDefault="00C23118" w:rsidP="00EB2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34D" w:rsidRDefault="00EB234D" w:rsidP="00EB234D">
    <w:pPr>
      <w:pStyle w:val="Rodap"/>
      <w:jc w:val="center"/>
    </w:pPr>
    <w:r>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3118" w:rsidRDefault="00C23118" w:rsidP="00EB234D">
      <w:r>
        <w:separator/>
      </w:r>
    </w:p>
  </w:footnote>
  <w:footnote w:type="continuationSeparator" w:id="0">
    <w:p w:rsidR="00C23118" w:rsidRDefault="00C23118" w:rsidP="00EB23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34D" w:rsidRDefault="00EB234D" w:rsidP="00EB234D">
    <w:pPr>
      <w:tabs>
        <w:tab w:val="center" w:pos="4252"/>
        <w:tab w:val="right" w:pos="8504"/>
      </w:tabs>
      <w:jc w:val="center"/>
      <w:rPr>
        <w:rFonts w:ascii="Calibri" w:hAnsi="Calibri"/>
      </w:rPr>
    </w:pPr>
    <w:r w:rsidRPr="00EB234D">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Descrição: Brasão da República" style="width:51.75pt;height:51pt;visibility:visible">
          <v:imagedata r:id="rId1" o:title=" Brasão da República"/>
        </v:shape>
      </w:pict>
    </w:r>
  </w:p>
  <w:p w:rsidR="00EB234D" w:rsidRDefault="00EB234D" w:rsidP="00EB234D">
    <w:pPr>
      <w:tabs>
        <w:tab w:val="center" w:pos="4252"/>
        <w:tab w:val="right" w:pos="8504"/>
      </w:tabs>
      <w:jc w:val="center"/>
      <w:rPr>
        <w:rFonts w:ascii="Calibri" w:hAnsi="Calibri"/>
        <w:b/>
        <w:sz w:val="24"/>
      </w:rPr>
    </w:pPr>
    <w:r>
      <w:rPr>
        <w:rFonts w:ascii="Calibri" w:hAnsi="Calibri"/>
        <w:b/>
        <w:sz w:val="24"/>
      </w:rPr>
      <w:t>Ministério da Saúde - MS</w:t>
    </w:r>
  </w:p>
  <w:p w:rsidR="00EB234D" w:rsidRDefault="00EB234D" w:rsidP="00EB234D">
    <w:pPr>
      <w:tabs>
        <w:tab w:val="center" w:pos="4252"/>
        <w:tab w:val="right" w:pos="8504"/>
      </w:tabs>
      <w:jc w:val="center"/>
      <w:rPr>
        <w:rFonts w:ascii="Calibri" w:hAnsi="Calibri"/>
        <w:b/>
        <w:sz w:val="24"/>
      </w:rPr>
    </w:pPr>
    <w:r>
      <w:rPr>
        <w:rFonts w:ascii="Calibri" w:hAnsi="Calibri"/>
        <w:b/>
        <w:sz w:val="24"/>
      </w:rPr>
      <w:t>Agência Nacional de Vigilância Sanitária - ANVISA</w:t>
    </w:r>
  </w:p>
  <w:p w:rsidR="00EB234D" w:rsidRDefault="00EB234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63EB9"/>
    <w:multiLevelType w:val="singleLevel"/>
    <w:tmpl w:val="250227A8"/>
    <w:lvl w:ilvl="0">
      <w:start w:val="1"/>
      <w:numFmt w:val="decimal"/>
      <w:lvlText w:val="%1-"/>
      <w:lvlJc w:val="left"/>
      <w:pPr>
        <w:tabs>
          <w:tab w:val="num" w:pos="1494"/>
        </w:tabs>
        <w:ind w:left="1494" w:hanging="360"/>
      </w:pPr>
      <w:rPr>
        <w:rFonts w:hint="default"/>
      </w:rPr>
    </w:lvl>
  </w:abstractNum>
  <w:abstractNum w:abstractNumId="1" w15:restartNumberingAfterBreak="0">
    <w:nsid w:val="68EE33AF"/>
    <w:multiLevelType w:val="singleLevel"/>
    <w:tmpl w:val="04160001"/>
    <w:lvl w:ilvl="0">
      <w:start w:val="1"/>
      <w:numFmt w:val="bullet"/>
      <w:lvlText w:val=""/>
      <w:lvlJc w:val="left"/>
      <w:pPr>
        <w:tabs>
          <w:tab w:val="num" w:pos="360"/>
        </w:tabs>
        <w:ind w:left="360" w:hanging="360"/>
      </w:pPr>
      <w:rPr>
        <w:rFonts w:ascii="Symbol" w:hAnsi="Symbol" w:cs="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567"/>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6483"/>
    <w:rsid w:val="002F7A91"/>
    <w:rsid w:val="00337D5E"/>
    <w:rsid w:val="00631D22"/>
    <w:rsid w:val="00890DF7"/>
    <w:rsid w:val="009A3646"/>
    <w:rsid w:val="009A6483"/>
    <w:rsid w:val="00A660ED"/>
    <w:rsid w:val="00C23118"/>
    <w:rsid w:val="00D356FE"/>
    <w:rsid w:val="00EB234D"/>
    <w:rsid w:val="00F950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efaultImageDpi w14:val="0"/>
  <w15:docId w15:val="{12BFF439-F052-4796-95D5-6CCFEC30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pPr>
    <w:rPr>
      <w:rFonts w:ascii="Times New Roman" w:hAnsi="Times New Roman"/>
    </w:rPr>
  </w:style>
  <w:style w:type="paragraph" w:styleId="Ttulo1">
    <w:name w:val="heading 1"/>
    <w:basedOn w:val="Normal"/>
    <w:next w:val="Normal"/>
    <w:link w:val="Ttulo1Char"/>
    <w:uiPriority w:val="99"/>
    <w:qFormat/>
    <w:pPr>
      <w:keepNext/>
      <w:tabs>
        <w:tab w:val="left" w:pos="1134"/>
      </w:tabs>
      <w:jc w:val="both"/>
      <w:outlineLvl w:val="0"/>
    </w:pPr>
    <w:rPr>
      <w:sz w:val="24"/>
      <w:szCs w:val="24"/>
    </w:rPr>
  </w:style>
  <w:style w:type="paragraph" w:styleId="Ttulo2">
    <w:name w:val="heading 2"/>
    <w:basedOn w:val="Normal"/>
    <w:next w:val="Normal"/>
    <w:link w:val="Ttulo2Char"/>
    <w:uiPriority w:val="99"/>
    <w:qFormat/>
    <w:pPr>
      <w:keepNext/>
      <w:jc w:val="center"/>
      <w:outlineLvl w:val="1"/>
    </w:pPr>
    <w:rPr>
      <w:b/>
      <w:bCs/>
      <w:sz w:val="24"/>
      <w:szCs w:val="24"/>
    </w:rPr>
  </w:style>
  <w:style w:type="paragraph" w:styleId="Ttulo3">
    <w:name w:val="heading 3"/>
    <w:basedOn w:val="Normal"/>
    <w:next w:val="Normal"/>
    <w:link w:val="Ttulo3Char"/>
    <w:uiPriority w:val="99"/>
    <w:qFormat/>
    <w:pPr>
      <w:keepNext/>
      <w:tabs>
        <w:tab w:val="left" w:pos="567"/>
      </w:tabs>
      <w:jc w:val="center"/>
      <w:outlineLvl w:val="2"/>
    </w:pPr>
    <w:rPr>
      <w:sz w:val="24"/>
      <w:szCs w:val="24"/>
    </w:rPr>
  </w:style>
  <w:style w:type="paragraph" w:styleId="Ttulo4">
    <w:name w:val="heading 4"/>
    <w:basedOn w:val="Normal"/>
    <w:next w:val="Normal"/>
    <w:link w:val="Ttulo4Char"/>
    <w:uiPriority w:val="99"/>
    <w:qFormat/>
    <w:pPr>
      <w:keepNext/>
      <w:jc w:val="center"/>
      <w:outlineLvl w:val="3"/>
    </w:pPr>
    <w:rPr>
      <w:b/>
      <w:bCs/>
      <w:color w:val="000000"/>
      <w:sz w:val="24"/>
      <w:szCs w:val="24"/>
    </w:rPr>
  </w:style>
  <w:style w:type="paragraph" w:styleId="Ttulo5">
    <w:name w:val="heading 5"/>
    <w:basedOn w:val="Normal"/>
    <w:next w:val="Normal"/>
    <w:link w:val="Ttulo5Char"/>
    <w:uiPriority w:val="99"/>
    <w:qFormat/>
    <w:pPr>
      <w:keepNext/>
      <w:jc w:val="center"/>
      <w:outlineLvl w:val="4"/>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Pr>
      <w:rFonts w:ascii="Cambria" w:eastAsia="Times New Roman" w:hAnsi="Cambria" w:cs="Times New Roman"/>
      <w:b/>
      <w:bCs/>
      <w:kern w:val="32"/>
      <w:sz w:val="32"/>
      <w:szCs w:val="32"/>
    </w:rPr>
  </w:style>
  <w:style w:type="character" w:customStyle="1" w:styleId="Ttulo2Char">
    <w:name w:val="Título 2 Char"/>
    <w:link w:val="Ttulo2"/>
    <w:uiPriority w:val="9"/>
    <w:semiHidden/>
    <w:rPr>
      <w:rFonts w:ascii="Cambria" w:eastAsia="Times New Roman" w:hAnsi="Cambria" w:cs="Times New Roman"/>
      <w:b/>
      <w:bCs/>
      <w:i/>
      <w:iCs/>
      <w:sz w:val="28"/>
      <w:szCs w:val="28"/>
    </w:rPr>
  </w:style>
  <w:style w:type="character" w:customStyle="1" w:styleId="Ttulo3Char">
    <w:name w:val="Título 3 Char"/>
    <w:link w:val="Ttulo3"/>
    <w:uiPriority w:val="9"/>
    <w:semiHidden/>
    <w:rPr>
      <w:rFonts w:ascii="Cambria" w:eastAsia="Times New Roman" w:hAnsi="Cambria" w:cs="Times New Roman"/>
      <w:b/>
      <w:bCs/>
      <w:sz w:val="26"/>
      <w:szCs w:val="26"/>
    </w:rPr>
  </w:style>
  <w:style w:type="character" w:customStyle="1" w:styleId="Ttulo4Char">
    <w:name w:val="Título 4 Char"/>
    <w:link w:val="Ttulo4"/>
    <w:uiPriority w:val="9"/>
    <w:semiHidden/>
    <w:rPr>
      <w:b/>
      <w:bCs/>
      <w:sz w:val="28"/>
      <w:szCs w:val="28"/>
    </w:rPr>
  </w:style>
  <w:style w:type="character" w:customStyle="1" w:styleId="Ttulo5Char">
    <w:name w:val="Título 5 Char"/>
    <w:link w:val="Ttulo5"/>
    <w:uiPriority w:val="9"/>
    <w:semiHidden/>
    <w:rPr>
      <w:b/>
      <w:bCs/>
      <w:i/>
      <w:iCs/>
      <w:sz w:val="26"/>
      <w:szCs w:val="26"/>
    </w:rPr>
  </w:style>
  <w:style w:type="paragraph" w:styleId="Corpodetexto">
    <w:name w:val="Body Text"/>
    <w:basedOn w:val="Normal"/>
    <w:link w:val="CorpodetextoChar"/>
    <w:uiPriority w:val="99"/>
    <w:pPr>
      <w:tabs>
        <w:tab w:val="left" w:pos="1134"/>
      </w:tabs>
      <w:jc w:val="both"/>
    </w:pPr>
    <w:rPr>
      <w:sz w:val="24"/>
      <w:szCs w:val="24"/>
    </w:rPr>
  </w:style>
  <w:style w:type="character" w:customStyle="1" w:styleId="CorpodetextoChar">
    <w:name w:val="Corpo de texto Char"/>
    <w:link w:val="Corpodetexto"/>
    <w:uiPriority w:val="99"/>
    <w:semiHidden/>
    <w:rPr>
      <w:rFonts w:ascii="Times New Roman" w:hAnsi="Times New Roman" w:cs="Times New Roman"/>
      <w:sz w:val="20"/>
      <w:szCs w:val="20"/>
    </w:rPr>
  </w:style>
  <w:style w:type="paragraph" w:styleId="Recuodecorpodetexto2">
    <w:name w:val="Body Text Indent 2"/>
    <w:basedOn w:val="Normal"/>
    <w:link w:val="Recuodecorpodetexto2Char"/>
    <w:uiPriority w:val="99"/>
    <w:pPr>
      <w:ind w:left="4253"/>
      <w:jc w:val="both"/>
    </w:pPr>
    <w:rPr>
      <w:sz w:val="24"/>
      <w:szCs w:val="24"/>
    </w:rPr>
  </w:style>
  <w:style w:type="character" w:customStyle="1" w:styleId="Recuodecorpodetexto2Char">
    <w:name w:val="Recuo de corpo de texto 2 Char"/>
    <w:link w:val="Recuodecorpodetexto2"/>
    <w:uiPriority w:val="99"/>
    <w:semiHidden/>
    <w:rPr>
      <w:rFonts w:ascii="Times New Roman" w:hAnsi="Times New Roman" w:cs="Times New Roman"/>
      <w:sz w:val="20"/>
      <w:szCs w:val="20"/>
    </w:rPr>
  </w:style>
  <w:style w:type="character" w:styleId="Hyperlink">
    <w:name w:val="Hyperlink"/>
    <w:uiPriority w:val="99"/>
    <w:rPr>
      <w:color w:val="0000FF"/>
      <w:u w:val="single"/>
    </w:rPr>
  </w:style>
  <w:style w:type="paragraph" w:customStyle="1" w:styleId="Preformatted">
    <w:name w:val="Preformatted"/>
    <w:basedOn w:val="Normal"/>
    <w:uiPriority w:val="9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rPr>
  </w:style>
  <w:style w:type="paragraph" w:styleId="Cabealho">
    <w:name w:val="header"/>
    <w:basedOn w:val="Normal"/>
    <w:link w:val="CabealhoChar"/>
    <w:uiPriority w:val="99"/>
    <w:unhideWhenUsed/>
    <w:rsid w:val="00EB234D"/>
    <w:pPr>
      <w:tabs>
        <w:tab w:val="center" w:pos="4252"/>
        <w:tab w:val="right" w:pos="8504"/>
      </w:tabs>
    </w:pPr>
  </w:style>
  <w:style w:type="character" w:customStyle="1" w:styleId="CabealhoChar">
    <w:name w:val="Cabeçalho Char"/>
    <w:link w:val="Cabealho"/>
    <w:uiPriority w:val="99"/>
    <w:rsid w:val="00EB234D"/>
    <w:rPr>
      <w:rFonts w:ascii="Times New Roman" w:hAnsi="Times New Roman"/>
    </w:rPr>
  </w:style>
  <w:style w:type="paragraph" w:styleId="Rodap">
    <w:name w:val="footer"/>
    <w:basedOn w:val="Normal"/>
    <w:link w:val="RodapChar"/>
    <w:uiPriority w:val="99"/>
    <w:unhideWhenUsed/>
    <w:rsid w:val="00EB234D"/>
    <w:pPr>
      <w:tabs>
        <w:tab w:val="center" w:pos="4252"/>
        <w:tab w:val="right" w:pos="8504"/>
      </w:tabs>
    </w:pPr>
  </w:style>
  <w:style w:type="character" w:customStyle="1" w:styleId="RodapChar">
    <w:name w:val="Rodapé Char"/>
    <w:link w:val="Rodap"/>
    <w:uiPriority w:val="99"/>
    <w:rsid w:val="00EB234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733</Words>
  <Characters>3960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ANVS</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ANVS</dc:creator>
  <cp:keywords/>
  <cp:lastModifiedBy>Julia de Souza Ferreira</cp:lastModifiedBy>
  <cp:revision>2</cp:revision>
  <cp:lastPrinted>2018-02-27T13:07:00Z</cp:lastPrinted>
  <dcterms:created xsi:type="dcterms:W3CDTF">2018-11-27T16:27:00Z</dcterms:created>
  <dcterms:modified xsi:type="dcterms:W3CDTF">2018-11-27T16:27:00Z</dcterms:modified>
</cp:coreProperties>
</file>