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10A1" w:rsidRPr="00DA4658" w:rsidRDefault="00B710A1" w:rsidP="00DA4658">
      <w:pPr>
        <w:autoSpaceDE w:val="0"/>
        <w:autoSpaceDN w:val="0"/>
        <w:adjustRightInd w:val="0"/>
        <w:spacing w:after="200"/>
        <w:ind w:left="-284" w:right="-285"/>
        <w:jc w:val="center"/>
        <w:rPr>
          <w:b/>
          <w:bCs/>
          <w:color w:val="282526"/>
          <w:sz w:val="23"/>
          <w:szCs w:val="23"/>
        </w:rPr>
      </w:pPr>
      <w:bookmarkStart w:id="0" w:name="_GoBack"/>
      <w:bookmarkEnd w:id="0"/>
      <w:r w:rsidRPr="00DA4658">
        <w:rPr>
          <w:b/>
          <w:bCs/>
          <w:sz w:val="23"/>
          <w:szCs w:val="23"/>
        </w:rPr>
        <w:t xml:space="preserve">RESOLUÇÃO DA DIRETORIA COLEGIADA - RDC </w:t>
      </w:r>
      <w:r w:rsidR="009174A4" w:rsidRPr="00DA4658">
        <w:rPr>
          <w:b/>
          <w:bCs/>
          <w:color w:val="282526"/>
          <w:sz w:val="23"/>
          <w:szCs w:val="23"/>
        </w:rPr>
        <w:t xml:space="preserve">Nº </w:t>
      </w:r>
      <w:r w:rsidR="00333274" w:rsidRPr="00DA4658">
        <w:rPr>
          <w:b/>
          <w:bCs/>
          <w:color w:val="282526"/>
          <w:sz w:val="23"/>
          <w:szCs w:val="23"/>
        </w:rPr>
        <w:t>166</w:t>
      </w:r>
      <w:r w:rsidR="009174A4" w:rsidRPr="00DA4658">
        <w:rPr>
          <w:b/>
          <w:bCs/>
          <w:color w:val="282526"/>
          <w:sz w:val="23"/>
          <w:szCs w:val="23"/>
        </w:rPr>
        <w:t xml:space="preserve">, DE </w:t>
      </w:r>
      <w:r w:rsidR="00333274" w:rsidRPr="00DA4658">
        <w:rPr>
          <w:b/>
          <w:bCs/>
          <w:color w:val="282526"/>
          <w:sz w:val="23"/>
          <w:szCs w:val="23"/>
        </w:rPr>
        <w:t xml:space="preserve">24 </w:t>
      </w:r>
      <w:r w:rsidR="009174A4" w:rsidRPr="00DA4658">
        <w:rPr>
          <w:b/>
          <w:bCs/>
          <w:color w:val="282526"/>
          <w:sz w:val="23"/>
          <w:szCs w:val="23"/>
        </w:rPr>
        <w:t>DE JULHO</w:t>
      </w:r>
      <w:r w:rsidRPr="00DA4658">
        <w:rPr>
          <w:b/>
          <w:bCs/>
          <w:color w:val="282526"/>
          <w:sz w:val="23"/>
          <w:szCs w:val="23"/>
        </w:rPr>
        <w:t xml:space="preserve"> DE 201</w:t>
      </w:r>
      <w:r w:rsidR="006374BE" w:rsidRPr="00DA4658">
        <w:rPr>
          <w:b/>
          <w:bCs/>
          <w:color w:val="282526"/>
          <w:sz w:val="23"/>
          <w:szCs w:val="23"/>
        </w:rPr>
        <w:t>7</w:t>
      </w:r>
    </w:p>
    <w:p w:rsidR="00B710A1" w:rsidRPr="00DA4658" w:rsidRDefault="00DA4658" w:rsidP="00DA4658">
      <w:pPr>
        <w:autoSpaceDE w:val="0"/>
        <w:autoSpaceDN w:val="0"/>
        <w:adjustRightInd w:val="0"/>
        <w:spacing w:after="200"/>
        <w:jc w:val="center"/>
        <w:rPr>
          <w:b/>
          <w:bCs/>
          <w:color w:val="0000FF"/>
        </w:rPr>
      </w:pPr>
      <w:r w:rsidRPr="00DA4658">
        <w:rPr>
          <w:b/>
          <w:bCs/>
          <w:color w:val="0000FF"/>
        </w:rPr>
        <w:t>(Publicada no DOU nº</w:t>
      </w:r>
      <w:r>
        <w:rPr>
          <w:b/>
          <w:bCs/>
          <w:color w:val="0000FF"/>
        </w:rPr>
        <w:t>141, de 25 de julho de 2017)</w:t>
      </w:r>
    </w:p>
    <w:p w:rsidR="00B710A1" w:rsidRPr="00DA4658" w:rsidRDefault="004B4B2E" w:rsidP="00DA4658">
      <w:pPr>
        <w:autoSpaceDE w:val="0"/>
        <w:autoSpaceDN w:val="0"/>
        <w:adjustRightInd w:val="0"/>
        <w:spacing w:after="200"/>
        <w:ind w:left="3969"/>
        <w:jc w:val="both"/>
      </w:pPr>
      <w:r w:rsidRPr="00DA4658">
        <w:t>Dispõe sobre a validação de métodos analíticos</w:t>
      </w:r>
      <w:r w:rsidR="00775697" w:rsidRPr="00DA4658">
        <w:t xml:space="preserve"> e </w:t>
      </w:r>
      <w:r w:rsidR="004C17D8" w:rsidRPr="00DA4658">
        <w:t>dá outras providências.</w:t>
      </w:r>
    </w:p>
    <w:p w:rsidR="00FF6CE7" w:rsidRPr="00DA4658" w:rsidRDefault="00FF6CE7" w:rsidP="00DA4658">
      <w:pPr>
        <w:spacing w:after="200"/>
        <w:ind w:firstLine="567"/>
        <w:jc w:val="both"/>
      </w:pPr>
      <w:r w:rsidRPr="00DA4658">
        <w:t>A Diretoria Colegiada da Agência Nacional de Vigilância Sanitária, no uso da atribuição que lhe confere o art. 15, III e IV aliado ao art. 7º, III, e IV, da Lei nº 9.782, de 26 de janeiro de 1999, e ao art. 53, V, §§ 1º e 3º do Regimento Interno aprovado nos termos do Anexo I da Resolução da Diretoria Colegiada – RDC n° 61, de 3 de fevereiro de 2016, resolve adotar a seguinte Resolução da Diretoria Colegiada, conforme delib</w:t>
      </w:r>
      <w:r w:rsidR="009174A4" w:rsidRPr="00DA4658">
        <w:t>erado em reunião realizada em 11 de julho de 2017</w:t>
      </w:r>
      <w:r w:rsidRPr="00DA4658">
        <w:t>, e eu, Diretor-Presidente, determino a sua publicação.</w:t>
      </w:r>
    </w:p>
    <w:p w:rsidR="00B710A1" w:rsidRPr="00DA4658" w:rsidRDefault="00323AB1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>CAPÍTULO</w:t>
      </w:r>
      <w:r w:rsidR="00B710A1" w:rsidRPr="00DA4658">
        <w:rPr>
          <w:b/>
        </w:rPr>
        <w:t xml:space="preserve"> I</w:t>
      </w:r>
    </w:p>
    <w:p w:rsidR="00B710A1" w:rsidRPr="00DA4658" w:rsidRDefault="00B710A1" w:rsidP="00DA4658">
      <w:pPr>
        <w:keepNext/>
        <w:spacing w:after="200"/>
        <w:jc w:val="center"/>
        <w:outlineLvl w:val="0"/>
        <w:rPr>
          <w:b/>
          <w:bCs/>
          <w:caps/>
          <w:kern w:val="32"/>
        </w:rPr>
      </w:pPr>
      <w:bookmarkStart w:id="1" w:name="_Toc397347932"/>
      <w:r w:rsidRPr="00DA4658">
        <w:rPr>
          <w:b/>
          <w:bCs/>
          <w:caps/>
          <w:kern w:val="32"/>
        </w:rPr>
        <w:t>DAS DISPOSIÇÕES INICIAIS</w:t>
      </w:r>
      <w:bookmarkEnd w:id="1"/>
    </w:p>
    <w:p w:rsidR="00B710A1" w:rsidRPr="00DA4658" w:rsidRDefault="00323AB1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 xml:space="preserve">Seção </w:t>
      </w:r>
      <w:r w:rsidR="00B710A1" w:rsidRPr="00DA4658">
        <w:rPr>
          <w:b/>
        </w:rPr>
        <w:t>I</w:t>
      </w:r>
    </w:p>
    <w:p w:rsidR="00B710A1" w:rsidRPr="00DA4658" w:rsidRDefault="00B710A1" w:rsidP="00DA4658">
      <w:pPr>
        <w:keepNext/>
        <w:spacing w:after="200"/>
        <w:jc w:val="center"/>
        <w:outlineLvl w:val="1"/>
        <w:rPr>
          <w:b/>
          <w:bCs/>
          <w:iCs/>
        </w:rPr>
      </w:pPr>
      <w:bookmarkStart w:id="2" w:name="_Toc397347933"/>
      <w:r w:rsidRPr="00DA4658">
        <w:rPr>
          <w:b/>
          <w:bCs/>
          <w:iCs/>
        </w:rPr>
        <w:t>Objetivo</w:t>
      </w:r>
      <w:bookmarkEnd w:id="2"/>
    </w:p>
    <w:p w:rsidR="00B710A1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Art. 1° Esta R</w:t>
      </w:r>
      <w:r w:rsidR="00315B16" w:rsidRPr="00DA4658">
        <w:t>esolução</w:t>
      </w:r>
      <w:r w:rsidR="004B4B2E" w:rsidRPr="00DA4658">
        <w:t xml:space="preserve"> </w:t>
      </w:r>
      <w:r w:rsidR="004F5D9F" w:rsidRPr="00DA4658">
        <w:t>estabelece</w:t>
      </w:r>
      <w:r w:rsidR="004B4B2E" w:rsidRPr="00DA4658">
        <w:t xml:space="preserve"> critérios</w:t>
      </w:r>
      <w:r w:rsidR="00AD03C8" w:rsidRPr="00DA4658">
        <w:t xml:space="preserve"> </w:t>
      </w:r>
      <w:r w:rsidR="004B4B2E" w:rsidRPr="00DA4658">
        <w:t>para a validação de métodos analíticos</w:t>
      </w:r>
      <w:r w:rsidR="00B710A1" w:rsidRPr="00DA4658">
        <w:t>.</w:t>
      </w:r>
      <w:r w:rsidR="00A30033" w:rsidRPr="00DA4658">
        <w:t xml:space="preserve"> </w:t>
      </w:r>
    </w:p>
    <w:p w:rsidR="00A362CB" w:rsidRPr="00DA4658" w:rsidRDefault="001E6977" w:rsidP="00DA4658">
      <w:pPr>
        <w:autoSpaceDE w:val="0"/>
        <w:autoSpaceDN w:val="0"/>
        <w:adjustRightInd w:val="0"/>
        <w:spacing w:after="200"/>
        <w:ind w:firstLine="567"/>
        <w:rPr>
          <w:b/>
          <w:smallCaps/>
        </w:rPr>
      </w:pPr>
      <w:bookmarkStart w:id="3" w:name="_Toc330564185"/>
      <w:r w:rsidRPr="00DA4658">
        <w:t xml:space="preserve">Parágrafo único. </w:t>
      </w:r>
      <w:r w:rsidR="00A362CB" w:rsidRPr="00DA4658">
        <w:t>O não atendimento a qualquer critério</w:t>
      </w:r>
      <w:r w:rsidR="009174A4" w:rsidRPr="00DA4658">
        <w:t xml:space="preserve"> disposto nesta R</w:t>
      </w:r>
      <w:r w:rsidR="00A362CB" w:rsidRPr="00DA4658">
        <w:t xml:space="preserve">esolução </w:t>
      </w:r>
      <w:r w:rsidR="004F5D9F" w:rsidRPr="00DA4658">
        <w:t xml:space="preserve">deve </w:t>
      </w:r>
      <w:r w:rsidR="00A362CB" w:rsidRPr="00DA4658">
        <w:t>ser tecnicamente justificado e será objeto de análise pela Anvisa</w:t>
      </w:r>
      <w:r w:rsidR="00B057E1" w:rsidRPr="00DA4658">
        <w:t>.</w:t>
      </w:r>
    </w:p>
    <w:p w:rsidR="00B710A1" w:rsidRPr="00DA4658" w:rsidRDefault="00323AB1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 xml:space="preserve">Seção </w:t>
      </w:r>
      <w:r w:rsidR="00B710A1" w:rsidRPr="00DA4658">
        <w:rPr>
          <w:b/>
        </w:rPr>
        <w:t>II</w:t>
      </w:r>
    </w:p>
    <w:p w:rsidR="00B710A1" w:rsidRPr="00DA4658" w:rsidRDefault="00B710A1" w:rsidP="00DA4658">
      <w:pPr>
        <w:keepNext/>
        <w:spacing w:after="200"/>
        <w:jc w:val="center"/>
        <w:outlineLvl w:val="1"/>
        <w:rPr>
          <w:b/>
          <w:bCs/>
          <w:iCs/>
        </w:rPr>
      </w:pPr>
      <w:bookmarkStart w:id="4" w:name="_Toc397347934"/>
      <w:r w:rsidRPr="00DA4658">
        <w:rPr>
          <w:b/>
          <w:bCs/>
          <w:iCs/>
        </w:rPr>
        <w:t>Abrangência</w:t>
      </w:r>
      <w:bookmarkEnd w:id="3"/>
      <w:bookmarkEnd w:id="4"/>
    </w:p>
    <w:p w:rsidR="004B4B2E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2° </w:t>
      </w:r>
      <w:r w:rsidR="004B4B2E" w:rsidRPr="00DA4658">
        <w:t>Est</w:t>
      </w:r>
      <w:r w:rsidR="00E102AF" w:rsidRPr="00DA4658">
        <w:t>a</w:t>
      </w:r>
      <w:r w:rsidR="004B4B2E" w:rsidRPr="00DA4658">
        <w:t xml:space="preserve"> </w:t>
      </w:r>
      <w:r w:rsidRPr="00DA4658">
        <w:t>R</w:t>
      </w:r>
      <w:r w:rsidR="007A55A3" w:rsidRPr="00DA4658">
        <w:t xml:space="preserve">esolução </w:t>
      </w:r>
      <w:r w:rsidR="004F5D9F" w:rsidRPr="00DA4658">
        <w:t>é aplicável</w:t>
      </w:r>
      <w:r w:rsidR="004B4B2E" w:rsidRPr="00DA4658">
        <w:t xml:space="preserve"> a </w:t>
      </w:r>
      <w:r w:rsidR="00874CE4" w:rsidRPr="00DA4658">
        <w:t xml:space="preserve">métodos </w:t>
      </w:r>
      <w:r w:rsidR="004B4B2E" w:rsidRPr="00DA4658">
        <w:t xml:space="preserve">analíticos </w:t>
      </w:r>
      <w:r w:rsidR="007B49B8" w:rsidRPr="00DA4658">
        <w:t>empregados</w:t>
      </w:r>
      <w:r w:rsidR="00AD4CA5" w:rsidRPr="00DA4658">
        <w:t xml:space="preserve"> em </w:t>
      </w:r>
      <w:r w:rsidR="007B49B8" w:rsidRPr="00DA4658">
        <w:t>insumos farmacêuticos</w:t>
      </w:r>
      <w:r w:rsidR="00B057E1" w:rsidRPr="00DA4658">
        <w:t>,</w:t>
      </w:r>
      <w:r w:rsidR="004B4B2E" w:rsidRPr="00DA4658">
        <w:t xml:space="preserve"> medicamentos </w:t>
      </w:r>
      <w:r w:rsidR="00E15EB3" w:rsidRPr="00DA4658">
        <w:t xml:space="preserve">e produtos biológicos </w:t>
      </w:r>
      <w:r w:rsidR="004B4B2E" w:rsidRPr="00DA4658">
        <w:t xml:space="preserve">em todas as suas fases de produção. </w:t>
      </w:r>
    </w:p>
    <w:p w:rsidR="00A94335" w:rsidRPr="00DA4658" w:rsidRDefault="00CA4C74" w:rsidP="00DA4658">
      <w:pPr>
        <w:tabs>
          <w:tab w:val="num" w:pos="1021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>§</w:t>
      </w:r>
      <w:r w:rsidR="00FE6E8A" w:rsidRPr="00DA4658">
        <w:t xml:space="preserve"> </w:t>
      </w:r>
      <w:r w:rsidR="00CF5907" w:rsidRPr="00DA4658">
        <w:t>1</w:t>
      </w:r>
      <w:r w:rsidRPr="00DA4658">
        <w:t>º</w:t>
      </w:r>
      <w:r w:rsidR="00122D2D" w:rsidRPr="00DA4658">
        <w:t xml:space="preserve"> </w:t>
      </w:r>
      <w:r w:rsidR="004F5D9F" w:rsidRPr="00DA4658">
        <w:t>Os parâmetros</w:t>
      </w:r>
      <w:r w:rsidR="009F1610" w:rsidRPr="00DA4658">
        <w:t xml:space="preserve"> de validação</w:t>
      </w:r>
      <w:r w:rsidR="004F5D9F" w:rsidRPr="00DA4658">
        <w:t xml:space="preserve"> e </w:t>
      </w:r>
      <w:r w:rsidR="009F1610" w:rsidRPr="00DA4658">
        <w:t xml:space="preserve">seus respectivos </w:t>
      </w:r>
      <w:r w:rsidR="004F5D9F" w:rsidRPr="00DA4658">
        <w:t xml:space="preserve">critérios de aceitação devem ser </w:t>
      </w:r>
      <w:r w:rsidR="00BB3573" w:rsidRPr="00DA4658">
        <w:t xml:space="preserve">definidos </w:t>
      </w:r>
      <w:r w:rsidR="004F5D9F" w:rsidRPr="00DA4658">
        <w:t>de acordo com as</w:t>
      </w:r>
      <w:r w:rsidR="00A94335" w:rsidRPr="00DA4658">
        <w:t xml:space="preserve"> características do analito e da natureza do </w:t>
      </w:r>
      <w:r w:rsidR="00F23018" w:rsidRPr="00DA4658">
        <w:t>método</w:t>
      </w:r>
      <w:r w:rsidR="00A94335" w:rsidRPr="00DA4658">
        <w:t>.</w:t>
      </w:r>
    </w:p>
    <w:p w:rsidR="0088756F" w:rsidRPr="00DA4658" w:rsidRDefault="009F0F4E" w:rsidP="00DA4658">
      <w:pPr>
        <w:tabs>
          <w:tab w:val="num" w:pos="1021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§ 2º </w:t>
      </w:r>
      <w:r w:rsidR="00E97892" w:rsidRPr="00DA4658">
        <w:t>M</w:t>
      </w:r>
      <w:r w:rsidR="00861D0D" w:rsidRPr="00DA4658">
        <w:t>étodos analíticos aplicados ao</w:t>
      </w:r>
      <w:r w:rsidRPr="00DA4658">
        <w:t xml:space="preserve">s produtos sob investigação utilizados em ensaios clínicos devem ter sua adequabilidade demonstrada de acordo com </w:t>
      </w:r>
      <w:r w:rsidR="009174A4" w:rsidRPr="00DA4658">
        <w:t>esta R</w:t>
      </w:r>
      <w:r w:rsidR="007A55A3" w:rsidRPr="00DA4658">
        <w:t>esolução</w:t>
      </w:r>
      <w:r w:rsidR="007D1992" w:rsidRPr="00DA4658">
        <w:t>,</w:t>
      </w:r>
      <w:r w:rsidRPr="00DA4658">
        <w:t xml:space="preserve"> conforme aplicável para cada fase de desenvolvimento clínico</w:t>
      </w:r>
      <w:r w:rsidR="0088756F" w:rsidRPr="00DA4658">
        <w:t>.</w:t>
      </w:r>
    </w:p>
    <w:p w:rsidR="009F0F4E" w:rsidRPr="00DA4658" w:rsidRDefault="0088756F" w:rsidP="00DA4658">
      <w:pPr>
        <w:tabs>
          <w:tab w:val="num" w:pos="1021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>I - A</w:t>
      </w:r>
      <w:r w:rsidR="009F0F4E" w:rsidRPr="00DA4658">
        <w:t xml:space="preserve"> utilização de abordagem alternativa</w:t>
      </w:r>
      <w:r w:rsidR="00E102AF" w:rsidRPr="00DA4658">
        <w:t xml:space="preserve"> deve ser </w:t>
      </w:r>
      <w:r w:rsidR="007A55A3" w:rsidRPr="00DA4658">
        <w:t xml:space="preserve">tecnicamente </w:t>
      </w:r>
      <w:r w:rsidR="00E102AF" w:rsidRPr="00DA4658">
        <w:t xml:space="preserve">justificada </w:t>
      </w:r>
      <w:r w:rsidR="009F0F4E" w:rsidRPr="00DA4658">
        <w:t>baseada em referências científicas reconhecidas.</w:t>
      </w:r>
    </w:p>
    <w:p w:rsidR="00E30C57" w:rsidRPr="00DA4658" w:rsidRDefault="00CA4C74" w:rsidP="00DA4658">
      <w:pPr>
        <w:tabs>
          <w:tab w:val="num" w:pos="1021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>§</w:t>
      </w:r>
      <w:r w:rsidR="00FE6E8A" w:rsidRPr="00DA4658">
        <w:t xml:space="preserve"> </w:t>
      </w:r>
      <w:r w:rsidR="002C2FCB" w:rsidRPr="00DA4658">
        <w:t>3</w:t>
      </w:r>
      <w:r w:rsidRPr="00DA4658">
        <w:t>º</w:t>
      </w:r>
      <w:r w:rsidR="00CF5907" w:rsidRPr="00DA4658">
        <w:t xml:space="preserve"> </w:t>
      </w:r>
      <w:r w:rsidR="007A55A3" w:rsidRPr="00DA4658">
        <w:t>Será admitida a utilização de abordagens alternativas para a validação de m</w:t>
      </w:r>
      <w:r w:rsidR="00E30C57" w:rsidRPr="00DA4658">
        <w:t>étodos analíticos aplicados aos produtos biológicos, como ensaios biológicos e imunológicos</w:t>
      </w:r>
    </w:p>
    <w:p w:rsidR="002C2FCB" w:rsidRPr="00DA4658" w:rsidRDefault="00CA4C74" w:rsidP="00DA4658">
      <w:pPr>
        <w:tabs>
          <w:tab w:val="num" w:pos="1021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lastRenderedPageBreak/>
        <w:t xml:space="preserve">§ </w:t>
      </w:r>
      <w:r w:rsidR="002C2FCB" w:rsidRPr="00DA4658">
        <w:t>4</w:t>
      </w:r>
      <w:r w:rsidRPr="00DA4658">
        <w:t xml:space="preserve">º </w:t>
      </w:r>
      <w:r w:rsidR="00E102AF" w:rsidRPr="00DA4658">
        <w:t xml:space="preserve">Estão excluídos </w:t>
      </w:r>
      <w:r w:rsidR="009174A4" w:rsidRPr="00DA4658">
        <w:t>desta R</w:t>
      </w:r>
      <w:r w:rsidR="007A55A3" w:rsidRPr="00DA4658">
        <w:t>esolução</w:t>
      </w:r>
      <w:r w:rsidR="00E102AF" w:rsidRPr="00DA4658">
        <w:t xml:space="preserve"> os</w:t>
      </w:r>
      <w:r w:rsidRPr="00DA4658">
        <w:t xml:space="preserve"> </w:t>
      </w:r>
      <w:r w:rsidR="00F23018" w:rsidRPr="00DA4658">
        <w:t xml:space="preserve">métodos </w:t>
      </w:r>
      <w:r w:rsidRPr="00DA4658">
        <w:t>microbiológicos</w:t>
      </w:r>
      <w:r w:rsidR="00E30C57" w:rsidRPr="00DA4658">
        <w:t>, para os quais</w:t>
      </w:r>
      <w:r w:rsidRPr="00DA4658">
        <w:t xml:space="preserve"> deve</w:t>
      </w:r>
      <w:r w:rsidR="007A55A3" w:rsidRPr="00DA4658">
        <w:t xml:space="preserve"> ser </w:t>
      </w:r>
      <w:r w:rsidRPr="00DA4658">
        <w:t>apresenta</w:t>
      </w:r>
      <w:r w:rsidR="007A55A3" w:rsidRPr="00DA4658">
        <w:t>da</w:t>
      </w:r>
      <w:r w:rsidRPr="00DA4658">
        <w:t xml:space="preserve"> justificativa técnica para a abordagem escolhida, baseada</w:t>
      </w:r>
      <w:r w:rsidR="006D19CA" w:rsidRPr="00DA4658">
        <w:t xml:space="preserve"> na Farmacopeia Brasileira ou</w:t>
      </w:r>
      <w:r w:rsidRPr="00DA4658">
        <w:t xml:space="preserve"> em</w:t>
      </w:r>
      <w:r w:rsidR="006D19CA" w:rsidRPr="00DA4658">
        <w:t xml:space="preserve"> outros</w:t>
      </w:r>
      <w:r w:rsidRPr="00DA4658">
        <w:t xml:space="preserve"> compêndios oficiais</w:t>
      </w:r>
      <w:r w:rsidR="00380129" w:rsidRPr="00DA4658">
        <w:t xml:space="preserve"> reconhecidos pela Anvisa</w:t>
      </w:r>
      <w:r w:rsidRPr="00DA4658">
        <w:t>.</w:t>
      </w:r>
    </w:p>
    <w:p w:rsidR="00B710A1" w:rsidRPr="00DA4658" w:rsidRDefault="00323AB1" w:rsidP="00DA4658">
      <w:pPr>
        <w:tabs>
          <w:tab w:val="num" w:pos="1021"/>
        </w:tabs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 xml:space="preserve">Seção </w:t>
      </w:r>
      <w:r w:rsidR="00B710A1" w:rsidRPr="00DA4658">
        <w:rPr>
          <w:b/>
        </w:rPr>
        <w:t>III</w:t>
      </w:r>
    </w:p>
    <w:p w:rsidR="00B710A1" w:rsidRPr="00DA4658" w:rsidRDefault="00B710A1" w:rsidP="00DA4658">
      <w:pPr>
        <w:keepNext/>
        <w:spacing w:after="200"/>
        <w:jc w:val="center"/>
        <w:outlineLvl w:val="1"/>
        <w:rPr>
          <w:b/>
          <w:bCs/>
          <w:iCs/>
        </w:rPr>
      </w:pPr>
      <w:bookmarkStart w:id="5" w:name="_Toc397347935"/>
      <w:r w:rsidRPr="00DA4658">
        <w:rPr>
          <w:b/>
          <w:bCs/>
          <w:iCs/>
        </w:rPr>
        <w:t>Definições</w:t>
      </w:r>
      <w:bookmarkEnd w:id="5"/>
    </w:p>
    <w:p w:rsidR="00331CD7" w:rsidRPr="00DA4658" w:rsidRDefault="009174A4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3° </w:t>
      </w:r>
      <w:r w:rsidR="00F31DD3" w:rsidRPr="00DA4658">
        <w:t>Para efeitos desta R</w:t>
      </w:r>
      <w:r w:rsidR="00B710A1" w:rsidRPr="00DA4658">
        <w:t>esolução, são adotadas as seguintes definições:</w:t>
      </w:r>
    </w:p>
    <w:p w:rsidR="00B710A1" w:rsidRPr="00DA4658" w:rsidRDefault="00DA24E1" w:rsidP="00DA4658">
      <w:pPr>
        <w:spacing w:after="200"/>
        <w:ind w:firstLine="567"/>
        <w:jc w:val="both"/>
      </w:pPr>
      <w:r w:rsidRPr="00DA4658">
        <w:t xml:space="preserve"> </w:t>
      </w:r>
      <w:r w:rsidR="009E0537" w:rsidRPr="00DA4658">
        <w:t xml:space="preserve">I.- </w:t>
      </w:r>
      <w:r w:rsidR="004B4B2E" w:rsidRPr="00DA4658">
        <w:t xml:space="preserve">amostra: quantidade </w:t>
      </w:r>
      <w:r w:rsidR="00E92033" w:rsidRPr="00DA4658">
        <w:t xml:space="preserve">representativa </w:t>
      </w:r>
      <w:r w:rsidR="004B4B2E" w:rsidRPr="00DA4658">
        <w:t xml:space="preserve">de </w:t>
      </w:r>
      <w:r w:rsidR="00AB07E0" w:rsidRPr="00DA4658">
        <w:t>insumo farmacêutico</w:t>
      </w:r>
      <w:r w:rsidR="004B4B2E" w:rsidRPr="00DA4658">
        <w:t>,</w:t>
      </w:r>
      <w:r w:rsidR="004924C7" w:rsidRPr="00DA4658">
        <w:t xml:space="preserve"> produto intermediário ou </w:t>
      </w:r>
      <w:r w:rsidR="00D74FE8" w:rsidRPr="00DA4658">
        <w:t>produto terminado,</w:t>
      </w:r>
      <w:r w:rsidR="004B4B2E" w:rsidRPr="00DA4658">
        <w:t xml:space="preserve">  devidamente identificada, dentro do prazo de validade estabelecido</w:t>
      </w:r>
      <w:r w:rsidR="00B710A1" w:rsidRPr="00DA4658">
        <w:t>;</w:t>
      </w:r>
      <w:r w:rsidR="00BF78BF" w:rsidRPr="00DA4658">
        <w:t xml:space="preserve"> </w:t>
      </w:r>
    </w:p>
    <w:p w:rsidR="00B64418" w:rsidRPr="00DA4658" w:rsidRDefault="009E0537" w:rsidP="00DA4658">
      <w:pPr>
        <w:spacing w:after="200"/>
        <w:ind w:firstLine="567"/>
        <w:jc w:val="both"/>
      </w:pPr>
      <w:r w:rsidRPr="00DA4658">
        <w:t xml:space="preserve">II.- </w:t>
      </w:r>
      <w:r w:rsidR="004B4B2E" w:rsidRPr="00DA4658">
        <w:t xml:space="preserve">analito: substância </w:t>
      </w:r>
      <w:r w:rsidR="00380129" w:rsidRPr="00DA4658">
        <w:t>ou conjunto</w:t>
      </w:r>
      <w:r w:rsidR="00225660" w:rsidRPr="00DA4658">
        <w:t xml:space="preserve"> de substâncias</w:t>
      </w:r>
      <w:r w:rsidR="00380129" w:rsidRPr="00DA4658">
        <w:t xml:space="preserve"> </w:t>
      </w:r>
      <w:r w:rsidR="004B4B2E" w:rsidRPr="00DA4658">
        <w:t xml:space="preserve">de interesse que se pretende identificar ou </w:t>
      </w:r>
      <w:r w:rsidR="00380129" w:rsidRPr="00DA4658">
        <w:t>quantificar</w:t>
      </w:r>
      <w:r w:rsidR="00B710A1" w:rsidRPr="00DA4658">
        <w:t>;</w:t>
      </w:r>
    </w:p>
    <w:p w:rsidR="00B64418" w:rsidRPr="00DA4658" w:rsidRDefault="009E0537" w:rsidP="00DA4658">
      <w:pPr>
        <w:spacing w:after="200"/>
        <w:ind w:firstLine="567"/>
        <w:jc w:val="both"/>
      </w:pPr>
      <w:r w:rsidRPr="00DA4658">
        <w:t xml:space="preserve">III.- </w:t>
      </w:r>
      <w:r w:rsidR="004B4B2E" w:rsidRPr="00DA4658">
        <w:t>caracterização de substância química: é o conjunto de ensaios que garante inequivocamente a autenticidade e qualidade da substância, no que se refere a sua identidade, pureza, teor e potência, devendo incluir dados obtidos a partir de técnicas aplicáveis à caracterização de cada substância como</w:t>
      </w:r>
      <w:r w:rsidR="00E73274" w:rsidRPr="00DA4658">
        <w:t>, por exemplo,</w:t>
      </w:r>
      <w:r w:rsidR="004B4B2E" w:rsidRPr="00DA4658">
        <w:t xml:space="preserve"> termogravimetria, ponto de fusão, calorimetria exploratória diferencial, </w:t>
      </w:r>
      <w:r w:rsidR="009D4078" w:rsidRPr="00DA4658">
        <w:t xml:space="preserve">espectroscopia </w:t>
      </w:r>
      <w:r w:rsidR="004B4B2E" w:rsidRPr="00DA4658">
        <w:t xml:space="preserve">no infravermelho, espectrometria de massas, ressonância magnética nuclear, análise elementar (carbono/hidrogênio/nitrogênio), difração de raio X, rotação óptica, </w:t>
      </w:r>
      <w:r w:rsidR="00380129" w:rsidRPr="00DA4658">
        <w:t xml:space="preserve">ensaios </w:t>
      </w:r>
      <w:r w:rsidR="004B4B2E" w:rsidRPr="00DA4658">
        <w:t>cromatográficos, entre outras</w:t>
      </w:r>
      <w:r w:rsidR="00B710A1" w:rsidRPr="00DA4658">
        <w:t>;</w:t>
      </w:r>
    </w:p>
    <w:p w:rsidR="00B710A1" w:rsidRPr="00DA4658" w:rsidRDefault="009E0537" w:rsidP="00DA4658">
      <w:pPr>
        <w:spacing w:after="200"/>
        <w:ind w:firstLine="567"/>
        <w:jc w:val="both"/>
      </w:pPr>
      <w:r w:rsidRPr="00DA4658">
        <w:t xml:space="preserve">IV.- </w:t>
      </w:r>
      <w:r w:rsidR="004B4B2E" w:rsidRPr="00DA4658">
        <w:t xml:space="preserve">corrida analítica: conjunto de medições efetuadas em um grupo de amostras em intervalo de tempo pré-determinado, sob as mesmas condições de </w:t>
      </w:r>
      <w:r w:rsidR="00471A54" w:rsidRPr="00DA4658">
        <w:t>repetibilidade</w:t>
      </w:r>
      <w:r w:rsidR="004B4B2E" w:rsidRPr="00DA4658">
        <w:t>, tais como método, analista, instrumentação, local e condições de utilização</w:t>
      </w:r>
      <w:r w:rsidR="00B710A1" w:rsidRPr="00DA4658">
        <w:t>;</w:t>
      </w:r>
      <w:r w:rsidR="00A7777E" w:rsidRPr="00DA4658">
        <w:t xml:space="preserve"> </w:t>
      </w:r>
    </w:p>
    <w:p w:rsidR="004B4B2E" w:rsidRPr="00DA4658" w:rsidRDefault="009E0537" w:rsidP="00DA4658">
      <w:pPr>
        <w:spacing w:after="200"/>
        <w:ind w:firstLine="567"/>
        <w:jc w:val="both"/>
      </w:pPr>
      <w:r w:rsidRPr="00DA4658">
        <w:t xml:space="preserve">V.- </w:t>
      </w:r>
      <w:r w:rsidR="004B4B2E" w:rsidRPr="00DA4658">
        <w:t xml:space="preserve">efeito matriz: efeito dos componentes da matriz na resposta </w:t>
      </w:r>
      <w:r w:rsidR="00471A54" w:rsidRPr="00DA4658">
        <w:t>analítica</w:t>
      </w:r>
      <w:r w:rsidR="00B710A1" w:rsidRPr="00DA4658">
        <w:t>;</w:t>
      </w:r>
    </w:p>
    <w:p w:rsidR="00B710A1" w:rsidRPr="00DA4658" w:rsidRDefault="009E0537" w:rsidP="00DA4658">
      <w:pPr>
        <w:spacing w:after="200"/>
        <w:ind w:firstLine="567"/>
        <w:jc w:val="both"/>
      </w:pPr>
      <w:r w:rsidRPr="00DA4658">
        <w:t xml:space="preserve">VI.- </w:t>
      </w:r>
      <w:r w:rsidR="004B4B2E" w:rsidRPr="00DA4658">
        <w:t>ensaio: operação técnica que consiste na determinação de uma ou mais características de um dado</w:t>
      </w:r>
      <w:r w:rsidR="00B32014" w:rsidRPr="00DA4658">
        <w:t xml:space="preserve"> insumo ou</w:t>
      </w:r>
      <w:r w:rsidR="004B4B2E" w:rsidRPr="00DA4658">
        <w:t xml:space="preserve"> produto, de acordo com um </w:t>
      </w:r>
      <w:r w:rsidR="00471A54" w:rsidRPr="00DA4658">
        <w:t xml:space="preserve">método </w:t>
      </w:r>
      <w:r w:rsidR="004B4B2E" w:rsidRPr="00DA4658">
        <w:t>especificado</w:t>
      </w:r>
      <w:r w:rsidR="00B710A1" w:rsidRPr="00DA4658">
        <w:t>;</w:t>
      </w:r>
      <w:r w:rsidR="00A7777E" w:rsidRPr="00DA4658">
        <w:t xml:space="preserve"> </w:t>
      </w:r>
    </w:p>
    <w:p w:rsidR="00B710A1" w:rsidRPr="00DA4658" w:rsidRDefault="009E0537" w:rsidP="00DA4658">
      <w:pPr>
        <w:spacing w:after="200"/>
        <w:ind w:firstLine="567"/>
        <w:jc w:val="both"/>
      </w:pPr>
      <w:r w:rsidRPr="00DA4658">
        <w:t xml:space="preserve">VII.- </w:t>
      </w:r>
      <w:r w:rsidR="004B4B2E" w:rsidRPr="00DA4658">
        <w:t>ensaio limite: ensaios que permitem verificar se a quantidade do analito está acima ou abaixo de um nível previamente estabelecido, sem</w:t>
      </w:r>
      <w:r w:rsidR="00A408F8" w:rsidRPr="00DA4658">
        <w:t xml:space="preserve"> o</w:t>
      </w:r>
      <w:r w:rsidR="004B4B2E" w:rsidRPr="00DA4658">
        <w:t xml:space="preserve"> qua</w:t>
      </w:r>
      <w:r w:rsidR="00A408F8" w:rsidRPr="00DA4658">
        <w:t>ntificar</w:t>
      </w:r>
      <w:r w:rsidR="004F6F8A" w:rsidRPr="00DA4658">
        <w:t xml:space="preserve"> com exatidão</w:t>
      </w:r>
      <w:r w:rsidR="004B4B2E" w:rsidRPr="00DA4658">
        <w:t>;</w:t>
      </w:r>
      <w:r w:rsidR="00A7777E" w:rsidRPr="00DA4658">
        <w:t xml:space="preserve"> </w:t>
      </w:r>
    </w:p>
    <w:p w:rsidR="00B12D24" w:rsidRPr="00DA4658" w:rsidRDefault="009E0537" w:rsidP="00DA4658">
      <w:pPr>
        <w:spacing w:after="200"/>
        <w:ind w:firstLine="567"/>
        <w:jc w:val="both"/>
      </w:pPr>
      <w:r w:rsidRPr="00DA4658">
        <w:t xml:space="preserve">VIII.- </w:t>
      </w:r>
      <w:r w:rsidR="00B12D24" w:rsidRPr="00DA4658">
        <w:t>fator resposta: razão entre sinal analítico e concentração do analito</w:t>
      </w:r>
      <w:r w:rsidR="00471A54" w:rsidRPr="00DA4658">
        <w:t>;</w:t>
      </w:r>
    </w:p>
    <w:p w:rsidR="004924C7" w:rsidRPr="00DA4658" w:rsidRDefault="009E0537" w:rsidP="00DA4658">
      <w:pPr>
        <w:spacing w:after="200"/>
        <w:ind w:firstLine="567"/>
        <w:jc w:val="both"/>
      </w:pPr>
      <w:r w:rsidRPr="00DA4658">
        <w:t xml:space="preserve">IX.- </w:t>
      </w:r>
      <w:r w:rsidR="004924C7" w:rsidRPr="00DA4658">
        <w:t xml:space="preserve">fator resposta relativo: </w:t>
      </w:r>
      <w:r w:rsidR="00B12D24" w:rsidRPr="00DA4658">
        <w:t>razão entre dois fatores resposta, que é usada como correção no cálculo da concentração de uma substância quando es</w:t>
      </w:r>
      <w:r w:rsidR="00D1335A" w:rsidRPr="00DA4658">
        <w:t>s</w:t>
      </w:r>
      <w:r w:rsidR="00B12D24" w:rsidRPr="00DA4658">
        <w:t xml:space="preserve">a é medida </w:t>
      </w:r>
      <w:r w:rsidR="00E82203" w:rsidRPr="00DA4658">
        <w:t>por meio</w:t>
      </w:r>
      <w:r w:rsidR="00B12D24" w:rsidRPr="00DA4658">
        <w:t xml:space="preserve"> da resposta analítica de outra</w:t>
      </w:r>
      <w:r w:rsidR="00471A54" w:rsidRPr="00DA4658">
        <w:t>;</w:t>
      </w:r>
    </w:p>
    <w:p w:rsidR="00021456" w:rsidRPr="00DA4658" w:rsidRDefault="009E0537" w:rsidP="00DA4658">
      <w:pPr>
        <w:spacing w:after="200"/>
        <w:ind w:firstLine="567"/>
        <w:jc w:val="both"/>
      </w:pPr>
      <w:r w:rsidRPr="00DA4658">
        <w:t xml:space="preserve">X.- </w:t>
      </w:r>
      <w:r w:rsidR="00021456" w:rsidRPr="00DA4658">
        <w:t>gerenciamento da qualidade: é o que determina a implementação da "Política da Qualidade", ou seja, as intenções e diretrizes globais relativas à qualidade, formalmente expressa e autorizada pela administração superior da empresa</w:t>
      </w:r>
      <w:r w:rsidR="00471A54" w:rsidRPr="00DA4658">
        <w:t>;</w:t>
      </w:r>
    </w:p>
    <w:p w:rsidR="00BB4C74" w:rsidRPr="00DA4658" w:rsidRDefault="009E0537" w:rsidP="00DA4658">
      <w:pPr>
        <w:spacing w:after="200"/>
        <w:ind w:firstLine="567"/>
        <w:jc w:val="both"/>
      </w:pPr>
      <w:r w:rsidRPr="00DA4658">
        <w:lastRenderedPageBreak/>
        <w:t xml:space="preserve">XI.- </w:t>
      </w:r>
      <w:r w:rsidR="004B4B2E" w:rsidRPr="00DA4658">
        <w:t>impurezas: qualquer componente presente no insumo farmacêutico ou no produto terminado que não seja o insumo farmacêutico ativo nem o(s) excipiente(s)</w:t>
      </w:r>
      <w:r w:rsidR="00B64418" w:rsidRPr="00DA4658">
        <w:t>;</w:t>
      </w:r>
    </w:p>
    <w:p w:rsidR="00557E06" w:rsidRPr="00DA4658" w:rsidRDefault="009E0537" w:rsidP="00DA4658">
      <w:pPr>
        <w:spacing w:after="200"/>
        <w:ind w:firstLine="567"/>
        <w:jc w:val="both"/>
      </w:pPr>
      <w:r w:rsidRPr="00DA4658">
        <w:t xml:space="preserve">XII.- </w:t>
      </w:r>
      <w:r w:rsidR="00BB4C74" w:rsidRPr="00DA4658">
        <w:t>i</w:t>
      </w:r>
      <w:r w:rsidR="00E37703" w:rsidRPr="00DA4658">
        <w:t xml:space="preserve">nsumo farmacêutico: qualquer </w:t>
      </w:r>
      <w:r w:rsidR="00E37703" w:rsidRPr="00DA4658">
        <w:rPr>
          <w:rStyle w:val="A0"/>
        </w:rPr>
        <w:t xml:space="preserve">substância </w:t>
      </w:r>
      <w:r w:rsidR="00471A54" w:rsidRPr="00DA4658">
        <w:rPr>
          <w:rStyle w:val="A0"/>
        </w:rPr>
        <w:t>que compõe</w:t>
      </w:r>
      <w:r w:rsidR="00E37703" w:rsidRPr="00DA4658">
        <w:rPr>
          <w:rStyle w:val="A0"/>
        </w:rPr>
        <w:t xml:space="preserve"> </w:t>
      </w:r>
      <w:r w:rsidR="00471A54" w:rsidRPr="00DA4658">
        <w:rPr>
          <w:rStyle w:val="A0"/>
        </w:rPr>
        <w:t xml:space="preserve">a </w:t>
      </w:r>
      <w:r w:rsidR="00E37703" w:rsidRPr="00DA4658">
        <w:rPr>
          <w:rStyle w:val="A0"/>
        </w:rPr>
        <w:t>formulação de uma forma farmacêutica</w:t>
      </w:r>
      <w:r w:rsidR="00DF6A97" w:rsidRPr="00DA4658">
        <w:rPr>
          <w:rStyle w:val="A0"/>
        </w:rPr>
        <w:t>;</w:t>
      </w:r>
    </w:p>
    <w:p w:rsidR="00D14976" w:rsidRPr="00DA4658" w:rsidRDefault="009E0537" w:rsidP="00DA4658">
      <w:pPr>
        <w:spacing w:after="200"/>
        <w:ind w:firstLine="567"/>
        <w:jc w:val="both"/>
      </w:pPr>
      <w:r w:rsidRPr="00DA4658">
        <w:rPr>
          <w:rStyle w:val="A0"/>
        </w:rPr>
        <w:t xml:space="preserve">XIII.- </w:t>
      </w:r>
      <w:r w:rsidR="004B4B2E" w:rsidRPr="00DA4658">
        <w:rPr>
          <w:rStyle w:val="A0"/>
        </w:rPr>
        <w:t xml:space="preserve">insumo farmacêutico ativo (IFA): </w:t>
      </w:r>
      <w:r w:rsidR="00471A54" w:rsidRPr="00DA4658">
        <w:rPr>
          <w:rStyle w:val="A0"/>
        </w:rPr>
        <w:t>insumo farmacêutico</w:t>
      </w:r>
      <w:r w:rsidR="004B4B2E" w:rsidRPr="00DA4658">
        <w:rPr>
          <w:rStyle w:val="A0"/>
        </w:rPr>
        <w:t xml:space="preserve"> que, quando administrad</w:t>
      </w:r>
      <w:r w:rsidR="00471A54" w:rsidRPr="00DA4658">
        <w:rPr>
          <w:rStyle w:val="A0"/>
        </w:rPr>
        <w:t>o</w:t>
      </w:r>
      <w:r w:rsidR="004B4B2E" w:rsidRPr="00DA4658">
        <w:rPr>
          <w:rStyle w:val="A0"/>
        </w:rPr>
        <w:t xml:space="preserve"> </w:t>
      </w:r>
      <w:r w:rsidR="00471A54" w:rsidRPr="00DA4658">
        <w:rPr>
          <w:rStyle w:val="A0"/>
        </w:rPr>
        <w:t xml:space="preserve">a </w:t>
      </w:r>
      <w:r w:rsidR="004B4B2E" w:rsidRPr="00DA4658">
        <w:rPr>
          <w:rStyle w:val="A0"/>
        </w:rPr>
        <w:t xml:space="preserve">um paciente, atua como </w:t>
      </w:r>
      <w:r w:rsidR="0069548C" w:rsidRPr="00DA4658">
        <w:rPr>
          <w:rStyle w:val="A0"/>
        </w:rPr>
        <w:t xml:space="preserve">componente </w:t>
      </w:r>
      <w:r w:rsidR="004B4B2E" w:rsidRPr="00DA4658">
        <w:t>ativo</w:t>
      </w:r>
      <w:r w:rsidR="00D462A8" w:rsidRPr="00DA4658">
        <w:t>,</w:t>
      </w:r>
      <w:r w:rsidR="004B4B2E" w:rsidRPr="00DA4658">
        <w:t xml:space="preserve"> </w:t>
      </w:r>
      <w:r w:rsidR="000417DE" w:rsidRPr="00DA4658">
        <w:t xml:space="preserve">podendo </w:t>
      </w:r>
      <w:r w:rsidR="004B4B2E" w:rsidRPr="00DA4658">
        <w:t>exercer atividade farmacológica ou efeito direto no diagnóstico, cura, tratamento ou prevenção de uma doença</w:t>
      </w:r>
      <w:r w:rsidR="00E75604" w:rsidRPr="00DA4658">
        <w:t xml:space="preserve"> ou</w:t>
      </w:r>
      <w:r w:rsidR="004B4B2E" w:rsidRPr="00DA4658">
        <w:t xml:space="preserve"> ainda afetar a estrutura e funcionamento do organismo humano;</w:t>
      </w:r>
      <w:r w:rsidR="003A53DF" w:rsidRPr="00DA4658">
        <w:t xml:space="preserve"> </w:t>
      </w:r>
    </w:p>
    <w:p w:rsidR="00C62A1F" w:rsidRPr="00DA4658" w:rsidRDefault="009E0537" w:rsidP="00DA4658">
      <w:pPr>
        <w:spacing w:after="200"/>
        <w:ind w:firstLine="567"/>
        <w:jc w:val="both"/>
      </w:pPr>
      <w:r w:rsidRPr="00DA4658">
        <w:t xml:space="preserve">XIV.- </w:t>
      </w:r>
      <w:r w:rsidR="00FC7A2E" w:rsidRPr="00DA4658">
        <w:t>matriz</w:t>
      </w:r>
      <w:r w:rsidR="006C18EB" w:rsidRPr="00DA4658">
        <w:t xml:space="preserve"> complexa:</w:t>
      </w:r>
      <w:r w:rsidR="00BB5F41" w:rsidRPr="00DA4658">
        <w:t xml:space="preserve"> </w:t>
      </w:r>
      <w:r w:rsidR="00C62A1F" w:rsidRPr="00DA4658">
        <w:t>aquela que contém um número indefinido de substâncias não monitoradas, que não podem ser ob</w:t>
      </w:r>
      <w:r w:rsidR="00DF6A97" w:rsidRPr="00DA4658">
        <w:t>tidas sem a presença do analito;</w:t>
      </w:r>
    </w:p>
    <w:p w:rsidR="002068E4" w:rsidRPr="00DA4658" w:rsidRDefault="009E0537" w:rsidP="00DA4658">
      <w:pPr>
        <w:spacing w:after="200"/>
        <w:ind w:firstLine="567"/>
        <w:jc w:val="both"/>
      </w:pPr>
      <w:r w:rsidRPr="00DA4658">
        <w:t xml:space="preserve">XV.- </w:t>
      </w:r>
      <w:r w:rsidR="00B32014" w:rsidRPr="00DA4658">
        <w:t>matriz</w:t>
      </w:r>
      <w:r w:rsidR="0067438D" w:rsidRPr="00DA4658">
        <w:t xml:space="preserve">: </w:t>
      </w:r>
      <w:r w:rsidR="002049D5" w:rsidRPr="00DA4658">
        <w:t>composição que mimetiza a amostra sem a presença do analito</w:t>
      </w:r>
      <w:r w:rsidR="0067438D" w:rsidRPr="00DA4658">
        <w:t>;</w:t>
      </w:r>
    </w:p>
    <w:p w:rsidR="001454F6" w:rsidRPr="00DA4658" w:rsidRDefault="009E0537" w:rsidP="00DA4658">
      <w:pPr>
        <w:spacing w:after="200"/>
        <w:ind w:firstLine="567"/>
        <w:jc w:val="both"/>
      </w:pPr>
      <w:r w:rsidRPr="00DA4658">
        <w:t xml:space="preserve">XVI.- </w:t>
      </w:r>
      <w:r w:rsidR="005005D8" w:rsidRPr="00DA4658">
        <w:t>p</w:t>
      </w:r>
      <w:r w:rsidR="002068E4" w:rsidRPr="00DA4658">
        <w:t xml:space="preserve">rodutos sob investigação: </w:t>
      </w:r>
      <w:r w:rsidR="005005D8" w:rsidRPr="00DA4658">
        <w:t xml:space="preserve">medicamento experimental, placebo, comparador ativo ou qualquer outro produto a </w:t>
      </w:r>
      <w:r w:rsidR="00DF6A97" w:rsidRPr="00DA4658">
        <w:t>ser utilizado no ensaio clínico;</w:t>
      </w:r>
    </w:p>
    <w:p w:rsidR="00B64418" w:rsidRPr="00DA4658" w:rsidRDefault="009E0537" w:rsidP="00DA4658">
      <w:pPr>
        <w:spacing w:after="200"/>
        <w:ind w:firstLine="567"/>
        <w:jc w:val="both"/>
      </w:pPr>
      <w:r w:rsidRPr="00DA4658">
        <w:t xml:space="preserve">XVII.- </w:t>
      </w:r>
      <w:r w:rsidR="0067438D" w:rsidRPr="00DA4658">
        <w:t xml:space="preserve">pureza cromatográfica: </w:t>
      </w:r>
      <w:r w:rsidR="00B44D1F" w:rsidRPr="00DA4658">
        <w:t xml:space="preserve">ausência de </w:t>
      </w:r>
      <w:r w:rsidR="0067438D" w:rsidRPr="00DA4658">
        <w:t xml:space="preserve">interferência no </w:t>
      </w:r>
      <w:r w:rsidR="00E82203" w:rsidRPr="00DA4658">
        <w:t xml:space="preserve">sinal </w:t>
      </w:r>
      <w:r w:rsidR="0067438D" w:rsidRPr="00DA4658">
        <w:t xml:space="preserve">cromatográfico do </w:t>
      </w:r>
      <w:r w:rsidR="00B44D1F" w:rsidRPr="00DA4658">
        <w:t>analito</w:t>
      </w:r>
      <w:r w:rsidR="00876D46" w:rsidRPr="00DA4658">
        <w:t>;</w:t>
      </w:r>
    </w:p>
    <w:p w:rsidR="00E82203" w:rsidRPr="00DA4658" w:rsidRDefault="009E0537" w:rsidP="00DA4658">
      <w:pPr>
        <w:tabs>
          <w:tab w:val="left" w:pos="567"/>
        </w:tabs>
        <w:spacing w:after="200"/>
        <w:ind w:firstLine="567"/>
        <w:jc w:val="both"/>
      </w:pPr>
      <w:r w:rsidRPr="00DA4658">
        <w:t xml:space="preserve">XVIII.- </w:t>
      </w:r>
      <w:r w:rsidR="00E82203" w:rsidRPr="00DA4658">
        <w:t>pureza de pico:</w:t>
      </w:r>
      <w:r w:rsidR="00F27028" w:rsidRPr="00DA4658">
        <w:t xml:space="preserve"> </w:t>
      </w:r>
      <w:r w:rsidR="00E82203" w:rsidRPr="00DA4658">
        <w:t>homogeneidade espectral de um pico cromatográfico</w:t>
      </w:r>
      <w:r w:rsidR="00CF35A9" w:rsidRPr="00DA4658">
        <w:t>,</w:t>
      </w:r>
      <w:r w:rsidR="00E82203" w:rsidRPr="00DA4658">
        <w:t xml:space="preserve"> indica</w:t>
      </w:r>
      <w:r w:rsidR="00CF35A9" w:rsidRPr="00DA4658">
        <w:t>tiva</w:t>
      </w:r>
      <w:r w:rsidR="00E82203" w:rsidRPr="00DA4658">
        <w:t xml:space="preserve"> </w:t>
      </w:r>
      <w:r w:rsidR="00CF35A9" w:rsidRPr="00DA4658">
        <w:t xml:space="preserve">de sua </w:t>
      </w:r>
      <w:r w:rsidR="00E82203" w:rsidRPr="00DA4658">
        <w:t>pureza cromatográfica</w:t>
      </w:r>
      <w:r w:rsidR="00F27028" w:rsidRPr="00DA4658">
        <w:t>, sendo que o</w:t>
      </w:r>
      <w:r w:rsidR="00E82203" w:rsidRPr="00DA4658">
        <w:t>s critérios para concluir se existe homogeneidade espectral e os parâmetros adotados para o cálculo da pureza são definidos conforme previamente estabelecido para o software utilizado ou por meio de avaliação técnica cientificamente embasada</w:t>
      </w:r>
      <w:r w:rsidR="00876D46" w:rsidRPr="00DA4658">
        <w:t>;</w:t>
      </w:r>
    </w:p>
    <w:p w:rsidR="0067438D" w:rsidRPr="00DA4658" w:rsidRDefault="009E0537" w:rsidP="00DA4658">
      <w:pPr>
        <w:spacing w:after="200"/>
        <w:ind w:firstLine="567"/>
        <w:jc w:val="both"/>
      </w:pPr>
      <w:r w:rsidRPr="00DA4658">
        <w:t xml:space="preserve">XIX.- </w:t>
      </w:r>
      <w:r w:rsidR="0067438D" w:rsidRPr="00DA4658">
        <w:t>relatório de validação: documento no qual os</w:t>
      </w:r>
      <w:r w:rsidR="002049D5" w:rsidRPr="00DA4658">
        <w:t xml:space="preserve"> procedimentos,</w:t>
      </w:r>
      <w:r w:rsidR="0067438D" w:rsidRPr="00DA4658">
        <w:t xml:space="preserve"> registros, resultados e avaliação </w:t>
      </w:r>
      <w:r w:rsidR="00472FE7" w:rsidRPr="00DA4658">
        <w:t>da</w:t>
      </w:r>
      <w:r w:rsidR="0067438D" w:rsidRPr="00DA4658">
        <w:t xml:space="preserve"> validação são consolidados e sumarizados;</w:t>
      </w:r>
    </w:p>
    <w:p w:rsidR="004F397C" w:rsidRPr="00DA4658" w:rsidRDefault="009E0537" w:rsidP="00DA4658">
      <w:pPr>
        <w:spacing w:after="200"/>
        <w:ind w:firstLine="567"/>
        <w:jc w:val="both"/>
      </w:pPr>
      <w:r w:rsidRPr="00DA4658">
        <w:t xml:space="preserve">XX.- </w:t>
      </w:r>
      <w:r w:rsidR="0067438D" w:rsidRPr="00DA4658">
        <w:t>revalidação de método analítico: repetição parcial ou total da validação de um método analítico para assegurar que esse continua cumprindo com os requisitos estabelecidos;</w:t>
      </w:r>
      <w:r w:rsidR="00E5790F" w:rsidRPr="00DA4658">
        <w:t xml:space="preserve"> </w:t>
      </w:r>
    </w:p>
    <w:p w:rsidR="0067438D" w:rsidRPr="00DA4658" w:rsidRDefault="009E0537" w:rsidP="00DA4658">
      <w:pPr>
        <w:spacing w:after="200"/>
        <w:ind w:firstLine="567"/>
        <w:jc w:val="both"/>
      </w:pPr>
      <w:r w:rsidRPr="00DA4658">
        <w:t xml:space="preserve">XXI.- </w:t>
      </w:r>
      <w:r w:rsidR="0067438D" w:rsidRPr="00DA4658">
        <w:t xml:space="preserve">substância química de referência (SQR): substância ou mistura de substâncias químicas </w:t>
      </w:r>
      <w:r w:rsidR="00914DF9" w:rsidRPr="00DA4658">
        <w:t xml:space="preserve">ou biológicas </w:t>
      </w:r>
      <w:r w:rsidR="0067438D" w:rsidRPr="00DA4658">
        <w:t>com alto grau de pureza, cuidadosamente caracterizada para assegurar sua identidade, qualidade, teor e potência</w:t>
      </w:r>
      <w:r w:rsidR="00187E81" w:rsidRPr="00DA4658">
        <w:t xml:space="preserve"> </w:t>
      </w:r>
      <w:r w:rsidR="0067438D" w:rsidRPr="00DA4658">
        <w:t xml:space="preserve">incluindo-se </w:t>
      </w:r>
      <w:r w:rsidR="00587CE5" w:rsidRPr="00DA4658">
        <w:t>substância química de referência caracterizada e substância química de referência farmacopei</w:t>
      </w:r>
      <w:r w:rsidR="00F97818" w:rsidRPr="00DA4658">
        <w:t>c</w:t>
      </w:r>
      <w:r w:rsidR="00587CE5" w:rsidRPr="00DA4658">
        <w:t>a</w:t>
      </w:r>
      <w:r w:rsidR="0067438D" w:rsidRPr="00DA4658">
        <w:t>;</w:t>
      </w:r>
      <w:r w:rsidR="00E5790F" w:rsidRPr="00DA4658">
        <w:t xml:space="preserve"> </w:t>
      </w:r>
    </w:p>
    <w:p w:rsidR="0067438D" w:rsidRPr="00DA4658" w:rsidRDefault="003E2606" w:rsidP="00DA4658">
      <w:pPr>
        <w:spacing w:after="200"/>
        <w:ind w:firstLine="567"/>
        <w:jc w:val="both"/>
      </w:pPr>
      <w:r w:rsidRPr="00DA4658">
        <w:t xml:space="preserve">XXII.- </w:t>
      </w:r>
      <w:r w:rsidR="0067438D" w:rsidRPr="00DA4658">
        <w:t>substância química de referência caracterizada (SQC): substância ou mistura de substâncias químicas</w:t>
      </w:r>
      <w:r w:rsidR="00914DF9" w:rsidRPr="00DA4658">
        <w:t xml:space="preserve"> ou biológicas</w:t>
      </w:r>
      <w:r w:rsidR="0067438D" w:rsidRPr="00DA4658">
        <w:t xml:space="preserve"> em que a identidade, a qualidade, a pureza, o teor e a potência tenham sido assegurados por um processo de caracterização;</w:t>
      </w:r>
    </w:p>
    <w:p w:rsidR="00187E81" w:rsidRPr="00DA4658" w:rsidRDefault="003E2606" w:rsidP="00DA4658">
      <w:pPr>
        <w:spacing w:after="200"/>
        <w:ind w:firstLine="567"/>
        <w:jc w:val="both"/>
      </w:pPr>
      <w:r w:rsidRPr="00DA4658">
        <w:t xml:space="preserve">XXIII.- </w:t>
      </w:r>
      <w:r w:rsidR="0067438D" w:rsidRPr="00DA4658">
        <w:t>substância química de referência farmacopeica (SQF): substância ou mistura de substâncias químicas</w:t>
      </w:r>
      <w:r w:rsidR="00914DF9" w:rsidRPr="00DA4658">
        <w:t xml:space="preserve"> ou biológicas</w:t>
      </w:r>
      <w:r w:rsidR="0067438D" w:rsidRPr="00DA4658">
        <w:t xml:space="preserve"> estabelecida e distribuída por compêndios oficiais</w:t>
      </w:r>
      <w:r w:rsidR="00876D46" w:rsidRPr="00DA4658">
        <w:t xml:space="preserve"> reconhecidos pela Anvisa</w:t>
      </w:r>
      <w:r w:rsidR="0067438D" w:rsidRPr="00DA4658">
        <w:t>;</w:t>
      </w:r>
    </w:p>
    <w:p w:rsidR="00DF0B81" w:rsidRPr="00DA4658" w:rsidRDefault="003E2606" w:rsidP="00DA4658">
      <w:pPr>
        <w:spacing w:after="200"/>
        <w:ind w:firstLine="567"/>
        <w:jc w:val="both"/>
      </w:pPr>
      <w:r w:rsidRPr="00DA4658">
        <w:lastRenderedPageBreak/>
        <w:t xml:space="preserve">XXIV.- </w:t>
      </w:r>
      <w:r w:rsidR="0067438D" w:rsidRPr="00DA4658">
        <w:t xml:space="preserve">substância química de trabalho (SQT): substância ou mistura de substâncias químicas </w:t>
      </w:r>
      <w:r w:rsidR="00914DF9" w:rsidRPr="00DA4658">
        <w:t xml:space="preserve">ou biológicas </w:t>
      </w:r>
      <w:r w:rsidR="0067438D" w:rsidRPr="00DA4658">
        <w:t>utilizada na rotina laboratorial, padronizada a partir de uma substância química de referência farmacopeica ou, na ausência dessa, a partir de uma substância química de referência caracterizada, sendo rastreável à SQR utilizada para a sua padronização;</w:t>
      </w:r>
      <w:r w:rsidR="00E5790F" w:rsidRPr="00DA4658">
        <w:t xml:space="preserve"> </w:t>
      </w:r>
    </w:p>
    <w:p w:rsidR="00DF0B81" w:rsidRPr="00DA4658" w:rsidRDefault="003E2606" w:rsidP="00DA4658">
      <w:pPr>
        <w:spacing w:after="200"/>
        <w:ind w:firstLine="567"/>
        <w:jc w:val="both"/>
      </w:pPr>
      <w:r w:rsidRPr="00DA4658">
        <w:t xml:space="preserve">XXV.- </w:t>
      </w:r>
      <w:r w:rsidR="00DF6A97" w:rsidRPr="00DA4658">
        <w:t>t</w:t>
      </w:r>
      <w:r w:rsidR="00DF0B81" w:rsidRPr="00DA4658">
        <w:t xml:space="preserve">ransferência de método: processo documentado que qualifica um laboratório (unidade receptora) para o uso de um método analítico proveniente de outro laboratório (unidade de transferência), assegurando que </w:t>
      </w:r>
      <w:r w:rsidR="00A84A52" w:rsidRPr="00DA4658">
        <w:t>a</w:t>
      </w:r>
      <w:r w:rsidR="00DF0B81" w:rsidRPr="00DA4658">
        <w:t xml:space="preserve"> </w:t>
      </w:r>
      <w:r w:rsidR="00A84A52" w:rsidRPr="00DA4658">
        <w:t>unidade receptora</w:t>
      </w:r>
      <w:r w:rsidR="00DF0B81" w:rsidRPr="00DA4658">
        <w:t xml:space="preserve"> possui conhecimento e está apt</w:t>
      </w:r>
      <w:r w:rsidR="00A84A52" w:rsidRPr="00DA4658">
        <w:t>a</w:t>
      </w:r>
      <w:r w:rsidR="00DF0B81" w:rsidRPr="00DA4658">
        <w:t xml:space="preserve"> para executar o método analítico de acordo com a finalidade pretendida</w:t>
      </w:r>
      <w:r w:rsidR="00DF6A97" w:rsidRPr="00DA4658">
        <w:t>;</w:t>
      </w:r>
      <w:r w:rsidR="00DF0B81" w:rsidRPr="00DA4658">
        <w:t xml:space="preserve"> </w:t>
      </w:r>
    </w:p>
    <w:p w:rsidR="0067438D" w:rsidRPr="00DA4658" w:rsidRDefault="003E2606" w:rsidP="00DA4658">
      <w:pPr>
        <w:spacing w:after="200"/>
        <w:ind w:firstLine="567"/>
        <w:jc w:val="both"/>
      </w:pPr>
      <w:r w:rsidRPr="00DA4658">
        <w:t xml:space="preserve">XXVI.- </w:t>
      </w:r>
      <w:r w:rsidR="0067438D" w:rsidRPr="00DA4658">
        <w:t xml:space="preserve">validação analítica: é a avaliação sistemática de um </w:t>
      </w:r>
      <w:r w:rsidR="00A84A52" w:rsidRPr="00DA4658">
        <w:t xml:space="preserve">método </w:t>
      </w:r>
      <w:r w:rsidR="0067438D" w:rsidRPr="00DA4658">
        <w:t xml:space="preserve">por meio de </w:t>
      </w:r>
      <w:r w:rsidR="00FE4B2A" w:rsidRPr="00DA4658">
        <w:t xml:space="preserve">ensaios </w:t>
      </w:r>
      <w:r w:rsidR="0067438D" w:rsidRPr="00DA4658">
        <w:t>experimentais de modo a confirmar e fornecer evidências objetivas de que os requisitos específicos para seu uso pretendido são atendidos;</w:t>
      </w:r>
    </w:p>
    <w:p w:rsidR="0067438D" w:rsidRPr="00DA4658" w:rsidRDefault="003E2606" w:rsidP="00DA4658">
      <w:pPr>
        <w:spacing w:after="200"/>
        <w:ind w:firstLine="567"/>
        <w:jc w:val="both"/>
      </w:pPr>
      <w:r w:rsidRPr="00DA4658">
        <w:t xml:space="preserve">XXVII.- </w:t>
      </w:r>
      <w:r w:rsidR="0067438D" w:rsidRPr="00DA4658">
        <w:t>validação parcial: demonstração, por meio de alguns parâmetros de validação, que o método analítico</w:t>
      </w:r>
      <w:r w:rsidR="00215732" w:rsidRPr="00DA4658">
        <w:t xml:space="preserve"> previamente validado</w:t>
      </w:r>
      <w:r w:rsidR="0067438D" w:rsidRPr="00DA4658">
        <w:t xml:space="preserve"> tem as características necessárias para obtenção de resultados com a qualidade exigida</w:t>
      </w:r>
      <w:r w:rsidR="00215732" w:rsidRPr="00DA4658">
        <w:t>, nas condições em que é praticado</w:t>
      </w:r>
      <w:r w:rsidR="0067438D" w:rsidRPr="00DA4658">
        <w:t>;</w:t>
      </w:r>
      <w:r w:rsidR="004A267C" w:rsidRPr="00DA4658">
        <w:t xml:space="preserve"> e</w:t>
      </w:r>
    </w:p>
    <w:p w:rsidR="0067438D" w:rsidRPr="00DA4658" w:rsidRDefault="003E2606" w:rsidP="00DA4658">
      <w:pPr>
        <w:spacing w:after="200"/>
        <w:ind w:firstLine="567"/>
        <w:jc w:val="both"/>
      </w:pPr>
      <w:r w:rsidRPr="00DA4658">
        <w:t xml:space="preserve">XXVIII.- </w:t>
      </w:r>
      <w:r w:rsidR="00007139" w:rsidRPr="00DA4658">
        <w:t>verificação de sistema</w:t>
      </w:r>
      <w:r w:rsidR="00632ADD" w:rsidRPr="00DA4658">
        <w:t xml:space="preserve"> (</w:t>
      </w:r>
      <w:r w:rsidR="00632ADD" w:rsidRPr="00DA4658">
        <w:rPr>
          <w:i/>
        </w:rPr>
        <w:t>system suitability</w:t>
      </w:r>
      <w:r w:rsidR="00632ADD" w:rsidRPr="00DA4658">
        <w:t>)</w:t>
      </w:r>
      <w:r w:rsidR="0067438D" w:rsidRPr="00DA4658">
        <w:t xml:space="preserve">: procedimento </w:t>
      </w:r>
      <w:r w:rsidR="00021456" w:rsidRPr="00DA4658">
        <w:t>a</w:t>
      </w:r>
      <w:r w:rsidR="0067438D" w:rsidRPr="00DA4658">
        <w:t xml:space="preserve"> ser realizado previamente a uma corrida analítica para demonstrar que o sistema está apto para o uso pretendido, sendo que os parâmetros desse procedimento devem ser definidos durante o desenvolvimento e validação do método.</w:t>
      </w:r>
    </w:p>
    <w:p w:rsidR="00B710A1" w:rsidRPr="00DA4658" w:rsidRDefault="00323AB1" w:rsidP="00DA4658">
      <w:pPr>
        <w:spacing w:after="200"/>
        <w:jc w:val="center"/>
        <w:rPr>
          <w:b/>
        </w:rPr>
      </w:pPr>
      <w:bookmarkStart w:id="6" w:name="_Toc330564187"/>
      <w:r w:rsidRPr="00DA4658">
        <w:rPr>
          <w:b/>
        </w:rPr>
        <w:t xml:space="preserve">CAPÍTULO </w:t>
      </w:r>
      <w:r w:rsidR="00B710A1" w:rsidRPr="00DA4658">
        <w:rPr>
          <w:b/>
        </w:rPr>
        <w:t>II</w:t>
      </w:r>
    </w:p>
    <w:p w:rsidR="00B710A1" w:rsidRPr="00DA4658" w:rsidRDefault="00253F2E" w:rsidP="00DA4658">
      <w:pPr>
        <w:keepNext/>
        <w:spacing w:after="200"/>
        <w:jc w:val="center"/>
        <w:outlineLvl w:val="0"/>
        <w:rPr>
          <w:b/>
          <w:bCs/>
          <w:caps/>
          <w:kern w:val="32"/>
        </w:rPr>
      </w:pPr>
      <w:r w:rsidRPr="00DA4658">
        <w:rPr>
          <w:b/>
          <w:bCs/>
          <w:caps/>
          <w:kern w:val="32"/>
        </w:rPr>
        <w:t>DAS DISPOSIÇÕES GERAIS</w:t>
      </w:r>
    </w:p>
    <w:p w:rsidR="00B710A1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4° </w:t>
      </w:r>
      <w:r w:rsidR="00253F2E" w:rsidRPr="00DA4658">
        <w:t>A validação deve demonstrar que o método analítico produz resultados confiáveis e é adequado à finalidade a que se destina, de forma documentada e mediante critérios objetivos.</w:t>
      </w:r>
    </w:p>
    <w:p w:rsidR="00B710A1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5° </w:t>
      </w:r>
      <w:r w:rsidR="009D201F" w:rsidRPr="00DA4658">
        <w:t xml:space="preserve">A utilização de </w:t>
      </w:r>
      <w:r w:rsidR="00503C80" w:rsidRPr="00DA4658">
        <w:t>método</w:t>
      </w:r>
      <w:r w:rsidR="009D201F" w:rsidRPr="00DA4658">
        <w:t xml:space="preserve"> analític</w:t>
      </w:r>
      <w:r w:rsidR="00503C80" w:rsidRPr="00DA4658">
        <w:t>o</w:t>
      </w:r>
      <w:r w:rsidR="009D201F" w:rsidRPr="00DA4658">
        <w:t xml:space="preserve"> não descrit</w:t>
      </w:r>
      <w:r w:rsidR="00503C80" w:rsidRPr="00DA4658">
        <w:t>o</w:t>
      </w:r>
      <w:r w:rsidR="009D201F" w:rsidRPr="00DA4658">
        <w:t xml:space="preserve"> em compêndio oficial </w:t>
      </w:r>
      <w:r w:rsidR="007037BA" w:rsidRPr="00DA4658">
        <w:t xml:space="preserve">reconhecido pela Anvisa </w:t>
      </w:r>
      <w:r w:rsidR="009D201F" w:rsidRPr="00DA4658">
        <w:t>requer a realização de uma validação analítica, conform</w:t>
      </w:r>
      <w:r w:rsidR="00C81452" w:rsidRPr="00DA4658">
        <w:t>e parâmetros estabelecidos nesta</w:t>
      </w:r>
      <w:r w:rsidR="009D201F" w:rsidRPr="00DA4658">
        <w:t xml:space="preserve"> </w:t>
      </w:r>
      <w:r w:rsidR="00C81452" w:rsidRPr="00DA4658">
        <w:t>resolução</w:t>
      </w:r>
      <w:r w:rsidR="009D201F" w:rsidRPr="00DA4658">
        <w:t>, levando-se em consideração as condições técnico-operacionais</w:t>
      </w:r>
      <w:r w:rsidR="00B710A1" w:rsidRPr="00DA4658">
        <w:t>.</w:t>
      </w:r>
    </w:p>
    <w:p w:rsidR="00425F58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6° </w:t>
      </w:r>
      <w:r w:rsidR="00425F58" w:rsidRPr="00DA4658">
        <w:t>Os parâmetros</w:t>
      </w:r>
      <w:r w:rsidR="004749DB" w:rsidRPr="00DA4658">
        <w:t xml:space="preserve"> típicos</w:t>
      </w:r>
      <w:r w:rsidR="00425F58" w:rsidRPr="00DA4658">
        <w:t xml:space="preserve"> a serem considerados para a validação dependem do ensaio a ser realizado e estão </w:t>
      </w:r>
      <w:r w:rsidR="002B6566" w:rsidRPr="00DA4658">
        <w:t xml:space="preserve">dispostos </w:t>
      </w:r>
      <w:r w:rsidR="00425F58" w:rsidRPr="00DA4658">
        <w:t>no Quadro 1 do anexo I.</w:t>
      </w:r>
    </w:p>
    <w:p w:rsidR="009D201F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7° </w:t>
      </w:r>
      <w:r w:rsidR="00503C80" w:rsidRPr="00DA4658">
        <w:t xml:space="preserve">Os métodos </w:t>
      </w:r>
      <w:r w:rsidR="009D201F" w:rsidRPr="00DA4658">
        <w:t>analític</w:t>
      </w:r>
      <w:r w:rsidR="00503C80" w:rsidRPr="00DA4658">
        <w:t>o</w:t>
      </w:r>
      <w:r w:rsidR="009D201F" w:rsidRPr="00DA4658">
        <w:t xml:space="preserve">s compendiais devem ter sua adequabilidade demonstrada </w:t>
      </w:r>
      <w:r w:rsidR="001A25E1" w:rsidRPr="00DA4658">
        <w:t>ao uso pretendido</w:t>
      </w:r>
      <w:r w:rsidR="009D42D9" w:rsidRPr="00DA4658">
        <w:t>, nas condições operacionais do laboratório,</w:t>
      </w:r>
      <w:r w:rsidR="001A25E1" w:rsidRPr="00DA4658">
        <w:t xml:space="preserve"> </w:t>
      </w:r>
      <w:r w:rsidR="009D201F" w:rsidRPr="00DA4658">
        <w:t>por meio</w:t>
      </w:r>
      <w:r w:rsidR="004A5B0C" w:rsidRPr="00DA4658">
        <w:t xml:space="preserve"> da apresentação</w:t>
      </w:r>
      <w:r w:rsidR="009D201F" w:rsidRPr="00DA4658">
        <w:t xml:space="preserve"> de</w:t>
      </w:r>
      <w:r w:rsidR="00BA3858" w:rsidRPr="00DA4658">
        <w:t xml:space="preserve"> um estudo de validação parcial</w:t>
      </w:r>
      <w:r w:rsidR="009D201F" w:rsidRPr="00DA4658">
        <w:t>.</w:t>
      </w:r>
    </w:p>
    <w:p w:rsidR="001F0934" w:rsidRPr="00DA4658" w:rsidRDefault="001531EF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lastRenderedPageBreak/>
        <w:t xml:space="preserve">Parágrafo único. </w:t>
      </w:r>
      <w:r w:rsidR="00C46C35" w:rsidRPr="00DA4658">
        <w:t>O disposto no caput exclui</w:t>
      </w:r>
      <w:r w:rsidRPr="00DA4658">
        <w:t xml:space="preserve"> métodos gerais compendiais básicos como </w:t>
      </w:r>
      <w:r w:rsidR="0018267F" w:rsidRPr="00DA4658">
        <w:t xml:space="preserve">medida de </w:t>
      </w:r>
      <w:r w:rsidRPr="00DA4658">
        <w:t>pH, perda por secagem, cinzas sulfatadas, umidade, desintegração</w:t>
      </w:r>
      <w:r w:rsidR="0018267F" w:rsidRPr="00DA4658">
        <w:t>, entre outros</w:t>
      </w:r>
      <w:r w:rsidR="00E1216F" w:rsidRPr="00DA4658">
        <w:t>,</w:t>
      </w:r>
      <w:r w:rsidR="001F0934" w:rsidRPr="00DA4658">
        <w:t xml:space="preserve"> e</w:t>
      </w:r>
      <w:r w:rsidR="006651C5" w:rsidRPr="00DA4658">
        <w:t xml:space="preserve"> </w:t>
      </w:r>
      <w:r w:rsidR="00E1216F" w:rsidRPr="00DA4658">
        <w:t xml:space="preserve">os </w:t>
      </w:r>
      <w:r w:rsidR="001F0934" w:rsidRPr="00DA4658">
        <w:t>métodos analíticos descritos em monografias individuais compendiais de insumos farmacêuticos não ativos.</w:t>
      </w:r>
    </w:p>
    <w:p w:rsidR="00414663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8° </w:t>
      </w:r>
      <w:r w:rsidR="00520E21" w:rsidRPr="00DA4658">
        <w:t xml:space="preserve">A </w:t>
      </w:r>
      <w:r w:rsidR="00595688" w:rsidRPr="00DA4658">
        <w:t>validação parcial</w:t>
      </w:r>
      <w:r w:rsidR="00520E21" w:rsidRPr="00DA4658">
        <w:t xml:space="preserve"> deve avaliar, pelo menos, os parâmetros de</w:t>
      </w:r>
      <w:r w:rsidR="00595688" w:rsidRPr="00DA4658">
        <w:t xml:space="preserve"> precisão,</w:t>
      </w:r>
      <w:r w:rsidR="00B11F5E" w:rsidRPr="00DA4658">
        <w:t xml:space="preserve"> exatidão</w:t>
      </w:r>
      <w:r w:rsidR="00414663" w:rsidRPr="00DA4658">
        <w:t xml:space="preserve"> e</w:t>
      </w:r>
      <w:r w:rsidR="00595688" w:rsidRPr="00DA4658">
        <w:t xml:space="preserve"> seletividade.</w:t>
      </w:r>
    </w:p>
    <w:p w:rsidR="00414663" w:rsidRPr="00DA4658" w:rsidRDefault="00E64929" w:rsidP="00DA4658">
      <w:pPr>
        <w:pStyle w:val="PargrafodaLista"/>
        <w:spacing w:after="200"/>
        <w:ind w:left="0" w:firstLine="567"/>
        <w:jc w:val="both"/>
      </w:pPr>
      <w:r w:rsidRPr="00DA4658">
        <w:t>§ 1º</w:t>
      </w:r>
      <w:r w:rsidR="00D12239" w:rsidRPr="00DA4658">
        <w:t xml:space="preserve"> No caso de métodos analíticos destinados à quantificação de impurezas, a validação parcial deve incluir o limite de quantificação.</w:t>
      </w:r>
    </w:p>
    <w:p w:rsidR="00E64929" w:rsidRPr="00DA4658" w:rsidRDefault="00E64929" w:rsidP="00DA4658">
      <w:pPr>
        <w:pStyle w:val="PargrafodaLista"/>
        <w:spacing w:after="200"/>
        <w:ind w:left="0" w:firstLine="567"/>
        <w:jc w:val="both"/>
      </w:pPr>
      <w:r w:rsidRPr="00DA4658">
        <w:t xml:space="preserve">§ 2º No caso de ensaio limite, </w:t>
      </w:r>
      <w:r w:rsidR="004A5B0C" w:rsidRPr="00DA4658">
        <w:t xml:space="preserve">em substituição aos parâmetros do caput, </w:t>
      </w:r>
      <w:r w:rsidR="0094706C" w:rsidRPr="00DA4658">
        <w:t xml:space="preserve">devem </w:t>
      </w:r>
      <w:r w:rsidRPr="00DA4658">
        <w:t xml:space="preserve">ser </w:t>
      </w:r>
      <w:r w:rsidR="00F300D9" w:rsidRPr="00DA4658">
        <w:t>avaliado</w:t>
      </w:r>
      <w:r w:rsidR="000F45FC" w:rsidRPr="00DA4658">
        <w:t>s</w:t>
      </w:r>
      <w:r w:rsidRPr="00DA4658">
        <w:t xml:space="preserve"> o</w:t>
      </w:r>
      <w:r w:rsidR="000F45FC" w:rsidRPr="00DA4658">
        <w:t>s</w:t>
      </w:r>
      <w:r w:rsidRPr="00DA4658">
        <w:t xml:space="preserve"> parâmetro</w:t>
      </w:r>
      <w:r w:rsidR="000F45FC" w:rsidRPr="00DA4658">
        <w:t>s de seletividade e</w:t>
      </w:r>
      <w:r w:rsidRPr="00DA4658">
        <w:t xml:space="preserve"> de limite de detecção.</w:t>
      </w:r>
    </w:p>
    <w:p w:rsidR="00595688" w:rsidRPr="00DA4658" w:rsidRDefault="00F31DD3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9° </w:t>
      </w:r>
      <w:r w:rsidR="00A308FA" w:rsidRPr="00DA4658">
        <w:t>No caso de transferência de método entre laboratórios, esse será considerado validado, desde que seja realizado um estudo de validação parcial</w:t>
      </w:r>
      <w:r w:rsidR="00D234E8" w:rsidRPr="00DA4658">
        <w:t xml:space="preserve"> nas dependências do laboratório receptor</w:t>
      </w:r>
      <w:r w:rsidR="00595688" w:rsidRPr="00DA4658">
        <w:t>.</w:t>
      </w:r>
    </w:p>
    <w:p w:rsidR="00ED1BCE" w:rsidRPr="00DA4658" w:rsidRDefault="00ED1BCE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 1º A transferência de método entre laboratórios com o mesmo sistema</w:t>
      </w:r>
      <w:r w:rsidR="00DD3E44" w:rsidRPr="00DA4658">
        <w:t xml:space="preserve"> de gerenciamento</w:t>
      </w:r>
      <w:r w:rsidRPr="00DA4658">
        <w:t xml:space="preserve"> da qualidade pode ser realizada por meio de um estudo de validação parcial</w:t>
      </w:r>
      <w:r w:rsidR="00275457" w:rsidRPr="00DA4658">
        <w:t>, nos termos do art. 8º,</w:t>
      </w:r>
      <w:r w:rsidRPr="00DA4658">
        <w:t xml:space="preserve"> ou pela avaliação da reprodutibilidade.</w:t>
      </w:r>
    </w:p>
    <w:p w:rsidR="000F45FC" w:rsidRPr="00DA4658" w:rsidRDefault="00303AC6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§2º </w:t>
      </w:r>
      <w:r w:rsidR="000F21A2" w:rsidRPr="00DA4658">
        <w:t>O</w:t>
      </w:r>
      <w:r w:rsidRPr="00DA4658">
        <w:t>utra abordagem poderá ser aceita, mediante justificativa e apresentação de protocolo e relatório de transferência, baseada em análise de risco e considerando a experiência prévia, o conhecimento d</w:t>
      </w:r>
      <w:r w:rsidR="004B1138" w:rsidRPr="00DA4658">
        <w:t>a</w:t>
      </w:r>
      <w:r w:rsidRPr="00DA4658">
        <w:t xml:space="preserve"> </w:t>
      </w:r>
      <w:r w:rsidR="004B1138" w:rsidRPr="00DA4658">
        <w:t>unidade receptora</w:t>
      </w:r>
      <w:r w:rsidRPr="00DA4658">
        <w:t>, a complexidade do produto</w:t>
      </w:r>
      <w:r w:rsidR="004B1138" w:rsidRPr="00DA4658">
        <w:t xml:space="preserve"> e do método</w:t>
      </w:r>
      <w:r w:rsidRPr="00DA4658">
        <w:t xml:space="preserve"> e as especificações, </w:t>
      </w:r>
      <w:r w:rsidR="004B1138" w:rsidRPr="00DA4658">
        <w:t xml:space="preserve">além de </w:t>
      </w:r>
      <w:r w:rsidRPr="00DA4658">
        <w:t xml:space="preserve">outros aspectos relevantes aplicáveis. </w:t>
      </w:r>
    </w:p>
    <w:p w:rsidR="00303AC6" w:rsidRPr="00DA4658" w:rsidRDefault="000F45FC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§3º</w:t>
      </w:r>
      <w:r w:rsidR="00DD3E44" w:rsidRPr="00DA4658">
        <w:t xml:space="preserve"> </w:t>
      </w:r>
      <w:r w:rsidR="00303AC6" w:rsidRPr="00DA4658">
        <w:t xml:space="preserve">Caso a transferência também utilize testes comparativos, </w:t>
      </w:r>
      <w:r w:rsidR="00174295" w:rsidRPr="00DA4658">
        <w:t xml:space="preserve">a </w:t>
      </w:r>
      <w:r w:rsidR="00C125D1" w:rsidRPr="00DA4658">
        <w:t>semelhança</w:t>
      </w:r>
      <w:r w:rsidR="00303AC6" w:rsidRPr="00DA4658">
        <w:t xml:space="preserve"> nos resultados deverá ser comprovada por meio de ferramenta estatística.</w:t>
      </w:r>
    </w:p>
    <w:p w:rsidR="00B823FC" w:rsidRPr="00DA4658" w:rsidRDefault="00ED1BCE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</w:t>
      </w:r>
      <w:r w:rsidR="000F45FC" w:rsidRPr="00DA4658">
        <w:t>4</w:t>
      </w:r>
      <w:r w:rsidRPr="00DA4658">
        <w:t>º</w:t>
      </w:r>
      <w:r w:rsidR="00B823FC" w:rsidRPr="00DA4658">
        <w:t xml:space="preserve"> </w:t>
      </w:r>
      <w:r w:rsidR="00771A6C" w:rsidRPr="00DA4658">
        <w:t xml:space="preserve">A documentação de transferência do método deve ser apresentada </w:t>
      </w:r>
      <w:r w:rsidR="00A73F1B" w:rsidRPr="00DA4658">
        <w:t>contendo</w:t>
      </w:r>
      <w:r w:rsidR="00771A6C" w:rsidRPr="00DA4658">
        <w:t xml:space="preserve"> a c</w:t>
      </w:r>
      <w:r w:rsidR="00B823FC" w:rsidRPr="00DA4658">
        <w:t xml:space="preserve">ópia </w:t>
      </w:r>
      <w:r w:rsidR="000E0891" w:rsidRPr="00DA4658">
        <w:t>do relatório de validação do método transferido</w:t>
      </w:r>
      <w:r w:rsidR="00DD3E44" w:rsidRPr="00DA4658">
        <w:t>, como prova de que</w:t>
      </w:r>
      <w:r w:rsidR="00DB5BA5" w:rsidRPr="00DA4658">
        <w:t xml:space="preserve"> </w:t>
      </w:r>
      <w:r w:rsidR="005715B3" w:rsidRPr="00DA4658">
        <w:t>esse</w:t>
      </w:r>
      <w:r w:rsidR="00B823FC" w:rsidRPr="00DA4658">
        <w:t xml:space="preserve"> foi originalmente validad</w:t>
      </w:r>
      <w:r w:rsidR="00DB5BA5" w:rsidRPr="00DA4658">
        <w:t>o</w:t>
      </w:r>
      <w:r w:rsidR="00B823FC" w:rsidRPr="00DA4658">
        <w:t xml:space="preserve"> </w:t>
      </w:r>
      <w:r w:rsidR="005B7AB3" w:rsidRPr="00DA4658">
        <w:t xml:space="preserve">em conformidade com </w:t>
      </w:r>
      <w:r w:rsidR="00B823FC" w:rsidRPr="00DA4658">
        <w:t>normas e regulamentos específicos aprovados/referendados pela Anvisa</w:t>
      </w:r>
      <w:r w:rsidR="00DD3E44" w:rsidRPr="00DA4658">
        <w:t>.</w:t>
      </w:r>
    </w:p>
    <w:p w:rsidR="00032751" w:rsidRPr="00DA4658" w:rsidRDefault="00032751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§5º No caso de transferência de métodos já aprovados pela Anvisa, deverá ser enviada cópia do relatório de validação aprovado ou indicação do número de expediente </w:t>
      </w:r>
      <w:r w:rsidR="00C125D1" w:rsidRPr="00DA4658">
        <w:t>da petição</w:t>
      </w:r>
      <w:r w:rsidRPr="00DA4658">
        <w:t xml:space="preserve"> na qual foi protocolada a versão final do referido relatório. </w:t>
      </w:r>
    </w:p>
    <w:p w:rsidR="009D4030" w:rsidRPr="00DA4658" w:rsidRDefault="00A308FA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10. </w:t>
      </w:r>
      <w:r w:rsidR="009D4030" w:rsidRPr="00DA4658">
        <w:t xml:space="preserve">Uma revalidação de método analítico </w:t>
      </w:r>
      <w:r w:rsidR="00BE6F06" w:rsidRPr="00DA4658">
        <w:t>pode</w:t>
      </w:r>
      <w:r w:rsidR="009D4030" w:rsidRPr="00DA4658">
        <w:t xml:space="preserve"> </w:t>
      </w:r>
      <w:r w:rsidR="00BE6F06" w:rsidRPr="00DA4658">
        <w:t xml:space="preserve">considerar as </w:t>
      </w:r>
      <w:r w:rsidR="009D4030" w:rsidRPr="00DA4658">
        <w:t>seguintes circunstâncias:</w:t>
      </w:r>
    </w:p>
    <w:p w:rsidR="009D4030" w:rsidRPr="00DA4658" w:rsidRDefault="0017429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I.- </w:t>
      </w:r>
      <w:r w:rsidR="009D4030" w:rsidRPr="00DA4658">
        <w:rPr>
          <w:rStyle w:val="A0"/>
        </w:rPr>
        <w:t>alterações na síntese ou obtenção do IFA;</w:t>
      </w:r>
    </w:p>
    <w:p w:rsidR="009D4030" w:rsidRPr="00DA4658" w:rsidRDefault="0017429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II.- </w:t>
      </w:r>
      <w:r w:rsidR="009D4030" w:rsidRPr="00DA4658">
        <w:rPr>
          <w:rStyle w:val="A0"/>
        </w:rPr>
        <w:t>alterações na composição do produto;</w:t>
      </w:r>
    </w:p>
    <w:p w:rsidR="009D4030" w:rsidRPr="00DA4658" w:rsidRDefault="00174295" w:rsidP="00DA4658">
      <w:pPr>
        <w:spacing w:after="200"/>
        <w:ind w:firstLine="567"/>
        <w:jc w:val="both"/>
        <w:rPr>
          <w:color w:val="000000"/>
        </w:rPr>
      </w:pPr>
      <w:r w:rsidRPr="00DA4658">
        <w:t xml:space="preserve">III.- </w:t>
      </w:r>
      <w:r w:rsidR="009D4030" w:rsidRPr="00DA4658">
        <w:t>alterações no método analítico; e</w:t>
      </w:r>
    </w:p>
    <w:p w:rsidR="009D4030" w:rsidRPr="00DA4658" w:rsidRDefault="00174295" w:rsidP="00DA4658">
      <w:pPr>
        <w:spacing w:after="200"/>
        <w:ind w:firstLine="567"/>
        <w:jc w:val="both"/>
        <w:rPr>
          <w:rStyle w:val="A0"/>
          <w:color w:val="auto"/>
        </w:rPr>
      </w:pPr>
      <w:r w:rsidRPr="00DA4658">
        <w:lastRenderedPageBreak/>
        <w:t xml:space="preserve">IV.- </w:t>
      </w:r>
      <w:r w:rsidR="009D4030" w:rsidRPr="00DA4658">
        <w:t>outras alterações que possam impactar significativamente no método validado.</w:t>
      </w:r>
    </w:p>
    <w:p w:rsidR="009D4030" w:rsidRPr="00DA4658" w:rsidRDefault="009D4030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>Parágrafo único. Os parâmetros de validação a serem avaliados dependem da natureza das alterações</w:t>
      </w:r>
      <w:r w:rsidR="00E924DF" w:rsidRPr="00DA4658">
        <w:rPr>
          <w:sz w:val="24"/>
          <w:szCs w:val="24"/>
        </w:rPr>
        <w:t xml:space="preserve"> realizadas</w:t>
      </w:r>
      <w:r w:rsidRPr="00DA4658">
        <w:rPr>
          <w:sz w:val="24"/>
          <w:szCs w:val="24"/>
        </w:rPr>
        <w:t>.</w:t>
      </w:r>
    </w:p>
    <w:p w:rsidR="009D4030" w:rsidRPr="00DA4658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11 </w:t>
      </w:r>
      <w:r w:rsidR="00B6440E" w:rsidRPr="00DA4658">
        <w:t>Deve ser realizada a verificação de sistema a cada corrida analítica.</w:t>
      </w:r>
    </w:p>
    <w:p w:rsidR="00E64967" w:rsidRPr="00DA4658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12 </w:t>
      </w:r>
      <w:r w:rsidR="00007139" w:rsidRPr="00DA4658">
        <w:t xml:space="preserve">Os documentos </w:t>
      </w:r>
      <w:r w:rsidR="004B6856" w:rsidRPr="00DA4658">
        <w:t>da validação</w:t>
      </w:r>
      <w:r w:rsidR="00C743EE" w:rsidRPr="00DA4658">
        <w:t xml:space="preserve"> e da </w:t>
      </w:r>
      <w:r w:rsidR="004B6856" w:rsidRPr="00DA4658">
        <w:t xml:space="preserve">validação parcial </w:t>
      </w:r>
      <w:r w:rsidR="00007139" w:rsidRPr="00DA4658">
        <w:t>apresentados devem descrever os procedimentos</w:t>
      </w:r>
      <w:r w:rsidR="004B6856" w:rsidRPr="00DA4658">
        <w:t>,</w:t>
      </w:r>
      <w:r w:rsidR="00007139" w:rsidRPr="00DA4658">
        <w:t xml:space="preserve"> </w:t>
      </w:r>
      <w:r w:rsidR="004B6856" w:rsidRPr="00DA4658">
        <w:t xml:space="preserve">os </w:t>
      </w:r>
      <w:r w:rsidR="00007139" w:rsidRPr="00DA4658">
        <w:t>parâmetros analíticos</w:t>
      </w:r>
      <w:r w:rsidR="00DF3090" w:rsidRPr="00DA4658">
        <w:t>, os critérios de aceitação</w:t>
      </w:r>
      <w:r w:rsidR="00007139" w:rsidRPr="00DA4658">
        <w:t xml:space="preserve"> e</w:t>
      </w:r>
      <w:r w:rsidR="00532068" w:rsidRPr="00DA4658">
        <w:t xml:space="preserve"> os</w:t>
      </w:r>
      <w:r w:rsidR="00007139" w:rsidRPr="00DA4658">
        <w:t xml:space="preserve"> resultados</w:t>
      </w:r>
      <w:r w:rsidR="00532068" w:rsidRPr="00DA4658">
        <w:t>,</w:t>
      </w:r>
      <w:r w:rsidR="00007139" w:rsidRPr="00DA4658">
        <w:t xml:space="preserve"> com detalhamento suficiente </w:t>
      </w:r>
      <w:r w:rsidR="004B6856" w:rsidRPr="00DA4658">
        <w:t>para possibilitar</w:t>
      </w:r>
      <w:r w:rsidR="00007139" w:rsidRPr="00DA4658">
        <w:t xml:space="preserve"> sua reprodução e</w:t>
      </w:r>
      <w:r w:rsidR="008D4DF7" w:rsidRPr="00DA4658">
        <w:t>, quando aplicável,</w:t>
      </w:r>
      <w:r w:rsidR="00007139" w:rsidRPr="00DA4658">
        <w:t xml:space="preserve"> </w:t>
      </w:r>
      <w:r w:rsidR="008D4DF7" w:rsidRPr="00DA4658">
        <w:t xml:space="preserve">sua </w:t>
      </w:r>
      <w:r w:rsidR="00007139" w:rsidRPr="00DA4658">
        <w:t>avaliação estatística</w:t>
      </w:r>
      <w:r w:rsidR="00E64967" w:rsidRPr="00DA4658">
        <w:t>.</w:t>
      </w:r>
    </w:p>
    <w:p w:rsidR="00007139" w:rsidRPr="00DA4658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13 </w:t>
      </w:r>
      <w:r w:rsidR="00007139" w:rsidRPr="00DA4658">
        <w:t>O relatório de validação</w:t>
      </w:r>
      <w:r w:rsidR="00D73BF8" w:rsidRPr="00DA4658">
        <w:t xml:space="preserve"> </w:t>
      </w:r>
      <w:r w:rsidR="00F44D58" w:rsidRPr="00DA4658">
        <w:t xml:space="preserve">a </w:t>
      </w:r>
      <w:r w:rsidR="00007139" w:rsidRPr="00DA4658">
        <w:t xml:space="preserve">ser protocolado, </w:t>
      </w:r>
      <w:r w:rsidR="006E451A" w:rsidRPr="00DA4658">
        <w:t xml:space="preserve">conforme </w:t>
      </w:r>
      <w:r w:rsidR="00A92772" w:rsidRPr="00DA4658">
        <w:t xml:space="preserve">resoluções </w:t>
      </w:r>
      <w:r w:rsidR="006E451A" w:rsidRPr="00DA4658">
        <w:t>de registro e pós-registro</w:t>
      </w:r>
      <w:r w:rsidR="00007139" w:rsidRPr="00DA4658">
        <w:t xml:space="preserve">, </w:t>
      </w:r>
      <w:r w:rsidR="00F44D58" w:rsidRPr="00DA4658">
        <w:t>deve conter os dados e cálculos obtidos durante a condução da validação analítica, bem como a abordagem estatística utilizada para a avaliação dos dados</w:t>
      </w:r>
      <w:r w:rsidR="00D73BF8" w:rsidRPr="00DA4658">
        <w:t>.</w:t>
      </w:r>
    </w:p>
    <w:p w:rsidR="00E0456F" w:rsidRPr="00DA4658" w:rsidRDefault="00AC5E87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</w:t>
      </w:r>
      <w:r w:rsidR="00E0456F" w:rsidRPr="00DA4658">
        <w:t xml:space="preserve"> 1º</w:t>
      </w:r>
      <w:r w:rsidR="001139C7" w:rsidRPr="00DA4658">
        <w:t xml:space="preserve"> O</w:t>
      </w:r>
      <w:r w:rsidR="00E0456F" w:rsidRPr="00DA4658">
        <w:t>s dados brutos relacionados ao parâmetro de seletividade devem fazer parte do relatório mencionado no caput.</w:t>
      </w:r>
    </w:p>
    <w:p w:rsidR="009E15E4" w:rsidRPr="00DA4658" w:rsidRDefault="00AC5E87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</w:t>
      </w:r>
      <w:r w:rsidR="00E0456F" w:rsidRPr="00DA4658">
        <w:t xml:space="preserve"> 2º</w:t>
      </w:r>
      <w:r w:rsidR="001139C7" w:rsidRPr="00DA4658">
        <w:t xml:space="preserve"> O</w:t>
      </w:r>
      <w:r w:rsidR="00E0456F" w:rsidRPr="00DA4658">
        <w:t>s dados brutos relacionados aos demais parâmetros devem estar disponíveis na empresa para avaliação mediante solicitação da Anvisa.</w:t>
      </w:r>
    </w:p>
    <w:bookmarkEnd w:id="6"/>
    <w:p w:rsidR="00B710A1" w:rsidRPr="00DA4658" w:rsidRDefault="00B76029" w:rsidP="00DA4658">
      <w:pPr>
        <w:autoSpaceDE w:val="0"/>
        <w:autoSpaceDN w:val="0"/>
        <w:adjustRightInd w:val="0"/>
        <w:spacing w:after="200"/>
        <w:jc w:val="center"/>
        <w:rPr>
          <w:b/>
          <w:smallCaps/>
        </w:rPr>
      </w:pPr>
      <w:r w:rsidRPr="00DA4658">
        <w:rPr>
          <w:b/>
          <w:smallCaps/>
        </w:rPr>
        <w:t>CAPÍTULO I</w:t>
      </w:r>
      <w:bookmarkStart w:id="7" w:name="_Toc330564188"/>
      <w:r w:rsidR="00331CD7" w:rsidRPr="00DA4658">
        <w:rPr>
          <w:b/>
          <w:smallCaps/>
        </w:rPr>
        <w:t>II</w:t>
      </w:r>
    </w:p>
    <w:p w:rsidR="00B710A1" w:rsidRPr="00DA4658" w:rsidRDefault="002A1A96" w:rsidP="00DA4658">
      <w:pPr>
        <w:keepNext/>
        <w:spacing w:after="200"/>
        <w:jc w:val="center"/>
        <w:outlineLvl w:val="1"/>
        <w:rPr>
          <w:b/>
          <w:bCs/>
          <w:iCs/>
          <w:smallCaps/>
        </w:rPr>
      </w:pPr>
      <w:bookmarkStart w:id="8" w:name="_Toc397347937"/>
      <w:r w:rsidRPr="00DA4658">
        <w:rPr>
          <w:b/>
          <w:bCs/>
          <w:iCs/>
          <w:smallCaps/>
        </w:rPr>
        <w:t>DA</w:t>
      </w:r>
      <w:bookmarkEnd w:id="7"/>
      <w:bookmarkEnd w:id="8"/>
      <w:r w:rsidRPr="00DA4658">
        <w:rPr>
          <w:b/>
          <w:bCs/>
          <w:iCs/>
          <w:smallCaps/>
        </w:rPr>
        <w:t>S SUBSTÂNCIAS QUÍMICAS DE REFERÊNCIA</w:t>
      </w:r>
    </w:p>
    <w:p w:rsidR="00B710A1" w:rsidRPr="00DA4658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14 </w:t>
      </w:r>
      <w:r w:rsidR="00F93E4A" w:rsidRPr="00DA4658">
        <w:t>Na validação de métodos analíticos, deverá ser utilizada</w:t>
      </w:r>
      <w:r w:rsidR="00DF2889" w:rsidRPr="00DA4658">
        <w:t xml:space="preserve"> Substância Química de Referência Farmacopeica (SQF) oficializada pela Farmacopeia Brasileira, preferencialmente, ou por outros compêndios oficialmente reconhecidos pela Anvisa</w:t>
      </w:r>
      <w:r w:rsidR="00B710A1" w:rsidRPr="00DA4658">
        <w:t>.</w:t>
      </w:r>
    </w:p>
    <w:p w:rsidR="0066655C" w:rsidRPr="00DA4658" w:rsidRDefault="00F93E4A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 1º</w:t>
      </w:r>
      <w:r w:rsidR="009271F8" w:rsidRPr="00DA4658">
        <w:t xml:space="preserve">. </w:t>
      </w:r>
      <w:r w:rsidR="0066655C" w:rsidRPr="00DA4658">
        <w:t>Será admitido o uso de Substância Química de Referência Caracterizada (SQC), mediante a apresentação de relató</w:t>
      </w:r>
      <w:r w:rsidR="002A3791" w:rsidRPr="00DA4658">
        <w:t>rio de caracterização conclusivo para o lote em estudo</w:t>
      </w:r>
      <w:r w:rsidR="0066655C" w:rsidRPr="00DA4658">
        <w:t xml:space="preserve">, incluindo </w:t>
      </w:r>
      <w:r w:rsidRPr="00DA4658">
        <w:t>as razões técnicas</w:t>
      </w:r>
      <w:r w:rsidR="0066655C" w:rsidRPr="00DA4658">
        <w:t xml:space="preserve"> para escolha dos ensaios utilizados e os dados brutos pertinentes.</w:t>
      </w:r>
    </w:p>
    <w:p w:rsidR="00587CEE" w:rsidRPr="00DA4658" w:rsidRDefault="00F93E4A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§ 2º. </w:t>
      </w:r>
      <w:r w:rsidR="0003412C" w:rsidRPr="00DA4658">
        <w:t>A</w:t>
      </w:r>
      <w:r w:rsidR="00587CEE" w:rsidRPr="00DA4658">
        <w:t xml:space="preserve"> </w:t>
      </w:r>
      <w:r w:rsidR="0003412C" w:rsidRPr="00DA4658">
        <w:t xml:space="preserve">Anvisa </w:t>
      </w:r>
      <w:r w:rsidR="00157EB9" w:rsidRPr="00DA4658">
        <w:t xml:space="preserve">e </w:t>
      </w:r>
      <w:r w:rsidR="00623304" w:rsidRPr="00DA4658">
        <w:t>os integrantes do Sistema Nacional de Vigilância Sanitária</w:t>
      </w:r>
      <w:r w:rsidR="00157EB9" w:rsidRPr="00DA4658">
        <w:t xml:space="preserve"> </w:t>
      </w:r>
      <w:r w:rsidR="0003412C" w:rsidRPr="00DA4658">
        <w:t>poder</w:t>
      </w:r>
      <w:r w:rsidR="00157EB9" w:rsidRPr="00DA4658">
        <w:t>ão</w:t>
      </w:r>
      <w:r w:rsidR="0003412C" w:rsidRPr="00DA4658">
        <w:t xml:space="preserve"> </w:t>
      </w:r>
      <w:r w:rsidR="00587CEE" w:rsidRPr="00DA4658">
        <w:t>requerer</w:t>
      </w:r>
      <w:r w:rsidR="0003412C" w:rsidRPr="00DA4658">
        <w:t xml:space="preserve"> </w:t>
      </w:r>
      <w:r w:rsidR="00587CEE" w:rsidRPr="00DA4658">
        <w:t xml:space="preserve">amostras </w:t>
      </w:r>
      <w:r w:rsidR="00FF6194" w:rsidRPr="00DA4658">
        <w:t>da SQC</w:t>
      </w:r>
      <w:r w:rsidR="000A13E5" w:rsidRPr="00DA4658">
        <w:t xml:space="preserve"> </w:t>
      </w:r>
      <w:r w:rsidR="00587CEE" w:rsidRPr="00DA4658">
        <w:t>para fins de avaliação do processo de caracterização</w:t>
      </w:r>
      <w:r w:rsidRPr="00DA4658">
        <w:t xml:space="preserve"> nas hipóteses do parágrafo anterior</w:t>
      </w:r>
      <w:r w:rsidR="00F62260" w:rsidRPr="00DA4658">
        <w:t xml:space="preserve"> e</w:t>
      </w:r>
      <w:r w:rsidR="00FF6194" w:rsidRPr="00DA4658">
        <w:t>,</w:t>
      </w:r>
      <w:r w:rsidR="00F62260" w:rsidRPr="00DA4658">
        <w:t xml:space="preserve"> quando da necessidade de realização de análise fiscal</w:t>
      </w:r>
      <w:r w:rsidR="00FF6194" w:rsidRPr="00DA4658">
        <w:t>, deverá ser fornecida amostra da SQC para fins de realização dos testes necessários</w:t>
      </w:r>
      <w:r w:rsidR="00587CEE" w:rsidRPr="00DA4658">
        <w:t>.</w:t>
      </w:r>
    </w:p>
    <w:p w:rsidR="0066655C" w:rsidRPr="00DA4658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15 </w:t>
      </w:r>
      <w:r w:rsidR="009271F8" w:rsidRPr="00DA4658">
        <w:t xml:space="preserve">O </w:t>
      </w:r>
      <w:r w:rsidR="0028662D" w:rsidRPr="00DA4658">
        <w:t xml:space="preserve">relatório de caracterização, a depender do analito, </w:t>
      </w:r>
      <w:r w:rsidR="009271F8" w:rsidRPr="00DA4658">
        <w:t>deve</w:t>
      </w:r>
      <w:r w:rsidR="00D15537" w:rsidRPr="00DA4658">
        <w:t xml:space="preserve"> con</w:t>
      </w:r>
      <w:r w:rsidR="009271F8" w:rsidRPr="00DA4658">
        <w:t>ter</w:t>
      </w:r>
      <w:r w:rsidR="00D15537" w:rsidRPr="00DA4658">
        <w:t xml:space="preserve"> os</w:t>
      </w:r>
      <w:r w:rsidR="0028662D" w:rsidRPr="00DA4658">
        <w:t xml:space="preserve"> dados obtidos a partir de técnicas aplicáveis à caracterização de cada substância química como, por exemplo, termogravimetria, ponto de fusão, calorimetria exploratória diferencial, </w:t>
      </w:r>
      <w:r w:rsidR="00487F5A" w:rsidRPr="00DA4658">
        <w:t xml:space="preserve">espectroscopia </w:t>
      </w:r>
      <w:r w:rsidR="0028662D" w:rsidRPr="00DA4658">
        <w:t>no infravermelho, espectrometria de massas, ressonância magnética nuclear, análise elementar (carbono/hidrogênio/nitrogênio), difração de raio X, rotação óptica, métodos cromatográficos, entre outras.</w:t>
      </w:r>
    </w:p>
    <w:p w:rsidR="00F71B62" w:rsidRPr="00DA4658" w:rsidRDefault="00F93E4A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§ 1º. </w:t>
      </w:r>
      <w:r w:rsidR="0028662D" w:rsidRPr="00DA4658">
        <w:t xml:space="preserve">Além dos dados de caracterização, </w:t>
      </w:r>
      <w:r w:rsidR="00D15537" w:rsidRPr="00DA4658">
        <w:t>devem</w:t>
      </w:r>
      <w:r w:rsidR="0028662D" w:rsidRPr="00DA4658">
        <w:t xml:space="preserve"> ser incluídas </w:t>
      </w:r>
      <w:r w:rsidR="00D15537" w:rsidRPr="00DA4658">
        <w:t xml:space="preserve">no relatório </w:t>
      </w:r>
      <w:r w:rsidR="0028662D" w:rsidRPr="00DA4658">
        <w:t xml:space="preserve">as seguintes informações: 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I.- </w:t>
      </w:r>
      <w:r w:rsidR="007C3B97" w:rsidRPr="00DA4658">
        <w:rPr>
          <w:rStyle w:val="A0"/>
        </w:rPr>
        <w:t>número e validade do lote da substância utilizado na caracterização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II.- </w:t>
      </w:r>
      <w:r w:rsidR="0028662D" w:rsidRPr="00DA4658">
        <w:rPr>
          <w:rStyle w:val="A0"/>
        </w:rPr>
        <w:t>denominação comum brasileira ou denominação comum internacional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III.- </w:t>
      </w:r>
      <w:r w:rsidR="0028662D" w:rsidRPr="00DA4658">
        <w:rPr>
          <w:rStyle w:val="A0"/>
        </w:rPr>
        <w:t>n° CAS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IV.- </w:t>
      </w:r>
      <w:r w:rsidR="0028662D" w:rsidRPr="00DA4658">
        <w:rPr>
          <w:rStyle w:val="A0"/>
        </w:rPr>
        <w:t>nome químico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V.- </w:t>
      </w:r>
      <w:r w:rsidR="0028662D" w:rsidRPr="00DA4658">
        <w:rPr>
          <w:rStyle w:val="A0"/>
        </w:rPr>
        <w:t>sinonímia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VI.- </w:t>
      </w:r>
      <w:r w:rsidR="0028662D" w:rsidRPr="00DA4658">
        <w:rPr>
          <w:rStyle w:val="A0"/>
        </w:rPr>
        <w:t>fórmula molecular e estrutural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VII.- </w:t>
      </w:r>
      <w:r w:rsidR="0028662D" w:rsidRPr="00DA4658">
        <w:rPr>
          <w:rStyle w:val="A0"/>
        </w:rPr>
        <w:t>peso molecular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VIII.- </w:t>
      </w:r>
      <w:r w:rsidR="0028662D" w:rsidRPr="00DA4658">
        <w:rPr>
          <w:rStyle w:val="A0"/>
        </w:rPr>
        <w:t>forma física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IX.- </w:t>
      </w:r>
      <w:r w:rsidR="0028662D" w:rsidRPr="00DA4658">
        <w:rPr>
          <w:rStyle w:val="A0"/>
        </w:rPr>
        <w:t>propriedades físico-químicas</w:t>
      </w:r>
      <w:r w:rsidR="00F71B62" w:rsidRPr="00DA4658">
        <w:rPr>
          <w:rStyle w:val="A0"/>
        </w:rPr>
        <w:t>;</w:t>
      </w:r>
    </w:p>
    <w:p w:rsidR="00F71B62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X.- </w:t>
      </w:r>
      <w:r w:rsidR="0028662D" w:rsidRPr="00DA4658">
        <w:rPr>
          <w:rStyle w:val="A0"/>
        </w:rPr>
        <w:t>perfil de impurezas</w:t>
      </w:r>
      <w:r w:rsidR="00F71B62" w:rsidRPr="00DA4658">
        <w:rPr>
          <w:rStyle w:val="A0"/>
        </w:rPr>
        <w:t>;</w:t>
      </w:r>
    </w:p>
    <w:p w:rsidR="003C2F06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XI.- </w:t>
      </w:r>
      <w:r w:rsidR="0028662D" w:rsidRPr="00DA4658">
        <w:rPr>
          <w:rStyle w:val="A0"/>
        </w:rPr>
        <w:t>cuidados de manipulação e conservação, e</w:t>
      </w:r>
    </w:p>
    <w:p w:rsidR="0028662D" w:rsidRPr="00DA4658" w:rsidRDefault="00833432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XII.- </w:t>
      </w:r>
      <w:r w:rsidR="0028662D" w:rsidRPr="00DA4658">
        <w:rPr>
          <w:rStyle w:val="A0"/>
        </w:rPr>
        <w:t>laudo analítico comprovando a identidade</w:t>
      </w:r>
      <w:r w:rsidR="006309D5" w:rsidRPr="00DA4658">
        <w:rPr>
          <w:rStyle w:val="A0"/>
        </w:rPr>
        <w:t xml:space="preserve">, teor </w:t>
      </w:r>
      <w:r w:rsidR="0028662D" w:rsidRPr="00DA4658">
        <w:rPr>
          <w:rStyle w:val="A0"/>
        </w:rPr>
        <w:t>e</w:t>
      </w:r>
      <w:r w:rsidR="006309D5" w:rsidRPr="00DA4658">
        <w:rPr>
          <w:rStyle w:val="A0"/>
        </w:rPr>
        <w:t xml:space="preserve"> </w:t>
      </w:r>
      <w:r w:rsidR="0028662D" w:rsidRPr="00DA4658">
        <w:rPr>
          <w:rStyle w:val="A0"/>
        </w:rPr>
        <w:t>validade</w:t>
      </w:r>
      <w:r w:rsidR="00F71B62" w:rsidRPr="00DA4658">
        <w:rPr>
          <w:rStyle w:val="A0"/>
        </w:rPr>
        <w:t xml:space="preserve"> da SQC</w:t>
      </w:r>
      <w:r w:rsidR="0028662D" w:rsidRPr="00DA4658">
        <w:rPr>
          <w:rStyle w:val="A0"/>
        </w:rPr>
        <w:t>.</w:t>
      </w:r>
    </w:p>
    <w:p w:rsidR="00721441" w:rsidRPr="00DA4658" w:rsidRDefault="00F93E4A" w:rsidP="00DA4658">
      <w:pPr>
        <w:spacing w:after="200"/>
        <w:ind w:firstLine="567"/>
        <w:jc w:val="both"/>
      </w:pPr>
      <w:r w:rsidRPr="00DA4658">
        <w:t>§ 2º</w:t>
      </w:r>
      <w:r w:rsidR="00721441" w:rsidRPr="00DA4658">
        <w:t>. Para produtos biológicos, a caracterização do material/padrão de referência deve ser realizada utilizando métodos do estado da arte apropriados.</w:t>
      </w:r>
    </w:p>
    <w:p w:rsidR="00E57AFB" w:rsidRPr="00DA4658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16 </w:t>
      </w:r>
      <w:r w:rsidR="00E57AFB" w:rsidRPr="00DA4658">
        <w:t xml:space="preserve">Para gases medicinais, a verificação analítica de instrumentos e as determinações analíticas devem ser conduzidas utilizando materiais de referência rastreáveis, </w:t>
      </w:r>
      <w:r w:rsidR="009122DB" w:rsidRPr="00DA4658">
        <w:t xml:space="preserve">distribuídos </w:t>
      </w:r>
      <w:r w:rsidR="00E57AFB" w:rsidRPr="00DA4658">
        <w:t xml:space="preserve">por institutos de metrologia ou por órgãos reconhecidos como produtores de materiais de referência certificados. </w:t>
      </w:r>
    </w:p>
    <w:p w:rsidR="00E57AFB" w:rsidRPr="00DA4658" w:rsidRDefault="00BD62F4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Parágrafo único. Na ausência de</w:t>
      </w:r>
      <w:r w:rsidR="00E57AFB" w:rsidRPr="00DA4658">
        <w:t xml:space="preserve"> materiais de referência, podem ser utilizados padrões internos produzidos de acordo com </w:t>
      </w:r>
      <w:r w:rsidRPr="00DA4658">
        <w:t>guias e</w:t>
      </w:r>
      <w:r w:rsidR="00E57AFB" w:rsidRPr="00DA4658">
        <w:t xml:space="preserve"> registro</w:t>
      </w:r>
      <w:r w:rsidRPr="00DA4658">
        <w:t>s</w:t>
      </w:r>
      <w:r w:rsidR="00E57AFB" w:rsidRPr="00DA4658">
        <w:t xml:space="preserve"> bibliográfico</w:t>
      </w:r>
      <w:r w:rsidRPr="00DA4658">
        <w:t>s</w:t>
      </w:r>
      <w:r w:rsidR="00E57AFB" w:rsidRPr="00DA4658">
        <w:t>.</w:t>
      </w:r>
    </w:p>
    <w:p w:rsidR="00721441" w:rsidRPr="00DA4658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17 </w:t>
      </w:r>
      <w:r w:rsidR="00721441" w:rsidRPr="00DA4658">
        <w:t>Para produtos biológicos, os termos material/padrão substituem o termo substância química nas definições de SQR, SQF, SQC e SQT.</w:t>
      </w:r>
    </w:p>
    <w:p w:rsidR="00B710A1" w:rsidRDefault="0017605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18 </w:t>
      </w:r>
      <w:r w:rsidR="00DF2889" w:rsidRPr="00DA4658">
        <w:t>Não é admitida a utilização de SQT para fins de validação de método analítico</w:t>
      </w:r>
      <w:r w:rsidR="00B710A1" w:rsidRPr="00DA4658">
        <w:t>.</w:t>
      </w:r>
    </w:p>
    <w:p w:rsidR="00DA4658" w:rsidRDefault="00DA4658" w:rsidP="00DA4658">
      <w:pPr>
        <w:autoSpaceDE w:val="0"/>
        <w:autoSpaceDN w:val="0"/>
        <w:adjustRightInd w:val="0"/>
        <w:spacing w:after="200"/>
        <w:ind w:firstLine="567"/>
        <w:jc w:val="both"/>
      </w:pPr>
    </w:p>
    <w:p w:rsidR="00DA4658" w:rsidRPr="00DA4658" w:rsidRDefault="00DA4658" w:rsidP="00DA4658">
      <w:pPr>
        <w:autoSpaceDE w:val="0"/>
        <w:autoSpaceDN w:val="0"/>
        <w:adjustRightInd w:val="0"/>
        <w:spacing w:after="200"/>
        <w:ind w:firstLine="567"/>
        <w:jc w:val="both"/>
      </w:pPr>
    </w:p>
    <w:p w:rsidR="003940B6" w:rsidRPr="00DA4658" w:rsidRDefault="00331CD7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 xml:space="preserve">CAPÍTULO </w:t>
      </w:r>
      <w:r w:rsidR="005E11E4" w:rsidRPr="00DA4658">
        <w:rPr>
          <w:b/>
        </w:rPr>
        <w:t>I</w:t>
      </w:r>
      <w:r w:rsidRPr="00DA4658">
        <w:rPr>
          <w:b/>
        </w:rPr>
        <w:t>V</w:t>
      </w:r>
    </w:p>
    <w:p w:rsidR="003940B6" w:rsidRPr="00DA4658" w:rsidRDefault="003940B6" w:rsidP="00DA4658">
      <w:pPr>
        <w:keepNext/>
        <w:spacing w:after="200"/>
        <w:jc w:val="center"/>
        <w:outlineLvl w:val="0"/>
        <w:rPr>
          <w:b/>
          <w:bCs/>
          <w:caps/>
          <w:kern w:val="32"/>
        </w:rPr>
      </w:pPr>
      <w:r w:rsidRPr="00DA4658">
        <w:rPr>
          <w:b/>
          <w:bCs/>
          <w:caps/>
          <w:kern w:val="32"/>
        </w:rPr>
        <w:t>DOS PARÂMETROS DA VALIDAÇÃO ANALÍTICA</w:t>
      </w:r>
    </w:p>
    <w:p w:rsidR="003940B6" w:rsidRPr="00DA4658" w:rsidRDefault="00331CD7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 xml:space="preserve">Seção </w:t>
      </w:r>
      <w:r w:rsidR="003940B6" w:rsidRPr="00DA4658">
        <w:rPr>
          <w:b/>
        </w:rPr>
        <w:t>I</w:t>
      </w:r>
    </w:p>
    <w:p w:rsidR="00331CD7" w:rsidRPr="00DA4658" w:rsidRDefault="003940B6" w:rsidP="00DA4658">
      <w:pPr>
        <w:keepNext/>
        <w:spacing w:after="200"/>
        <w:jc w:val="center"/>
        <w:outlineLvl w:val="1"/>
        <w:rPr>
          <w:b/>
          <w:bCs/>
          <w:iCs/>
          <w:smallCaps/>
        </w:rPr>
      </w:pPr>
      <w:r w:rsidRPr="00DA4658">
        <w:rPr>
          <w:b/>
          <w:bCs/>
          <w:iCs/>
        </w:rPr>
        <w:t>Da Seletividade</w:t>
      </w:r>
    </w:p>
    <w:p w:rsidR="00B710A1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19 </w:t>
      </w:r>
      <w:r w:rsidR="006E5F9A" w:rsidRPr="00DA4658">
        <w:t>A seletividade do método analítico deve ser demonstrada por meio da</w:t>
      </w:r>
      <w:r w:rsidR="004E36D5" w:rsidRPr="00DA4658">
        <w:t xml:space="preserve"> sua</w:t>
      </w:r>
      <w:r w:rsidR="006E5F9A" w:rsidRPr="00DA4658">
        <w:t xml:space="preserve"> capacidade de identificar ou </w:t>
      </w:r>
      <w:r w:rsidR="005E11E4" w:rsidRPr="00DA4658">
        <w:t xml:space="preserve">quantificar </w:t>
      </w:r>
      <w:r w:rsidR="006E5F9A" w:rsidRPr="00DA4658">
        <w:t>o analito de interesse, inequivocamente, na presença de componentes que podem estar presentes na amostra, como impurezas</w:t>
      </w:r>
      <w:r w:rsidR="004036AC" w:rsidRPr="00DA4658">
        <w:t>, diluentes</w:t>
      </w:r>
      <w:r w:rsidR="006E5F9A" w:rsidRPr="00DA4658">
        <w:t xml:space="preserve"> e componentes da matriz.</w:t>
      </w:r>
    </w:p>
    <w:p w:rsidR="006213A4" w:rsidRPr="00DA4658" w:rsidRDefault="006213A4" w:rsidP="00DA4658">
      <w:pPr>
        <w:spacing w:after="200"/>
        <w:ind w:firstLine="567"/>
        <w:jc w:val="both"/>
      </w:pPr>
      <w:r w:rsidRPr="00DA4658">
        <w:t xml:space="preserve">Parágrafo único. </w:t>
      </w:r>
      <w:r w:rsidR="00021456" w:rsidRPr="00DA4658">
        <w:t>No caso de métodos cromatográficos, deve ser comprovada a pureza cromatográfica do sinal do analito</w:t>
      </w:r>
      <w:r w:rsidR="00833416" w:rsidRPr="00DA4658">
        <w:t>, exceto para produtos biológicos</w:t>
      </w:r>
      <w:r w:rsidR="00ED38E6" w:rsidRPr="00DA4658">
        <w:t>.</w:t>
      </w:r>
    </w:p>
    <w:p w:rsidR="008A623B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20 </w:t>
      </w:r>
      <w:r w:rsidR="00B9451A" w:rsidRPr="00DA4658">
        <w:t xml:space="preserve">Nos métodos de identificação, deve ser demonstrada </w:t>
      </w:r>
      <w:r w:rsidR="00C775F2" w:rsidRPr="00DA4658">
        <w:t xml:space="preserve">sua </w:t>
      </w:r>
      <w:r w:rsidR="002B3A91" w:rsidRPr="00DA4658">
        <w:t>capacidade de</w:t>
      </w:r>
      <w:r w:rsidR="00B9451A" w:rsidRPr="00DA4658">
        <w:t xml:space="preserve"> obter resultado positivo para amostra contendo o analito e resultado negativo para outr</w:t>
      </w:r>
      <w:r w:rsidR="00C775F2" w:rsidRPr="00DA4658">
        <w:t>a</w:t>
      </w:r>
      <w:r w:rsidR="00730F37" w:rsidRPr="00DA4658">
        <w:t>s</w:t>
      </w:r>
      <w:r w:rsidR="00B9451A" w:rsidRPr="00DA4658">
        <w:t xml:space="preserve"> </w:t>
      </w:r>
      <w:r w:rsidR="00C775F2" w:rsidRPr="00DA4658">
        <w:t>substância</w:t>
      </w:r>
      <w:r w:rsidR="00730F37" w:rsidRPr="00DA4658">
        <w:t>s</w:t>
      </w:r>
      <w:r w:rsidR="00C603CF" w:rsidRPr="00DA4658">
        <w:t xml:space="preserve"> presente</w:t>
      </w:r>
      <w:r w:rsidR="00EF0754" w:rsidRPr="00DA4658">
        <w:t>s</w:t>
      </w:r>
      <w:r w:rsidR="00C603CF" w:rsidRPr="00DA4658">
        <w:t xml:space="preserve"> na amostra</w:t>
      </w:r>
      <w:r w:rsidR="00B9451A" w:rsidRPr="00DA4658">
        <w:t>.</w:t>
      </w:r>
    </w:p>
    <w:p w:rsidR="00A76D4F" w:rsidRPr="00DA4658" w:rsidRDefault="008F23B8" w:rsidP="00DA4658">
      <w:pPr>
        <w:pStyle w:val="Corpodetexto"/>
        <w:tabs>
          <w:tab w:val="num" w:pos="0"/>
        </w:tabs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§1º </w:t>
      </w:r>
      <w:r w:rsidR="00A76D4F" w:rsidRPr="00DA4658">
        <w:rPr>
          <w:sz w:val="24"/>
          <w:szCs w:val="24"/>
        </w:rPr>
        <w:t xml:space="preserve">Deve ser utilizada a SQR na comparação com a resposta obtida para o analito </w:t>
      </w:r>
      <w:r w:rsidR="00B41F29" w:rsidRPr="00DA4658">
        <w:rPr>
          <w:sz w:val="24"/>
          <w:szCs w:val="24"/>
        </w:rPr>
        <w:t>nos termos do</w:t>
      </w:r>
      <w:r w:rsidR="00424290" w:rsidRPr="00DA4658">
        <w:rPr>
          <w:sz w:val="24"/>
          <w:szCs w:val="24"/>
        </w:rPr>
        <w:t xml:space="preserve"> Capítulo III</w:t>
      </w:r>
      <w:r w:rsidR="00A76D4F" w:rsidRPr="00DA4658">
        <w:rPr>
          <w:sz w:val="24"/>
          <w:szCs w:val="24"/>
        </w:rPr>
        <w:t>.</w:t>
      </w:r>
    </w:p>
    <w:p w:rsidR="00C775F2" w:rsidRPr="00DA4658" w:rsidRDefault="00C775F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§2º </w:t>
      </w:r>
      <w:r w:rsidR="00D46C5C" w:rsidRPr="00DA4658">
        <w:rPr>
          <w:sz w:val="24"/>
          <w:szCs w:val="24"/>
        </w:rPr>
        <w:t xml:space="preserve">Para demonstrar a seletividade </w:t>
      </w:r>
      <w:r w:rsidR="002B3A91" w:rsidRPr="00DA4658">
        <w:rPr>
          <w:sz w:val="24"/>
          <w:szCs w:val="24"/>
        </w:rPr>
        <w:t>dos</w:t>
      </w:r>
      <w:r w:rsidR="00D46C5C" w:rsidRPr="00DA4658">
        <w:rPr>
          <w:sz w:val="24"/>
          <w:szCs w:val="24"/>
        </w:rPr>
        <w:t xml:space="preserve"> métodos</w:t>
      </w:r>
      <w:r w:rsidR="002B3A91" w:rsidRPr="00DA4658">
        <w:rPr>
          <w:sz w:val="24"/>
          <w:szCs w:val="24"/>
        </w:rPr>
        <w:t xml:space="preserve"> de identificação</w:t>
      </w:r>
      <w:r w:rsidR="00D46C5C" w:rsidRPr="00DA4658">
        <w:rPr>
          <w:sz w:val="24"/>
          <w:szCs w:val="24"/>
        </w:rPr>
        <w:t>, os ensaios devem ser aplicados a substâncias estruturalmente semelhantes ao analito, sendo o critério de aceitação a obtenção de resultado negativo</w:t>
      </w:r>
      <w:r w:rsidRPr="00DA4658">
        <w:rPr>
          <w:sz w:val="24"/>
          <w:szCs w:val="24"/>
        </w:rPr>
        <w:t xml:space="preserve">. </w:t>
      </w:r>
    </w:p>
    <w:p w:rsidR="00C775F2" w:rsidRPr="00DA4658" w:rsidRDefault="00C775F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§3º Para insumos farmacêuticos ativos de origem vegetal e medicamentos que os contenham, deve-se demonstrar a capacidade do método de distinguir o material de interesse de outras espécies vegetais semelhantes, principalmente aquelas que possam estar presentes como adulterantes ou substituintes. </w:t>
      </w:r>
    </w:p>
    <w:p w:rsidR="00C775F2" w:rsidRPr="00DA4658" w:rsidRDefault="00C775F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§4º </w:t>
      </w:r>
      <w:r w:rsidR="00F8106D" w:rsidRPr="00DA4658">
        <w:rPr>
          <w:sz w:val="24"/>
          <w:szCs w:val="24"/>
        </w:rPr>
        <w:t>Para atingir o nível necessário de seletividade, p</w:t>
      </w:r>
      <w:r w:rsidRPr="00DA4658">
        <w:rPr>
          <w:sz w:val="24"/>
          <w:szCs w:val="24"/>
        </w:rPr>
        <w:t>ode ser necessária a combinação de dois ou mais méto</w:t>
      </w:r>
      <w:r w:rsidR="00F8106D" w:rsidRPr="00DA4658">
        <w:rPr>
          <w:sz w:val="24"/>
          <w:szCs w:val="24"/>
        </w:rPr>
        <w:t>dos analíticos de identificação.</w:t>
      </w:r>
    </w:p>
    <w:p w:rsidR="00594866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21 </w:t>
      </w:r>
      <w:r w:rsidR="00ED5857" w:rsidRPr="00DA4658">
        <w:t>P</w:t>
      </w:r>
      <w:r w:rsidR="00594866" w:rsidRPr="00DA4658">
        <w:t xml:space="preserve">ara métodos quantitativos e ensaios limite, a seletividade deve ser demonstrada por meio da comprovação de que a resposta analítica se deve exclusivamente ao analito, sem interferência </w:t>
      </w:r>
      <w:r w:rsidR="00936A6C" w:rsidRPr="00DA4658">
        <w:t xml:space="preserve">do diluente, </w:t>
      </w:r>
      <w:r w:rsidR="00594866" w:rsidRPr="00DA4658">
        <w:t>da matriz, de impurezas ou de produtos de degradação.</w:t>
      </w:r>
    </w:p>
    <w:p w:rsidR="00594866" w:rsidRPr="00DA4658" w:rsidRDefault="00ED5857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rPr>
          <w:color w:val="000000"/>
        </w:rPr>
        <w:t>§</w:t>
      </w:r>
      <w:r w:rsidR="00594866" w:rsidRPr="00DA4658">
        <w:rPr>
          <w:color w:val="000000"/>
        </w:rPr>
        <w:t>1° Para demonstrar ausência de interferência de produtos de degradação, é necessário expor a amostra a condições de degradação em ampla faixa de pH, de oxidação, de calor e de luz.</w:t>
      </w:r>
    </w:p>
    <w:p w:rsidR="00594866" w:rsidRPr="00DA4658" w:rsidRDefault="00ED5857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rPr>
          <w:color w:val="000000"/>
        </w:rPr>
        <w:t>§</w:t>
      </w:r>
      <w:r w:rsidR="00594866" w:rsidRPr="00DA4658">
        <w:rPr>
          <w:color w:val="000000"/>
        </w:rPr>
        <w:t xml:space="preserve">2° Ficam isentos da demonstração descrita no </w:t>
      </w:r>
      <w:r w:rsidR="0091443D" w:rsidRPr="00DA4658">
        <w:rPr>
          <w:color w:val="000000"/>
        </w:rPr>
        <w:t>§</w:t>
      </w:r>
      <w:r w:rsidR="00594866" w:rsidRPr="00DA4658">
        <w:rPr>
          <w:color w:val="000000"/>
        </w:rPr>
        <w:t>1° os seguintes casos:</w:t>
      </w:r>
    </w:p>
    <w:p w:rsidR="00594866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I.- </w:t>
      </w:r>
      <w:r w:rsidR="004E36D5" w:rsidRPr="00DA4658">
        <w:rPr>
          <w:rStyle w:val="A0"/>
        </w:rPr>
        <w:t>p</w:t>
      </w:r>
      <w:r w:rsidR="00594866" w:rsidRPr="00DA4658">
        <w:rPr>
          <w:rStyle w:val="A0"/>
        </w:rPr>
        <w:t xml:space="preserve">rodutos para os quais já foi demonstrada adequação à </w:t>
      </w:r>
      <w:r w:rsidR="0044281A" w:rsidRPr="00DA4658">
        <w:rPr>
          <w:rStyle w:val="A0"/>
        </w:rPr>
        <w:t>resolução</w:t>
      </w:r>
      <w:r w:rsidR="00246EAD" w:rsidRPr="00DA4658">
        <w:rPr>
          <w:rStyle w:val="A0"/>
        </w:rPr>
        <w:t xml:space="preserve"> que e</w:t>
      </w:r>
      <w:r w:rsidR="00246EAD" w:rsidRPr="00DA4658">
        <w:rPr>
          <w:color w:val="333333"/>
        </w:rPr>
        <w:t>stabelece parâmetros para a notificação, identificação e qualificação de produtos de degradação em medicamentos.</w:t>
      </w:r>
    </w:p>
    <w:p w:rsidR="00594866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II.- </w:t>
      </w:r>
      <w:r w:rsidR="004E36D5" w:rsidRPr="00DA4658">
        <w:rPr>
          <w:rStyle w:val="A0"/>
        </w:rPr>
        <w:t>m</w:t>
      </w:r>
      <w:r w:rsidR="00594866" w:rsidRPr="00DA4658">
        <w:rPr>
          <w:rStyle w:val="A0"/>
        </w:rPr>
        <w:t>étodos de desempenho;</w:t>
      </w:r>
    </w:p>
    <w:p w:rsidR="00594866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III.- </w:t>
      </w:r>
      <w:r w:rsidR="004E36D5" w:rsidRPr="00DA4658">
        <w:rPr>
          <w:rStyle w:val="A0"/>
        </w:rPr>
        <w:t>m</w:t>
      </w:r>
      <w:r w:rsidR="00594866" w:rsidRPr="00DA4658">
        <w:rPr>
          <w:rStyle w:val="A0"/>
        </w:rPr>
        <w:t>étodos não cromatográficos.</w:t>
      </w:r>
    </w:p>
    <w:p w:rsidR="00594866" w:rsidRPr="00DA4658" w:rsidRDefault="00ED5857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rPr>
          <w:color w:val="000000"/>
        </w:rPr>
        <w:t>§</w:t>
      </w:r>
      <w:r w:rsidR="00594866" w:rsidRPr="00DA4658">
        <w:rPr>
          <w:color w:val="000000"/>
        </w:rPr>
        <w:t>3° A utilização de método com limitação técnica para sel</w:t>
      </w:r>
      <w:r w:rsidR="00361AA8" w:rsidRPr="00DA4658">
        <w:rPr>
          <w:color w:val="000000"/>
        </w:rPr>
        <w:t>etividade</w:t>
      </w:r>
      <w:r w:rsidR="001D1BDD" w:rsidRPr="00DA4658">
        <w:rPr>
          <w:color w:val="000000"/>
        </w:rPr>
        <w:t>,</w:t>
      </w:r>
      <w:r w:rsidR="00361AA8" w:rsidRPr="00DA4658">
        <w:rPr>
          <w:color w:val="000000"/>
        </w:rPr>
        <w:t xml:space="preserve"> </w:t>
      </w:r>
      <w:r w:rsidR="00F8106D" w:rsidRPr="00DA4658">
        <w:rPr>
          <w:color w:val="000000"/>
        </w:rPr>
        <w:t>nos termos do</w:t>
      </w:r>
      <w:r w:rsidR="00361AA8" w:rsidRPr="00DA4658">
        <w:rPr>
          <w:color w:val="000000"/>
        </w:rPr>
        <w:t xml:space="preserve"> c</w:t>
      </w:r>
      <w:r w:rsidR="00594866" w:rsidRPr="00DA4658">
        <w:rPr>
          <w:color w:val="000000"/>
        </w:rPr>
        <w:t>aput</w:t>
      </w:r>
      <w:r w:rsidR="001D1BDD" w:rsidRPr="00DA4658">
        <w:rPr>
          <w:color w:val="000000"/>
        </w:rPr>
        <w:t>,</w:t>
      </w:r>
      <w:r w:rsidR="00594866" w:rsidRPr="00DA4658">
        <w:rPr>
          <w:color w:val="000000"/>
        </w:rPr>
        <w:t xml:space="preserve"> </w:t>
      </w:r>
      <w:r w:rsidR="00361AA8" w:rsidRPr="00DA4658">
        <w:rPr>
          <w:color w:val="000000"/>
        </w:rPr>
        <w:t>apenas</w:t>
      </w:r>
      <w:r w:rsidR="00594866" w:rsidRPr="00DA4658">
        <w:rPr>
          <w:color w:val="000000"/>
        </w:rPr>
        <w:t xml:space="preserve"> </w:t>
      </w:r>
      <w:r w:rsidR="00361AA8" w:rsidRPr="00DA4658">
        <w:rPr>
          <w:color w:val="000000"/>
        </w:rPr>
        <w:t>é</w:t>
      </w:r>
      <w:r w:rsidR="00594866" w:rsidRPr="00DA4658">
        <w:rPr>
          <w:color w:val="000000"/>
        </w:rPr>
        <w:t xml:space="preserve"> aceita mediante justificativa técnica e </w:t>
      </w:r>
      <w:r w:rsidR="00361AA8" w:rsidRPr="00DA4658">
        <w:rPr>
          <w:color w:val="000000"/>
        </w:rPr>
        <w:t xml:space="preserve">aplicação </w:t>
      </w:r>
      <w:r w:rsidR="00594866" w:rsidRPr="00DA4658">
        <w:rPr>
          <w:color w:val="000000"/>
        </w:rPr>
        <w:t>conjunta de outro método complementar.</w:t>
      </w:r>
    </w:p>
    <w:p w:rsidR="00A17FE8" w:rsidRPr="00DA4658" w:rsidRDefault="004E4FCE" w:rsidP="00DA4658">
      <w:pPr>
        <w:spacing w:after="200"/>
        <w:ind w:firstLine="567"/>
        <w:jc w:val="both"/>
      </w:pPr>
      <w:r w:rsidRPr="00DA4658">
        <w:t xml:space="preserve">Art. 22 </w:t>
      </w:r>
      <w:r w:rsidR="00A17FE8" w:rsidRPr="00DA4658">
        <w:t xml:space="preserve">Para gases medicinais, a seletividade deve ser demonstrada comparando-se o resultado da leitura da amostra com a resposta da leitura da SQR nos termos do capítulo III. </w:t>
      </w:r>
    </w:p>
    <w:p w:rsidR="00A17FE8" w:rsidRPr="00DA4658" w:rsidRDefault="00A17FE8" w:rsidP="00DA4658">
      <w:pPr>
        <w:spacing w:after="200"/>
        <w:ind w:firstLine="567"/>
        <w:jc w:val="both"/>
      </w:pPr>
      <w:r w:rsidRPr="00DA4658">
        <w:t>Parágrafo único. O valor máximo de uma possível interferência deve ser justificado.</w:t>
      </w:r>
    </w:p>
    <w:p w:rsidR="00547F13" w:rsidRPr="00DA4658" w:rsidRDefault="007069A3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 xml:space="preserve">Seção </w:t>
      </w:r>
      <w:r w:rsidR="00547F13" w:rsidRPr="00DA4658">
        <w:rPr>
          <w:b/>
        </w:rPr>
        <w:t>II</w:t>
      </w:r>
    </w:p>
    <w:p w:rsidR="00547F13" w:rsidRPr="00DA4658" w:rsidRDefault="00547F13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Da Linearidade</w:t>
      </w:r>
    </w:p>
    <w:p w:rsidR="00B710A1" w:rsidRPr="00DA4658" w:rsidRDefault="004E4FCE" w:rsidP="00DA4658">
      <w:pPr>
        <w:spacing w:after="200"/>
        <w:ind w:firstLine="567"/>
        <w:jc w:val="both"/>
      </w:pPr>
      <w:r w:rsidRPr="00DA4658">
        <w:t xml:space="preserve">Art. 23 </w:t>
      </w:r>
      <w:r w:rsidR="00547F13" w:rsidRPr="00DA4658">
        <w:t xml:space="preserve">A linearidade de um </w:t>
      </w:r>
      <w:r w:rsidR="00465DB1" w:rsidRPr="00DA4658">
        <w:t>método</w:t>
      </w:r>
      <w:r w:rsidR="00547F13" w:rsidRPr="00DA4658">
        <w:t xml:space="preserve"> </w:t>
      </w:r>
      <w:r w:rsidR="004E36D5" w:rsidRPr="00DA4658">
        <w:t>deve ser demonstrada por meio da</w:t>
      </w:r>
      <w:r w:rsidR="00547F13" w:rsidRPr="00DA4658">
        <w:t xml:space="preserve"> sua capacidade de obter </w:t>
      </w:r>
      <w:r w:rsidR="00465DB1" w:rsidRPr="00DA4658">
        <w:t>respostas analíticas</w:t>
      </w:r>
      <w:r w:rsidR="00547F13" w:rsidRPr="00DA4658">
        <w:t xml:space="preserve"> diretamente proporcionais à concentração de um analito em uma amostra</w:t>
      </w:r>
      <w:r w:rsidR="00B710A1" w:rsidRPr="00DA4658">
        <w:t>.</w:t>
      </w:r>
    </w:p>
    <w:p w:rsidR="00547F13" w:rsidRPr="00DA4658" w:rsidRDefault="004E4FCE" w:rsidP="00DA4658">
      <w:pPr>
        <w:spacing w:after="200"/>
        <w:ind w:firstLine="567"/>
        <w:jc w:val="both"/>
      </w:pPr>
      <w:r w:rsidRPr="00DA4658">
        <w:t xml:space="preserve">Art. 24 </w:t>
      </w:r>
      <w:r w:rsidR="00547F13" w:rsidRPr="00DA4658">
        <w:t xml:space="preserve">Uma relação linear deve ser avaliada em toda a faixa estabelecida para o </w:t>
      </w:r>
      <w:r w:rsidR="00431198" w:rsidRPr="00DA4658">
        <w:t>método</w:t>
      </w:r>
      <w:r w:rsidR="00547F13" w:rsidRPr="00DA4658">
        <w:t>.</w:t>
      </w:r>
    </w:p>
    <w:p w:rsidR="00227B65" w:rsidRPr="00DA4658" w:rsidRDefault="004E4FCE" w:rsidP="00DA4658">
      <w:pPr>
        <w:spacing w:after="200"/>
        <w:ind w:firstLine="567"/>
        <w:jc w:val="both"/>
      </w:pPr>
      <w:r w:rsidRPr="00DA4658">
        <w:t xml:space="preserve">Art. 25 </w:t>
      </w:r>
      <w:r w:rsidR="00547F13" w:rsidRPr="00DA4658">
        <w:t>Para o estabelecimento da linearidade</w:t>
      </w:r>
      <w:r w:rsidR="00ED38E6" w:rsidRPr="00DA4658">
        <w:t>,</w:t>
      </w:r>
      <w:r w:rsidR="00547F13" w:rsidRPr="00DA4658">
        <w:t xml:space="preserve"> deve-se utilizar</w:t>
      </w:r>
      <w:r w:rsidR="002169C1" w:rsidRPr="00DA4658">
        <w:t>,</w:t>
      </w:r>
      <w:r w:rsidR="00547F13" w:rsidRPr="00DA4658">
        <w:t xml:space="preserve"> no mínimo</w:t>
      </w:r>
      <w:r w:rsidR="002169C1" w:rsidRPr="00DA4658">
        <w:t>,</w:t>
      </w:r>
      <w:r w:rsidR="00547F13" w:rsidRPr="00DA4658">
        <w:t xml:space="preserve"> 5</w:t>
      </w:r>
      <w:r w:rsidR="00C80B06" w:rsidRPr="00DA4658">
        <w:t xml:space="preserve"> (cinco)</w:t>
      </w:r>
      <w:r w:rsidR="00547F13" w:rsidRPr="00DA4658">
        <w:t xml:space="preserve"> concentrações diferentes </w:t>
      </w:r>
      <w:r w:rsidR="00431198" w:rsidRPr="00DA4658">
        <w:t xml:space="preserve">da SQR </w:t>
      </w:r>
      <w:r w:rsidR="00547F13" w:rsidRPr="00DA4658">
        <w:t xml:space="preserve">para as soluções </w:t>
      </w:r>
      <w:r w:rsidR="00EA5681" w:rsidRPr="00DA4658">
        <w:t xml:space="preserve">preparadas </w:t>
      </w:r>
      <w:r w:rsidR="00547F13" w:rsidRPr="00DA4658">
        <w:t>em, no mínimo</w:t>
      </w:r>
      <w:r w:rsidR="002169C1" w:rsidRPr="00DA4658">
        <w:t>,</w:t>
      </w:r>
      <w:r w:rsidR="00547F13" w:rsidRPr="00DA4658">
        <w:t xml:space="preserve"> triplicata.</w:t>
      </w:r>
    </w:p>
    <w:p w:rsidR="007409DC" w:rsidRPr="00DA4658" w:rsidRDefault="007409DC" w:rsidP="00DA4658">
      <w:pPr>
        <w:pStyle w:val="PargrafodaLista"/>
        <w:spacing w:after="200"/>
        <w:ind w:left="0" w:firstLine="567"/>
      </w:pPr>
      <w:r w:rsidRPr="00DA4658">
        <w:t>Parágrafo único. As soluções utilizadas para avaliação da linearidade devem ser preparadas de maneira independente, podendo ser utilizadas soluções diluídas de uma mesma solução mãe da SQR.</w:t>
      </w:r>
    </w:p>
    <w:p w:rsidR="009041EB" w:rsidRPr="00DA4658" w:rsidRDefault="004E4FCE" w:rsidP="00DA4658">
      <w:pPr>
        <w:spacing w:after="200"/>
        <w:ind w:firstLine="567"/>
        <w:jc w:val="both"/>
      </w:pPr>
      <w:r w:rsidRPr="00DA4658">
        <w:t xml:space="preserve">Art. 26 </w:t>
      </w:r>
      <w:r w:rsidR="00C110D8" w:rsidRPr="00DA4658">
        <w:t>Todos os cálculos para a avaliação da linearidade devem ser realizados a partir dos dados de concentrações reais e respostas analíticas individuais.</w:t>
      </w:r>
    </w:p>
    <w:p w:rsidR="00757E7E" w:rsidRPr="00DA4658" w:rsidRDefault="004E4FCE" w:rsidP="00DA4658">
      <w:pPr>
        <w:spacing w:after="200"/>
        <w:ind w:firstLine="567"/>
        <w:jc w:val="both"/>
      </w:pPr>
      <w:r w:rsidRPr="00DA4658">
        <w:t xml:space="preserve">Art. 27 </w:t>
      </w:r>
      <w:r w:rsidR="00757E7E" w:rsidRPr="00DA4658">
        <w:t>Para avaliação da linearidade</w:t>
      </w:r>
      <w:r w:rsidR="002169C1" w:rsidRPr="00DA4658">
        <w:t>,</w:t>
      </w:r>
      <w:r w:rsidR="00757E7E" w:rsidRPr="00DA4658">
        <w:t xml:space="preserve"> deve</w:t>
      </w:r>
      <w:r w:rsidR="002169C1" w:rsidRPr="00DA4658">
        <w:t>m</w:t>
      </w:r>
      <w:r w:rsidR="00757E7E" w:rsidRPr="00DA4658">
        <w:t xml:space="preserve"> ser apresentados os seguintes dados:</w:t>
      </w:r>
    </w:p>
    <w:p w:rsidR="00757E7E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I.- </w:t>
      </w:r>
      <w:r w:rsidR="00757E7E" w:rsidRPr="00DA4658">
        <w:rPr>
          <w:rStyle w:val="A0"/>
        </w:rPr>
        <w:t>representação gráfica das respostas em função da concentração do analito;</w:t>
      </w:r>
    </w:p>
    <w:p w:rsidR="00757E7E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II.- </w:t>
      </w:r>
      <w:r w:rsidR="00757E7E" w:rsidRPr="00DA4658">
        <w:rPr>
          <w:rStyle w:val="A0"/>
        </w:rPr>
        <w:t>gráfico de dispersão dos resíduos, acompanhado de sua avaliação estatística;</w:t>
      </w:r>
    </w:p>
    <w:p w:rsidR="00757E7E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III.- </w:t>
      </w:r>
      <w:r w:rsidR="00757E7E" w:rsidRPr="00DA4658">
        <w:rPr>
          <w:rStyle w:val="A0"/>
        </w:rPr>
        <w:t>equação da reta de regressão de y em x, estimada pelo método dos mínimos quadrados;</w:t>
      </w:r>
    </w:p>
    <w:p w:rsidR="00757E7E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IV.- </w:t>
      </w:r>
      <w:r w:rsidR="00757E7E" w:rsidRPr="00DA4658">
        <w:rPr>
          <w:rStyle w:val="A0"/>
        </w:rPr>
        <w:t>avaliação da associ</w:t>
      </w:r>
      <w:r w:rsidR="0017605B" w:rsidRPr="00DA4658">
        <w:rPr>
          <w:rStyle w:val="A0"/>
        </w:rPr>
        <w:t xml:space="preserve">ação linear entre as variáveis </w:t>
      </w:r>
      <w:r w:rsidR="00757E7E" w:rsidRPr="00DA4658">
        <w:rPr>
          <w:rStyle w:val="A0"/>
        </w:rPr>
        <w:t>por meio do coeficientes de correlação (r) e de determinação (r²);</w:t>
      </w:r>
    </w:p>
    <w:p w:rsidR="00481989" w:rsidRPr="00DA4658" w:rsidRDefault="008A6145" w:rsidP="00DA4658">
      <w:pPr>
        <w:spacing w:after="200"/>
        <w:ind w:firstLine="567"/>
        <w:jc w:val="both"/>
        <w:rPr>
          <w:rStyle w:val="A0"/>
        </w:rPr>
      </w:pPr>
      <w:r w:rsidRPr="00DA4658">
        <w:rPr>
          <w:rStyle w:val="A0"/>
        </w:rPr>
        <w:t xml:space="preserve">V.- </w:t>
      </w:r>
      <w:r w:rsidR="00757E7E" w:rsidRPr="00DA4658">
        <w:rPr>
          <w:rStyle w:val="A0"/>
        </w:rPr>
        <w:t>avaliação da significância do coeficiente angular</w:t>
      </w:r>
      <w:r w:rsidR="00657B77" w:rsidRPr="00DA4658">
        <w:rPr>
          <w:rStyle w:val="A0"/>
        </w:rPr>
        <w:t>.</w:t>
      </w:r>
    </w:p>
    <w:p w:rsidR="00757E7E" w:rsidRPr="00DA4658" w:rsidRDefault="00B66B4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 1º </w:t>
      </w:r>
      <w:r w:rsidR="00757E7E" w:rsidRPr="00DA4658">
        <w:rPr>
          <w:sz w:val="24"/>
          <w:szCs w:val="24"/>
        </w:rPr>
        <w:t>A homocedasticidade dos dados deve ser investigada para a utilização do modelo adequado.</w:t>
      </w:r>
    </w:p>
    <w:p w:rsidR="00757E7E" w:rsidRPr="00DA4658" w:rsidRDefault="00B66B4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 2º </w:t>
      </w:r>
      <w:r w:rsidR="00757E7E" w:rsidRPr="00DA4658">
        <w:rPr>
          <w:sz w:val="24"/>
          <w:szCs w:val="24"/>
        </w:rPr>
        <w:t>Nos testes estatísticos</w:t>
      </w:r>
      <w:r w:rsidR="002169C1" w:rsidRPr="00DA4658">
        <w:rPr>
          <w:sz w:val="24"/>
          <w:szCs w:val="24"/>
        </w:rPr>
        <w:t>, deve</w:t>
      </w:r>
      <w:r w:rsidR="00757E7E" w:rsidRPr="00DA4658">
        <w:rPr>
          <w:sz w:val="24"/>
          <w:szCs w:val="24"/>
        </w:rPr>
        <w:t xml:space="preserve"> ser utilizado um nível de significância de 5% (cinco por</w:t>
      </w:r>
      <w:r w:rsidR="00AE15FA" w:rsidRPr="00DA4658">
        <w:rPr>
          <w:sz w:val="24"/>
          <w:szCs w:val="24"/>
        </w:rPr>
        <w:t xml:space="preserve"> </w:t>
      </w:r>
      <w:r w:rsidR="00757E7E" w:rsidRPr="00DA4658">
        <w:rPr>
          <w:sz w:val="24"/>
          <w:szCs w:val="24"/>
        </w:rPr>
        <w:t>cento).</w:t>
      </w:r>
    </w:p>
    <w:p w:rsidR="00757E7E" w:rsidRPr="00DA4658" w:rsidRDefault="00B66B4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 3º </w:t>
      </w:r>
      <w:r w:rsidR="00757E7E" w:rsidRPr="00DA4658">
        <w:rPr>
          <w:sz w:val="24"/>
          <w:szCs w:val="24"/>
        </w:rPr>
        <w:t>O coeficiente de correlação deve estar acima de 0,990.</w:t>
      </w:r>
    </w:p>
    <w:p w:rsidR="00757E7E" w:rsidRPr="00DA4658" w:rsidRDefault="00B66B4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 4º </w:t>
      </w:r>
      <w:r w:rsidR="00757E7E" w:rsidRPr="00DA4658">
        <w:rPr>
          <w:sz w:val="24"/>
          <w:szCs w:val="24"/>
        </w:rPr>
        <w:t>O coeficiente angular deve ser significativamente diferente de zero.</w:t>
      </w:r>
    </w:p>
    <w:p w:rsidR="002403E7" w:rsidRPr="00DA4658" w:rsidRDefault="002403E7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>Seção III</w:t>
      </w:r>
    </w:p>
    <w:p w:rsidR="002403E7" w:rsidRPr="00DA4658" w:rsidRDefault="002403E7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Do Efeito Matriz</w:t>
      </w:r>
    </w:p>
    <w:p w:rsidR="00A90461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28 </w:t>
      </w:r>
      <w:r w:rsidR="006A70E6" w:rsidRPr="00DA4658">
        <w:rPr>
          <w:color w:val="000000"/>
        </w:rPr>
        <w:t>O disposto nesta seção se aplica a matrizes complexas.</w:t>
      </w:r>
    </w:p>
    <w:p w:rsidR="00963FA7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29 </w:t>
      </w:r>
      <w:r w:rsidR="00963FA7" w:rsidRPr="00DA4658">
        <w:rPr>
          <w:color w:val="000000"/>
        </w:rPr>
        <w:t xml:space="preserve">O efeito matriz deve ser determinado por meio da comparação entre os coeficientes angulares das curvas de calibração construídas com a SQR do analito em solvente e com a amostra fortificada com a SQR do analito. </w:t>
      </w:r>
    </w:p>
    <w:p w:rsidR="00963FA7" w:rsidRPr="00DA4658" w:rsidRDefault="00963FA7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Parágrafo único.  As curvas devem ser estabelecidas</w:t>
      </w:r>
      <w:r w:rsidR="006F7E0E" w:rsidRPr="00DA4658">
        <w:t xml:space="preserve"> da mesma forma que na linearidade</w:t>
      </w:r>
      <w:r w:rsidRPr="00DA4658">
        <w:t xml:space="preserve"> para os mesmos níveis de concentração, utilizando</w:t>
      </w:r>
      <w:r w:rsidR="006A70E6" w:rsidRPr="00DA4658">
        <w:t>,</w:t>
      </w:r>
      <w:r w:rsidRPr="00DA4658">
        <w:t xml:space="preserve"> no mínimo, 5 (cinco) concentrações diferentes em, no mínimo</w:t>
      </w:r>
      <w:r w:rsidR="0072311C" w:rsidRPr="00DA4658">
        <w:t>,</w:t>
      </w:r>
      <w:r w:rsidRPr="00DA4658">
        <w:t xml:space="preserve"> triplicata. </w:t>
      </w:r>
    </w:p>
    <w:p w:rsidR="002403E7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30 </w:t>
      </w:r>
      <w:r w:rsidR="00963FA7" w:rsidRPr="00DA4658">
        <w:rPr>
          <w:color w:val="000000"/>
        </w:rPr>
        <w:t>O paralelismo das retas é indicativo de ausência de interferência dos constituintes da ma</w:t>
      </w:r>
      <w:r w:rsidR="002169C1" w:rsidRPr="00DA4658">
        <w:rPr>
          <w:color w:val="000000"/>
        </w:rPr>
        <w:t>triz e a sua demonstração deve</w:t>
      </w:r>
      <w:r w:rsidR="00963FA7" w:rsidRPr="00DA4658">
        <w:rPr>
          <w:color w:val="000000"/>
        </w:rPr>
        <w:t xml:space="preserve"> ser realizada </w:t>
      </w:r>
      <w:r w:rsidR="00242C95" w:rsidRPr="00DA4658">
        <w:rPr>
          <w:color w:val="000000"/>
        </w:rPr>
        <w:t>por meio de avaliação estatística adequada</w:t>
      </w:r>
      <w:r w:rsidR="00963FA7" w:rsidRPr="00DA4658">
        <w:rPr>
          <w:color w:val="000000"/>
        </w:rPr>
        <w:t>.</w:t>
      </w:r>
    </w:p>
    <w:p w:rsidR="003E3DFF" w:rsidRPr="00DA4658" w:rsidRDefault="00C8633B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rPr>
          <w:lang w:eastAsia="en-US"/>
        </w:rPr>
        <w:t xml:space="preserve">Parágrafo único.  </w:t>
      </w:r>
      <w:r w:rsidR="003E3DFF" w:rsidRPr="00DA4658">
        <w:rPr>
          <w:lang w:eastAsia="en-US"/>
        </w:rPr>
        <w:t>Deve ser adotado o nível de significância de 5%</w:t>
      </w:r>
      <w:r w:rsidR="00BC56A7" w:rsidRPr="00DA4658">
        <w:rPr>
          <w:lang w:eastAsia="en-US"/>
        </w:rPr>
        <w:t xml:space="preserve"> (cinco por cento)</w:t>
      </w:r>
      <w:r w:rsidR="003E3DFF" w:rsidRPr="00DA4658">
        <w:rPr>
          <w:lang w:eastAsia="en-US"/>
        </w:rPr>
        <w:t xml:space="preserve"> no teste de hipóteses.</w:t>
      </w:r>
    </w:p>
    <w:p w:rsidR="002A6C9F" w:rsidRPr="00DA4658" w:rsidRDefault="007069A3" w:rsidP="00DA4658">
      <w:pPr>
        <w:autoSpaceDE w:val="0"/>
        <w:autoSpaceDN w:val="0"/>
        <w:adjustRightInd w:val="0"/>
        <w:spacing w:after="200"/>
        <w:jc w:val="center"/>
        <w:rPr>
          <w:b/>
        </w:rPr>
      </w:pPr>
      <w:r w:rsidRPr="00DA4658">
        <w:rPr>
          <w:b/>
        </w:rPr>
        <w:t xml:space="preserve">Seção </w:t>
      </w:r>
      <w:r w:rsidR="002A6C9F" w:rsidRPr="00DA4658">
        <w:rPr>
          <w:b/>
        </w:rPr>
        <w:t>I</w:t>
      </w:r>
      <w:r w:rsidR="00963FA7" w:rsidRPr="00DA4658">
        <w:rPr>
          <w:b/>
        </w:rPr>
        <w:t>V</w:t>
      </w:r>
    </w:p>
    <w:p w:rsidR="002A6C9F" w:rsidRPr="00DA4658" w:rsidRDefault="00BC4645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Da faixa de trabalho</w:t>
      </w:r>
    </w:p>
    <w:p w:rsidR="00B710A1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31 </w:t>
      </w:r>
      <w:r w:rsidR="004816B6" w:rsidRPr="00DA4658">
        <w:t>A faixa de trabalho</w:t>
      </w:r>
      <w:r w:rsidR="002A6C9F" w:rsidRPr="00DA4658">
        <w:t xml:space="preserve"> </w:t>
      </w:r>
      <w:r w:rsidR="004931D4" w:rsidRPr="00DA4658">
        <w:t>deve ser</w:t>
      </w:r>
      <w:r w:rsidR="00110922" w:rsidRPr="00DA4658">
        <w:t xml:space="preserve"> estabelecida </w:t>
      </w:r>
      <w:r w:rsidR="004931D4" w:rsidRPr="00DA4658">
        <w:t>a partir</w:t>
      </w:r>
      <w:r w:rsidR="002A6C9F" w:rsidRPr="00DA4658">
        <w:t xml:space="preserve"> dos estudos de linearidade</w:t>
      </w:r>
      <w:r w:rsidR="002169C1" w:rsidRPr="00DA4658">
        <w:t>,</w:t>
      </w:r>
      <w:r w:rsidR="00BC4645" w:rsidRPr="00DA4658">
        <w:t xml:space="preserve"> juntamente com os resultados de precisão e exatidão, sendo</w:t>
      </w:r>
      <w:r w:rsidR="002A6C9F" w:rsidRPr="00DA4658">
        <w:t xml:space="preserve"> depende</w:t>
      </w:r>
      <w:r w:rsidR="00BC4645" w:rsidRPr="00DA4658">
        <w:t>nte</w:t>
      </w:r>
      <w:r w:rsidR="002A6C9F" w:rsidRPr="00DA4658">
        <w:t xml:space="preserve"> da aplicação pretendida</w:t>
      </w:r>
      <w:r w:rsidR="00B710A1" w:rsidRPr="00DA4658">
        <w:t>.</w:t>
      </w:r>
    </w:p>
    <w:p w:rsidR="002A6C9F" w:rsidRPr="00DA4658" w:rsidRDefault="004E4FCE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32 </w:t>
      </w:r>
      <w:r w:rsidR="002A6C9F" w:rsidRPr="00DA4658">
        <w:t>Devem ser considerad</w:t>
      </w:r>
      <w:r w:rsidR="004816B6" w:rsidRPr="00DA4658">
        <w:t>a</w:t>
      </w:r>
      <w:r w:rsidR="002A6C9F" w:rsidRPr="00DA4658">
        <w:t xml:space="preserve">s </w:t>
      </w:r>
      <w:r w:rsidR="004816B6" w:rsidRPr="00DA4658">
        <w:t xml:space="preserve">as </w:t>
      </w:r>
      <w:r w:rsidR="002A6C9F" w:rsidRPr="00DA4658">
        <w:t xml:space="preserve">seguintes </w:t>
      </w:r>
      <w:r w:rsidR="004816B6" w:rsidRPr="00DA4658">
        <w:t>faixas de trabalho</w:t>
      </w:r>
      <w:r w:rsidR="002A6C9F" w:rsidRPr="00DA4658">
        <w:t>:</w:t>
      </w:r>
    </w:p>
    <w:p w:rsidR="00B710A1" w:rsidRPr="00DA4658" w:rsidRDefault="008A6145" w:rsidP="00DA4658">
      <w:pPr>
        <w:tabs>
          <w:tab w:val="num" w:pos="360"/>
        </w:tabs>
        <w:spacing w:after="200"/>
        <w:ind w:firstLine="567"/>
        <w:jc w:val="both"/>
      </w:pPr>
      <w:r w:rsidRPr="00DA4658">
        <w:t xml:space="preserve">I.- </w:t>
      </w:r>
      <w:r w:rsidR="002A6C9F" w:rsidRPr="00DA4658">
        <w:t>para teor: de 80%</w:t>
      </w:r>
      <w:r w:rsidR="00BC56A7" w:rsidRPr="00DA4658">
        <w:t xml:space="preserve"> (oitenta por cento)</w:t>
      </w:r>
      <w:r w:rsidR="002A6C9F" w:rsidRPr="00DA4658">
        <w:t xml:space="preserve"> a 120%</w:t>
      </w:r>
      <w:r w:rsidR="00BC56A7" w:rsidRPr="00DA4658">
        <w:t xml:space="preserve"> (cento e vinte por cento)</w:t>
      </w:r>
      <w:r w:rsidR="00B710A1" w:rsidRPr="00DA4658">
        <w:t>;</w:t>
      </w:r>
    </w:p>
    <w:p w:rsidR="00B710A1" w:rsidRPr="00DA4658" w:rsidRDefault="008A6145" w:rsidP="00DA4658">
      <w:pPr>
        <w:tabs>
          <w:tab w:val="num" w:pos="360"/>
        </w:tabs>
        <w:spacing w:after="200"/>
        <w:ind w:firstLine="567"/>
        <w:jc w:val="both"/>
      </w:pPr>
      <w:r w:rsidRPr="00DA4658">
        <w:t xml:space="preserve">II.- </w:t>
      </w:r>
      <w:r w:rsidR="002A6C9F" w:rsidRPr="00DA4658">
        <w:t>para uniformidade de conteúdo: de 70%</w:t>
      </w:r>
      <w:r w:rsidR="00BC56A7" w:rsidRPr="00DA4658">
        <w:t xml:space="preserve"> (setenta por cento)</w:t>
      </w:r>
      <w:r w:rsidR="002A6C9F" w:rsidRPr="00DA4658">
        <w:t xml:space="preserve"> a 130%</w:t>
      </w:r>
      <w:r w:rsidR="00BC56A7" w:rsidRPr="00DA4658">
        <w:t xml:space="preserve"> (centro e trinta por cento)</w:t>
      </w:r>
      <w:r w:rsidR="00B710A1" w:rsidRPr="00DA4658">
        <w:t>;</w:t>
      </w:r>
    </w:p>
    <w:p w:rsidR="00B710A1" w:rsidRPr="00DA4658" w:rsidRDefault="008A6145" w:rsidP="00DA4658">
      <w:pPr>
        <w:tabs>
          <w:tab w:val="num" w:pos="540"/>
        </w:tabs>
        <w:spacing w:after="200"/>
        <w:ind w:firstLine="567"/>
        <w:jc w:val="both"/>
      </w:pPr>
      <w:r w:rsidRPr="00DA4658">
        <w:t xml:space="preserve">III.- </w:t>
      </w:r>
      <w:r w:rsidR="002A6C9F" w:rsidRPr="00DA4658">
        <w:t>para teste de dissolução: de -20%</w:t>
      </w:r>
      <w:r w:rsidR="00BC56A7" w:rsidRPr="00DA4658">
        <w:t xml:space="preserve"> (menos vinte por cento)</w:t>
      </w:r>
      <w:r w:rsidR="002A6C9F" w:rsidRPr="00DA4658">
        <w:t xml:space="preserve"> da menor concentração esperada a +20%</w:t>
      </w:r>
      <w:r w:rsidR="00BC56A7" w:rsidRPr="00DA4658">
        <w:t xml:space="preserve"> (mais vinte por cento)</w:t>
      </w:r>
      <w:r w:rsidR="002A6C9F" w:rsidRPr="00DA4658">
        <w:t xml:space="preserve"> da maior concentração esperada a partir do perfil de dissolução</w:t>
      </w:r>
      <w:r w:rsidR="00B710A1" w:rsidRPr="00DA4658">
        <w:t>; e</w:t>
      </w:r>
    </w:p>
    <w:p w:rsidR="00A90461" w:rsidRPr="00DA4658" w:rsidRDefault="008A6145" w:rsidP="00DA4658">
      <w:pPr>
        <w:tabs>
          <w:tab w:val="num" w:pos="567"/>
        </w:tabs>
        <w:spacing w:after="200"/>
        <w:ind w:firstLine="567"/>
        <w:jc w:val="both"/>
      </w:pPr>
      <w:r w:rsidRPr="00DA4658">
        <w:t xml:space="preserve">IV.- </w:t>
      </w:r>
      <w:r w:rsidR="002A6C9F" w:rsidRPr="00DA4658">
        <w:t xml:space="preserve">para determinação de impurezas: do limite de quantificação até 120% </w:t>
      </w:r>
      <w:r w:rsidR="00BC56A7" w:rsidRPr="00DA4658">
        <w:t xml:space="preserve">(cento e vinte por cento) </w:t>
      </w:r>
      <w:r w:rsidR="002A6C9F" w:rsidRPr="00DA4658">
        <w:t>da concentração no limite da especificação de cada impureza individual</w:t>
      </w:r>
      <w:r w:rsidR="007655F7" w:rsidRPr="00DA4658">
        <w:t>;</w:t>
      </w:r>
    </w:p>
    <w:p w:rsidR="007655F7" w:rsidRPr="00DA4658" w:rsidRDefault="008A6145" w:rsidP="00DA4658">
      <w:pPr>
        <w:tabs>
          <w:tab w:val="num" w:pos="567"/>
        </w:tabs>
        <w:spacing w:after="200"/>
        <w:ind w:firstLine="567"/>
        <w:jc w:val="both"/>
      </w:pPr>
      <w:r w:rsidRPr="00DA4658">
        <w:t xml:space="preserve">V.- </w:t>
      </w:r>
      <w:r w:rsidR="007655F7" w:rsidRPr="00DA4658">
        <w:t>para determinação simultânea de teor e impurezas pelo procedimento de normalização de área: do limite de quantificação</w:t>
      </w:r>
      <w:r w:rsidR="00BC4645" w:rsidRPr="00DA4658">
        <w:t xml:space="preserve"> (LQ)</w:t>
      </w:r>
      <w:r w:rsidR="007655F7" w:rsidRPr="00DA4658">
        <w:t xml:space="preserve"> até 120% (cento e vinte por cento) da concentração esperada da substância ativa.</w:t>
      </w:r>
    </w:p>
    <w:p w:rsidR="007655F7" w:rsidRPr="00DA4658" w:rsidRDefault="00AE15FA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§ 1º </w:t>
      </w:r>
      <w:r w:rsidR="004816B6" w:rsidRPr="00DA4658">
        <w:t>Faixas de trabalho</w:t>
      </w:r>
      <w:r w:rsidR="007655F7" w:rsidRPr="00DA4658">
        <w:t xml:space="preserve"> maiores que </w:t>
      </w:r>
      <w:r w:rsidR="004816B6" w:rsidRPr="00DA4658">
        <w:t>as definida</w:t>
      </w:r>
      <w:r w:rsidR="00A51B45" w:rsidRPr="00DA4658">
        <w:t>s no c</w:t>
      </w:r>
      <w:r w:rsidR="007655F7" w:rsidRPr="00DA4658">
        <w:t>aput poderão ser utilizad</w:t>
      </w:r>
      <w:r w:rsidR="00BC4645" w:rsidRPr="00DA4658">
        <w:t>a</w:t>
      </w:r>
      <w:r w:rsidR="007655F7" w:rsidRPr="00DA4658">
        <w:t xml:space="preserve">s </w:t>
      </w:r>
      <w:r w:rsidR="004816B6" w:rsidRPr="00DA4658">
        <w:t>se justificada</w:t>
      </w:r>
      <w:r w:rsidR="007655F7" w:rsidRPr="00DA4658">
        <w:t>s tecnicamente.</w:t>
      </w:r>
    </w:p>
    <w:p w:rsidR="00AE15FA" w:rsidRPr="00DA4658" w:rsidRDefault="00AE15FA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 2º Para gases medicinais, serão aceitas faixas de trabalho alternativas desde que a abordagem para a escolha do intervalo seja justificada.</w:t>
      </w:r>
    </w:p>
    <w:p w:rsidR="00ED3E8F" w:rsidRPr="00DA4658" w:rsidRDefault="007069A3" w:rsidP="00DA4658">
      <w:pPr>
        <w:keepNext/>
        <w:spacing w:after="200"/>
        <w:jc w:val="center"/>
        <w:outlineLvl w:val="3"/>
        <w:rPr>
          <w:b/>
        </w:rPr>
      </w:pPr>
      <w:bookmarkStart w:id="9" w:name="_Toc330564197"/>
      <w:bookmarkStart w:id="10" w:name="_Toc397347942"/>
      <w:r w:rsidRPr="00DA4658">
        <w:rPr>
          <w:b/>
        </w:rPr>
        <w:t xml:space="preserve">Seção </w:t>
      </w:r>
      <w:r w:rsidR="00ED3E8F" w:rsidRPr="00DA4658">
        <w:rPr>
          <w:b/>
        </w:rPr>
        <w:t>V</w:t>
      </w:r>
    </w:p>
    <w:bookmarkEnd w:id="9"/>
    <w:bookmarkEnd w:id="10"/>
    <w:p w:rsidR="00ED3E8F" w:rsidRPr="00DA4658" w:rsidRDefault="00ED3E8F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Da Precisão</w:t>
      </w:r>
    </w:p>
    <w:p w:rsidR="00B710A1" w:rsidRPr="00DA4658" w:rsidRDefault="00325F57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33 </w:t>
      </w:r>
      <w:r w:rsidR="00ED3E8F" w:rsidRPr="00DA4658">
        <w:rPr>
          <w:color w:val="000000"/>
        </w:rPr>
        <w:t>A precisão deve avaliar a proximidade entre os resultados obtidos por meio de ensaios com amostras preparadas conforme descrito no método analítico a ser validado</w:t>
      </w:r>
      <w:r w:rsidR="00B710A1" w:rsidRPr="00DA4658">
        <w:rPr>
          <w:color w:val="000000"/>
        </w:rPr>
        <w:t>.</w:t>
      </w:r>
    </w:p>
    <w:p w:rsidR="00E46782" w:rsidRPr="00DA4658" w:rsidRDefault="00325F57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34 </w:t>
      </w:r>
      <w:r w:rsidR="00ED3E8F" w:rsidRPr="00DA4658">
        <w:t xml:space="preserve">A precisão deve ser expressa por meio da </w:t>
      </w:r>
      <w:r w:rsidR="00362277" w:rsidRPr="00DA4658">
        <w:t>repetibilidade</w:t>
      </w:r>
      <w:r w:rsidR="00ED3E8F" w:rsidRPr="00DA4658">
        <w:t xml:space="preserve">, da precisão intermediária </w:t>
      </w:r>
      <w:r w:rsidR="00045AA1" w:rsidRPr="00DA4658">
        <w:t xml:space="preserve">ou </w:t>
      </w:r>
      <w:r w:rsidR="00ED3E8F" w:rsidRPr="00DA4658">
        <w:t>da reprodutibilidade.</w:t>
      </w:r>
    </w:p>
    <w:p w:rsidR="00514A29" w:rsidRPr="00DA4658" w:rsidRDefault="00325F57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35 </w:t>
      </w:r>
      <w:r w:rsidR="003A7726" w:rsidRPr="00DA4658">
        <w:rPr>
          <w:color w:val="000000"/>
        </w:rPr>
        <w:t xml:space="preserve">A precisão deve ser demonstrada </w:t>
      </w:r>
      <w:r w:rsidR="00E46782" w:rsidRPr="00DA4658">
        <w:rPr>
          <w:color w:val="000000"/>
        </w:rPr>
        <w:t>pela</w:t>
      </w:r>
      <w:r w:rsidR="003A7726" w:rsidRPr="00DA4658">
        <w:rPr>
          <w:color w:val="000000"/>
        </w:rPr>
        <w:t xml:space="preserve"> dispersão dos resultados, calculando-se o desvio padrão rela</w:t>
      </w:r>
      <w:r w:rsidR="00E46782" w:rsidRPr="00DA4658">
        <w:rPr>
          <w:color w:val="000000"/>
        </w:rPr>
        <w:t>tivo (DPR) da série</w:t>
      </w:r>
      <w:r w:rsidR="003A7726" w:rsidRPr="00DA4658">
        <w:rPr>
          <w:color w:val="000000"/>
        </w:rPr>
        <w:t xml:space="preserve"> de medições conforme a fórmula "DPR=(DP/CMD)X100", em que DP é o desvio padrão e CMD, a concentração média determinada.</w:t>
      </w:r>
    </w:p>
    <w:p w:rsidR="00ED3E8F" w:rsidRPr="00DA4658" w:rsidRDefault="00325F57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36 </w:t>
      </w:r>
      <w:r w:rsidR="00ED3E8F" w:rsidRPr="00DA4658">
        <w:t>As amostras para avaliação da precisão devem ser pre</w:t>
      </w:r>
      <w:r w:rsidR="00D5731D" w:rsidRPr="00DA4658">
        <w:t>paradas de maneira independente</w:t>
      </w:r>
      <w:r w:rsidR="00ED3E8F" w:rsidRPr="00DA4658">
        <w:t xml:space="preserve"> desde o início do procedimento descrito no método.</w:t>
      </w:r>
    </w:p>
    <w:p w:rsidR="00ED3E8F" w:rsidRPr="00DA4658" w:rsidRDefault="00E42646" w:rsidP="00DA4658">
      <w:pPr>
        <w:pStyle w:val="Corpodetexto"/>
        <w:tabs>
          <w:tab w:val="num" w:pos="1305"/>
        </w:tabs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>Parágrafo único. No caso de amostras sólidas e semissólidas, não é aceita</w:t>
      </w:r>
      <w:r w:rsidRPr="00DA4658" w:rsidDel="00E42646">
        <w:rPr>
          <w:sz w:val="24"/>
          <w:szCs w:val="24"/>
        </w:rPr>
        <w:t xml:space="preserve"> </w:t>
      </w:r>
      <w:r w:rsidRPr="00DA4658">
        <w:rPr>
          <w:sz w:val="24"/>
          <w:szCs w:val="24"/>
        </w:rPr>
        <w:t>a</w:t>
      </w:r>
      <w:r w:rsidR="00ED3E8F" w:rsidRPr="00DA4658">
        <w:rPr>
          <w:sz w:val="24"/>
          <w:szCs w:val="24"/>
        </w:rPr>
        <w:t xml:space="preserve"> utilização de soluções diluídas de uma mesma solução mãe.</w:t>
      </w:r>
    </w:p>
    <w:p w:rsidR="00514A29" w:rsidRPr="00DA4658" w:rsidRDefault="00325F57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37 </w:t>
      </w:r>
      <w:r w:rsidR="00AD1356" w:rsidRPr="00DA4658">
        <w:t xml:space="preserve">Quando a avaliação da precisão envolver contaminação </w:t>
      </w:r>
      <w:r w:rsidR="00971335" w:rsidRPr="00DA4658">
        <w:t>da matriz</w:t>
      </w:r>
      <w:r w:rsidR="00AD1356" w:rsidRPr="00DA4658">
        <w:t xml:space="preserve"> com subst</w:t>
      </w:r>
      <w:r w:rsidR="008B087F" w:rsidRPr="00DA4658">
        <w:t>ância em quantidade muito baixa</w:t>
      </w:r>
      <w:r w:rsidR="00AD1356" w:rsidRPr="00DA4658">
        <w:t xml:space="preserve"> que impossibilite a pesagem direta, </w:t>
      </w:r>
      <w:r w:rsidR="00E46782" w:rsidRPr="00DA4658">
        <w:t>pode</w:t>
      </w:r>
      <w:r w:rsidR="00AD1356" w:rsidRPr="00DA4658">
        <w:t xml:space="preserve"> ser utiliz</w:t>
      </w:r>
      <w:r w:rsidR="008B087F" w:rsidRPr="00DA4658">
        <w:t>ada uma solução concentrada da</w:t>
      </w:r>
      <w:r w:rsidR="00AD1356" w:rsidRPr="00DA4658">
        <w:t xml:space="preserve"> </w:t>
      </w:r>
      <w:r w:rsidR="00E46782" w:rsidRPr="00DA4658">
        <w:t xml:space="preserve">substância, seguindo-se </w:t>
      </w:r>
      <w:r w:rsidR="00AD1356" w:rsidRPr="00DA4658">
        <w:t>o procedimento descrito no método analítico para extração e diluição da amostra.</w:t>
      </w:r>
    </w:p>
    <w:p w:rsidR="00ED4A30" w:rsidRPr="00DA4658" w:rsidRDefault="0019365D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§1° </w:t>
      </w:r>
      <w:r w:rsidR="00904880" w:rsidRPr="00DA4658">
        <w:rPr>
          <w:sz w:val="24"/>
          <w:szCs w:val="24"/>
        </w:rPr>
        <w:t>No caso de impurezas conhecidas</w:t>
      </w:r>
      <w:r w:rsidR="00FE0E92" w:rsidRPr="00DA4658">
        <w:rPr>
          <w:sz w:val="24"/>
          <w:szCs w:val="24"/>
        </w:rPr>
        <w:t xml:space="preserve"> ausentes </w:t>
      </w:r>
      <w:r w:rsidR="00805CCB" w:rsidRPr="00DA4658">
        <w:rPr>
          <w:sz w:val="24"/>
          <w:szCs w:val="24"/>
        </w:rPr>
        <w:t xml:space="preserve">ou presentes em concentração menor que o limite da especificação </w:t>
      </w:r>
      <w:r w:rsidR="00FE0E92" w:rsidRPr="00DA4658">
        <w:rPr>
          <w:sz w:val="24"/>
          <w:szCs w:val="24"/>
        </w:rPr>
        <w:t>na</w:t>
      </w:r>
      <w:r w:rsidR="00904880" w:rsidRPr="00DA4658">
        <w:rPr>
          <w:sz w:val="24"/>
          <w:szCs w:val="24"/>
        </w:rPr>
        <w:t xml:space="preserve"> amostra</w:t>
      </w:r>
      <w:r w:rsidR="00FE0E92" w:rsidRPr="00DA4658">
        <w:rPr>
          <w:sz w:val="24"/>
          <w:szCs w:val="24"/>
        </w:rPr>
        <w:t>, es</w:t>
      </w:r>
      <w:r w:rsidR="00BF5FB2" w:rsidRPr="00DA4658">
        <w:rPr>
          <w:sz w:val="24"/>
          <w:szCs w:val="24"/>
        </w:rPr>
        <w:t>t</w:t>
      </w:r>
      <w:r w:rsidR="00FE0E92" w:rsidRPr="00DA4658">
        <w:rPr>
          <w:sz w:val="24"/>
          <w:szCs w:val="24"/>
        </w:rPr>
        <w:t>a</w:t>
      </w:r>
      <w:r w:rsidR="006810B3" w:rsidRPr="00DA4658">
        <w:rPr>
          <w:sz w:val="24"/>
          <w:szCs w:val="24"/>
        </w:rPr>
        <w:t xml:space="preserve"> deve</w:t>
      </w:r>
      <w:r w:rsidR="00904880" w:rsidRPr="00DA4658">
        <w:rPr>
          <w:sz w:val="24"/>
          <w:szCs w:val="24"/>
        </w:rPr>
        <w:t xml:space="preserve"> ser fortificada com concentrações conhecidas do padrão de impurezas.</w:t>
      </w:r>
    </w:p>
    <w:p w:rsidR="00110922" w:rsidRPr="00DA4658" w:rsidRDefault="0019365D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§2° </w:t>
      </w:r>
      <w:r w:rsidR="00110922" w:rsidRPr="00DA4658">
        <w:rPr>
          <w:sz w:val="24"/>
          <w:szCs w:val="24"/>
        </w:rPr>
        <w:t>No caso de impurezas desconhecidas, a amostra deve ser avaliada utilizando a resposta do ativo acrescido à matriz na concentração correspondente ao limite da especificação estabelecido para a impureza, desde que se considere o mesmo fator resposta para impureza e para o ativo.</w:t>
      </w:r>
    </w:p>
    <w:p w:rsidR="00904880" w:rsidRPr="00DA4658" w:rsidRDefault="00325F57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38 </w:t>
      </w:r>
      <w:r w:rsidR="00AD73A9" w:rsidRPr="00DA4658">
        <w:rPr>
          <w:color w:val="000000"/>
        </w:rPr>
        <w:t xml:space="preserve">A determinação da </w:t>
      </w:r>
      <w:r w:rsidR="008D63B5" w:rsidRPr="00DA4658">
        <w:rPr>
          <w:color w:val="000000"/>
        </w:rPr>
        <w:t xml:space="preserve">repetibilidade </w:t>
      </w:r>
      <w:r w:rsidR="00AD73A9" w:rsidRPr="00DA4658">
        <w:rPr>
          <w:color w:val="000000"/>
        </w:rPr>
        <w:t>deve obedecer aos seguintes critérios:</w:t>
      </w:r>
    </w:p>
    <w:p w:rsidR="00097323" w:rsidRPr="00DA4658" w:rsidRDefault="00E42DB8" w:rsidP="00DA4658">
      <w:pPr>
        <w:tabs>
          <w:tab w:val="num" w:pos="1817"/>
        </w:tabs>
        <w:spacing w:after="200"/>
        <w:ind w:firstLine="567"/>
        <w:jc w:val="both"/>
      </w:pPr>
      <w:r w:rsidRPr="00DA4658">
        <w:t xml:space="preserve">I - avaliar as amostras sob as mesmas condições de operação, mesmo analista e mesma instrumentação, </w:t>
      </w:r>
      <w:r w:rsidR="00E46782" w:rsidRPr="00DA4658">
        <w:t>em uma única corrida analítica.</w:t>
      </w:r>
    </w:p>
    <w:p w:rsidR="00AD73A9" w:rsidRPr="00DA4658" w:rsidRDefault="00097323" w:rsidP="00DA4658">
      <w:pPr>
        <w:tabs>
          <w:tab w:val="num" w:pos="1817"/>
        </w:tabs>
        <w:spacing w:after="200"/>
        <w:ind w:firstLine="567"/>
        <w:jc w:val="both"/>
      </w:pPr>
      <w:r w:rsidRPr="00DA4658">
        <w:t xml:space="preserve">II - </w:t>
      </w:r>
      <w:r w:rsidR="00AD73A9" w:rsidRPr="00DA4658">
        <w:t>utilizar</w:t>
      </w:r>
      <w:r w:rsidR="00D5731D" w:rsidRPr="00DA4658">
        <w:t>,</w:t>
      </w:r>
      <w:r w:rsidR="00AD73A9" w:rsidRPr="00DA4658">
        <w:t xml:space="preserve"> no mínimo</w:t>
      </w:r>
      <w:r w:rsidR="00D5731D" w:rsidRPr="00DA4658">
        <w:t>,</w:t>
      </w:r>
      <w:r w:rsidR="00AD73A9" w:rsidRPr="00DA4658">
        <w:t xml:space="preserve"> 9 (nove) determinações, contemplando o intervalo linear do método</w:t>
      </w:r>
      <w:r w:rsidR="0025226B" w:rsidRPr="00DA4658">
        <w:t xml:space="preserve"> analítico</w:t>
      </w:r>
      <w:r w:rsidR="00AD73A9" w:rsidRPr="00DA4658">
        <w:t>, ou seja, 3 (três) concentrações</w:t>
      </w:r>
      <w:r w:rsidR="0025226B" w:rsidRPr="00DA4658">
        <w:t>:</w:t>
      </w:r>
      <w:r w:rsidR="00AD73A9" w:rsidRPr="00DA4658">
        <w:t xml:space="preserve"> baixa, média e alta, com 3 (três) réplicas</w:t>
      </w:r>
      <w:r w:rsidR="00E12CE7" w:rsidRPr="00DA4658">
        <w:t xml:space="preserve"> em cada nível</w:t>
      </w:r>
      <w:r w:rsidR="00AD73A9" w:rsidRPr="00DA4658">
        <w:t xml:space="preserve"> </w:t>
      </w:r>
      <w:r w:rsidR="00F56380" w:rsidRPr="00DA4658">
        <w:t xml:space="preserve">ou 6 (seis) </w:t>
      </w:r>
      <w:r w:rsidR="00E42646" w:rsidRPr="00DA4658">
        <w:t xml:space="preserve">réplicas </w:t>
      </w:r>
      <w:r w:rsidR="00F56380" w:rsidRPr="00DA4658">
        <w:t>a 100% (cem por cento) da concentração do teste individualmente preparadas.</w:t>
      </w:r>
    </w:p>
    <w:p w:rsidR="002624DC" w:rsidRPr="00DA4658" w:rsidRDefault="004D2CC2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39 </w:t>
      </w:r>
      <w:r w:rsidR="002624DC" w:rsidRPr="00DA4658">
        <w:rPr>
          <w:color w:val="000000"/>
        </w:rPr>
        <w:t>Os critérios de ac</w:t>
      </w:r>
      <w:r w:rsidR="00040E95" w:rsidRPr="00DA4658">
        <w:rPr>
          <w:color w:val="000000"/>
        </w:rPr>
        <w:t>e</w:t>
      </w:r>
      <w:r w:rsidR="002624DC" w:rsidRPr="00DA4658">
        <w:rPr>
          <w:color w:val="000000"/>
        </w:rPr>
        <w:t>itação devem ser definidos e justificados de acordo com os seguintes aspectos</w:t>
      </w:r>
      <w:r w:rsidR="00097323" w:rsidRPr="00DA4658">
        <w:rPr>
          <w:color w:val="000000"/>
        </w:rPr>
        <w:t xml:space="preserve">: </w:t>
      </w:r>
    </w:p>
    <w:p w:rsidR="002624DC" w:rsidRPr="00DA4658" w:rsidRDefault="00097323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I - </w:t>
      </w:r>
      <w:r w:rsidR="002141A4" w:rsidRPr="00DA4658">
        <w:rPr>
          <w:sz w:val="24"/>
          <w:szCs w:val="24"/>
        </w:rPr>
        <w:t>o</w:t>
      </w:r>
      <w:r w:rsidR="002624DC" w:rsidRPr="00DA4658">
        <w:rPr>
          <w:sz w:val="24"/>
          <w:szCs w:val="24"/>
        </w:rPr>
        <w:t>bjetivo do método;</w:t>
      </w:r>
    </w:p>
    <w:p w:rsidR="00B629B0" w:rsidRPr="00DA4658" w:rsidRDefault="00097323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>II - v</w:t>
      </w:r>
      <w:r w:rsidR="002624DC" w:rsidRPr="00DA4658">
        <w:rPr>
          <w:sz w:val="24"/>
          <w:szCs w:val="24"/>
        </w:rPr>
        <w:t>ariabilidade intrínseca</w:t>
      </w:r>
      <w:r w:rsidR="00D7088E" w:rsidRPr="00DA4658">
        <w:rPr>
          <w:sz w:val="24"/>
          <w:szCs w:val="24"/>
        </w:rPr>
        <w:t xml:space="preserve"> do método</w:t>
      </w:r>
      <w:r w:rsidR="002624DC" w:rsidRPr="00DA4658">
        <w:rPr>
          <w:sz w:val="24"/>
          <w:szCs w:val="24"/>
        </w:rPr>
        <w:t>;</w:t>
      </w:r>
    </w:p>
    <w:p w:rsidR="00B629B0" w:rsidRPr="00DA4658" w:rsidRDefault="00D7206A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III - </w:t>
      </w:r>
      <w:r w:rsidR="002141A4" w:rsidRPr="00DA4658">
        <w:rPr>
          <w:sz w:val="24"/>
          <w:szCs w:val="24"/>
        </w:rPr>
        <w:t>c</w:t>
      </w:r>
      <w:r w:rsidR="002624DC" w:rsidRPr="00DA4658">
        <w:rPr>
          <w:sz w:val="24"/>
          <w:szCs w:val="24"/>
        </w:rPr>
        <w:t>oncentração de trabalho</w:t>
      </w:r>
      <w:r w:rsidR="00B629B0" w:rsidRPr="00DA4658">
        <w:rPr>
          <w:sz w:val="24"/>
          <w:szCs w:val="24"/>
        </w:rPr>
        <w:t>;</w:t>
      </w:r>
      <w:r w:rsidR="00623304" w:rsidRPr="00DA4658">
        <w:rPr>
          <w:sz w:val="24"/>
          <w:szCs w:val="24"/>
        </w:rPr>
        <w:t xml:space="preserve"> e</w:t>
      </w:r>
    </w:p>
    <w:p w:rsidR="002624DC" w:rsidRPr="00DA4658" w:rsidRDefault="00D7206A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IV - </w:t>
      </w:r>
      <w:r w:rsidR="002141A4" w:rsidRPr="00DA4658">
        <w:rPr>
          <w:sz w:val="24"/>
          <w:szCs w:val="24"/>
        </w:rPr>
        <w:t>c</w:t>
      </w:r>
      <w:r w:rsidR="00B629B0" w:rsidRPr="00DA4658">
        <w:rPr>
          <w:sz w:val="24"/>
          <w:szCs w:val="24"/>
        </w:rPr>
        <w:t>oncentração do analito na amostra.</w:t>
      </w:r>
      <w:r w:rsidR="002624DC" w:rsidRPr="00DA4658">
        <w:rPr>
          <w:sz w:val="24"/>
          <w:szCs w:val="24"/>
        </w:rPr>
        <w:t xml:space="preserve"> </w:t>
      </w:r>
    </w:p>
    <w:p w:rsidR="009F7BFB" w:rsidRPr="00DA4658" w:rsidRDefault="004D2CC2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40 </w:t>
      </w:r>
      <w:r w:rsidR="00A51BDE" w:rsidRPr="00DA4658">
        <w:rPr>
          <w:color w:val="000000"/>
        </w:rPr>
        <w:t>A determinação da precisão intermediária deve obedecer aos seguintes critérios:</w:t>
      </w:r>
    </w:p>
    <w:p w:rsidR="00A51BDE" w:rsidRPr="00DA4658" w:rsidRDefault="004D2CC2" w:rsidP="00DA4658">
      <w:pPr>
        <w:spacing w:after="200"/>
        <w:ind w:firstLine="567"/>
        <w:jc w:val="both"/>
      </w:pPr>
      <w:r w:rsidRPr="00DA4658">
        <w:t xml:space="preserve">I.- </w:t>
      </w:r>
      <w:r w:rsidR="00A51BDE" w:rsidRPr="00DA4658">
        <w:t>expressar a proximidade entre os resultados obtidos da análise de uma mesma amostra, no mesmo laboratório, em pelo menos dois dias diferentes, realizada por operadores distintos;</w:t>
      </w:r>
      <w:r w:rsidR="00D7206A" w:rsidRPr="00DA4658">
        <w:t xml:space="preserve"> e</w:t>
      </w:r>
    </w:p>
    <w:p w:rsidR="00F27C4A" w:rsidRPr="00DA4658" w:rsidRDefault="002E0F86" w:rsidP="00DA4658">
      <w:pPr>
        <w:spacing w:after="200"/>
        <w:ind w:firstLine="567"/>
        <w:jc w:val="both"/>
      </w:pPr>
      <w:r w:rsidRPr="00DA4658">
        <w:t>II - contemplar as mesmas concentrações e o mesmo número de determinações descritas na avaliação da repeti</w:t>
      </w:r>
      <w:r w:rsidR="00B56237" w:rsidRPr="00DA4658">
        <w:t>bil</w:t>
      </w:r>
      <w:r w:rsidR="00D7206A" w:rsidRPr="00DA4658">
        <w:t>idade.</w:t>
      </w:r>
    </w:p>
    <w:p w:rsidR="007B6A67" w:rsidRPr="00DA4658" w:rsidRDefault="004D2CC2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41 </w:t>
      </w:r>
      <w:r w:rsidR="007B6A67" w:rsidRPr="00DA4658">
        <w:t xml:space="preserve">A reprodutibilidade </w:t>
      </w:r>
      <w:r w:rsidR="00BF5FB2" w:rsidRPr="00DA4658">
        <w:t>deve ser obtida por meio d</w:t>
      </w:r>
      <w:r w:rsidR="007B6A67" w:rsidRPr="00DA4658">
        <w:t>a proximidade dos resultados obtidos em laboratórios diferentes.</w:t>
      </w:r>
    </w:p>
    <w:p w:rsidR="005D62EE" w:rsidRPr="00DA4658" w:rsidRDefault="004D2CC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§1° </w:t>
      </w:r>
      <w:r w:rsidR="006361F8" w:rsidRPr="00DA4658">
        <w:rPr>
          <w:sz w:val="24"/>
          <w:szCs w:val="24"/>
        </w:rPr>
        <w:t xml:space="preserve">A reprodutibilidade </w:t>
      </w:r>
      <w:r w:rsidR="00A51BDE" w:rsidRPr="00DA4658">
        <w:rPr>
          <w:sz w:val="24"/>
          <w:szCs w:val="24"/>
        </w:rPr>
        <w:t xml:space="preserve">é aplicável em estudos colaborativos ou na padronização de </w:t>
      </w:r>
      <w:r w:rsidR="00DB5BA5" w:rsidRPr="00DA4658">
        <w:rPr>
          <w:sz w:val="24"/>
          <w:szCs w:val="24"/>
        </w:rPr>
        <w:t>métodos analíticos</w:t>
      </w:r>
      <w:r w:rsidR="00A51BDE" w:rsidRPr="00DA4658">
        <w:rPr>
          <w:sz w:val="24"/>
          <w:szCs w:val="24"/>
        </w:rPr>
        <w:t xml:space="preserve"> para inclusão dess</w:t>
      </w:r>
      <w:r w:rsidR="0076093F" w:rsidRPr="00DA4658">
        <w:rPr>
          <w:sz w:val="24"/>
          <w:szCs w:val="24"/>
        </w:rPr>
        <w:t>e</w:t>
      </w:r>
      <w:r w:rsidR="00A51BDE" w:rsidRPr="00DA4658">
        <w:rPr>
          <w:sz w:val="24"/>
          <w:szCs w:val="24"/>
        </w:rPr>
        <w:t>s em compêndios oficiais, mediante testes estatísticos adequados.</w:t>
      </w:r>
    </w:p>
    <w:p w:rsidR="00E602CA" w:rsidRPr="00DA4658" w:rsidRDefault="004D2CC2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§2° </w:t>
      </w:r>
      <w:r w:rsidR="00CB305D" w:rsidRPr="00DA4658">
        <w:rPr>
          <w:sz w:val="24"/>
          <w:szCs w:val="24"/>
        </w:rPr>
        <w:t xml:space="preserve">O </w:t>
      </w:r>
      <w:r w:rsidR="00E12CE7" w:rsidRPr="00DA4658">
        <w:rPr>
          <w:sz w:val="24"/>
          <w:szCs w:val="24"/>
        </w:rPr>
        <w:t xml:space="preserve">critério de aceitação para o </w:t>
      </w:r>
      <w:r w:rsidR="00CB305D" w:rsidRPr="00DA4658">
        <w:rPr>
          <w:sz w:val="24"/>
          <w:szCs w:val="24"/>
        </w:rPr>
        <w:t xml:space="preserve">desvio padrão relativo </w:t>
      </w:r>
      <w:r w:rsidR="00B30DC3" w:rsidRPr="00DA4658">
        <w:rPr>
          <w:sz w:val="24"/>
          <w:szCs w:val="24"/>
        </w:rPr>
        <w:t xml:space="preserve">deve ser justificado conforme preconizado no art. </w:t>
      </w:r>
      <w:r w:rsidR="002153AE" w:rsidRPr="00DA4658">
        <w:rPr>
          <w:sz w:val="24"/>
          <w:szCs w:val="24"/>
        </w:rPr>
        <w:t>39</w:t>
      </w:r>
      <w:r w:rsidR="00B30DC3" w:rsidRPr="00DA4658">
        <w:rPr>
          <w:sz w:val="24"/>
          <w:szCs w:val="24"/>
        </w:rPr>
        <w:t>.</w:t>
      </w:r>
    </w:p>
    <w:p w:rsidR="00206222" w:rsidRPr="00DA4658" w:rsidRDefault="002A1A96" w:rsidP="00DA4658">
      <w:pPr>
        <w:keepNext/>
        <w:spacing w:after="200"/>
        <w:jc w:val="center"/>
        <w:outlineLvl w:val="3"/>
        <w:rPr>
          <w:b/>
        </w:rPr>
      </w:pPr>
      <w:r w:rsidRPr="00DA4658">
        <w:rPr>
          <w:b/>
        </w:rPr>
        <w:t xml:space="preserve">Seção </w:t>
      </w:r>
      <w:r w:rsidR="00206222" w:rsidRPr="00DA4658">
        <w:rPr>
          <w:b/>
        </w:rPr>
        <w:t>V</w:t>
      </w:r>
      <w:r w:rsidR="00B2040D" w:rsidRPr="00DA4658">
        <w:rPr>
          <w:b/>
        </w:rPr>
        <w:t>I</w:t>
      </w:r>
    </w:p>
    <w:p w:rsidR="00206222" w:rsidRPr="00DA4658" w:rsidRDefault="00206222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Da Exatidão</w:t>
      </w:r>
    </w:p>
    <w:p w:rsidR="00782953" w:rsidRPr="00DA4658" w:rsidRDefault="005E1BB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42 </w:t>
      </w:r>
      <w:r w:rsidR="00787E0D" w:rsidRPr="00DA4658">
        <w:t>A exatidão de um método analítico</w:t>
      </w:r>
      <w:r w:rsidR="00632123" w:rsidRPr="00DA4658">
        <w:t xml:space="preserve"> </w:t>
      </w:r>
      <w:r w:rsidR="00BF5FB2" w:rsidRPr="00DA4658">
        <w:t>deve ser obtida por meio</w:t>
      </w:r>
      <w:r w:rsidR="00787E0D" w:rsidRPr="00DA4658">
        <w:t xml:space="preserve"> </w:t>
      </w:r>
      <w:r w:rsidR="00BF5FB2" w:rsidRPr="00DA4658">
        <w:t>d</w:t>
      </w:r>
      <w:r w:rsidR="00787E0D" w:rsidRPr="00DA4658">
        <w:t xml:space="preserve">o grau de concordância entre os resultados individuais </w:t>
      </w:r>
      <w:r w:rsidR="00432CA7" w:rsidRPr="00DA4658">
        <w:t>do</w:t>
      </w:r>
      <w:r w:rsidR="00787E0D" w:rsidRPr="00DA4658">
        <w:t xml:space="preserve"> método em estudo em relação a um valor </w:t>
      </w:r>
      <w:r w:rsidR="005967EC" w:rsidRPr="00DA4658">
        <w:t>aceito</w:t>
      </w:r>
      <w:r w:rsidR="00787E0D" w:rsidRPr="00DA4658">
        <w:t xml:space="preserve"> </w:t>
      </w:r>
      <w:r w:rsidR="00DF5D32" w:rsidRPr="00DA4658">
        <w:t xml:space="preserve">como </w:t>
      </w:r>
      <w:r w:rsidR="00787E0D" w:rsidRPr="00DA4658">
        <w:t>verdadeiro.</w:t>
      </w:r>
    </w:p>
    <w:p w:rsidR="00B710A1" w:rsidRPr="00DA4658" w:rsidRDefault="005E1BBB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43 </w:t>
      </w:r>
      <w:r w:rsidR="00883458" w:rsidRPr="00DA4658">
        <w:t xml:space="preserve">A exatidão </w:t>
      </w:r>
      <w:r w:rsidR="00E120FC" w:rsidRPr="00DA4658">
        <w:t xml:space="preserve">deve ser </w:t>
      </w:r>
      <w:r w:rsidR="00883458" w:rsidRPr="00DA4658">
        <w:t xml:space="preserve">verificada a partir de, no mínimo, 9 (nove) determinações, contemplando o intervalo linear do método analítico, ou seja, 3 (três) concentrações: baixa, média e alta, com 3 (três) réplicas </w:t>
      </w:r>
      <w:r w:rsidR="0025226B" w:rsidRPr="00DA4658">
        <w:t>em cada nível</w:t>
      </w:r>
      <w:r w:rsidR="00B710A1" w:rsidRPr="00DA4658">
        <w:t>.</w:t>
      </w:r>
    </w:p>
    <w:p w:rsidR="00CA68A4" w:rsidRPr="00DA4658" w:rsidRDefault="005E1BBB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44 </w:t>
      </w:r>
      <w:r w:rsidR="00F835CE" w:rsidRPr="00DA4658">
        <w:t>As amostras para avaliação da exatidão devem ser preparadas de maneira independente</w:t>
      </w:r>
      <w:r w:rsidR="00CA68A4" w:rsidRPr="00DA4658">
        <w:t>, podendo ser utilizadas soluções diluídas de uma mesma solução mãe da SQR.</w:t>
      </w:r>
    </w:p>
    <w:p w:rsidR="006A79C4" w:rsidRPr="00DA4658" w:rsidRDefault="005E1BBB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45 </w:t>
      </w:r>
      <w:r w:rsidR="006A79C4" w:rsidRPr="00DA4658">
        <w:t>Para a determinação da exatidão, deve ser utilizada a abordagem mais adequada, de acordo com o método analítico em estudo:</w:t>
      </w:r>
    </w:p>
    <w:p w:rsidR="006A79C4" w:rsidRPr="00DA4658" w:rsidRDefault="005E1BBB" w:rsidP="00DA4658">
      <w:pPr>
        <w:spacing w:after="200"/>
        <w:ind w:firstLine="567"/>
        <w:jc w:val="both"/>
      </w:pPr>
      <w:r w:rsidRPr="00DA4658">
        <w:t xml:space="preserve">I.- </w:t>
      </w:r>
      <w:r w:rsidR="006A79C4" w:rsidRPr="00DA4658">
        <w:t xml:space="preserve">para </w:t>
      </w:r>
      <w:r w:rsidR="0069548C" w:rsidRPr="00DA4658">
        <w:t>IFA</w:t>
      </w:r>
      <w:r w:rsidR="006A79C4" w:rsidRPr="00DA4658">
        <w:t>:</w:t>
      </w:r>
    </w:p>
    <w:p w:rsidR="006A79C4" w:rsidRPr="00DA4658" w:rsidRDefault="007470B2" w:rsidP="00DA4658">
      <w:pPr>
        <w:spacing w:after="200"/>
        <w:ind w:firstLine="567"/>
        <w:jc w:val="both"/>
      </w:pPr>
      <w:r w:rsidRPr="00DA4658">
        <w:t xml:space="preserve">a) </w:t>
      </w:r>
      <w:r w:rsidR="006A79C4" w:rsidRPr="00DA4658">
        <w:t xml:space="preserve">aplicar </w:t>
      </w:r>
      <w:r w:rsidR="00DB5BA5" w:rsidRPr="00DA4658">
        <w:t xml:space="preserve">o método </w:t>
      </w:r>
      <w:r w:rsidR="006A79C4" w:rsidRPr="00DA4658">
        <w:t xml:space="preserve"> propost</w:t>
      </w:r>
      <w:r w:rsidR="00DB5BA5" w:rsidRPr="00DA4658">
        <w:t>o</w:t>
      </w:r>
      <w:r w:rsidR="006A79C4" w:rsidRPr="00DA4658">
        <w:t xml:space="preserve"> utilizando substância de pureza conhecida (SQR);</w:t>
      </w:r>
    </w:p>
    <w:p w:rsidR="006A79C4" w:rsidRPr="00DA4658" w:rsidRDefault="007470B2" w:rsidP="00DA4658">
      <w:pPr>
        <w:spacing w:after="200"/>
        <w:ind w:firstLine="567"/>
        <w:jc w:val="both"/>
      </w:pPr>
      <w:r w:rsidRPr="00DA4658">
        <w:t xml:space="preserve">b) </w:t>
      </w:r>
      <w:r w:rsidR="006A79C4" w:rsidRPr="00DA4658">
        <w:t xml:space="preserve">comparar os resultados obtidos com aqueles resultantes de </w:t>
      </w:r>
      <w:r w:rsidR="00DB5BA5" w:rsidRPr="00DA4658">
        <w:t xml:space="preserve">um </w:t>
      </w:r>
      <w:r w:rsidR="006A79C4" w:rsidRPr="00DA4658">
        <w:t>segund</w:t>
      </w:r>
      <w:r w:rsidR="00E120FC" w:rsidRPr="00DA4658">
        <w:t>o</w:t>
      </w:r>
      <w:r w:rsidR="006A79C4" w:rsidRPr="00DA4658">
        <w:t xml:space="preserve"> </w:t>
      </w:r>
      <w:r w:rsidR="00DB5BA5" w:rsidRPr="00DA4658">
        <w:t xml:space="preserve">método </w:t>
      </w:r>
      <w:r w:rsidR="006A79C4" w:rsidRPr="00DA4658">
        <w:t>validad</w:t>
      </w:r>
      <w:r w:rsidR="00DB5BA5" w:rsidRPr="00DA4658">
        <w:t>o</w:t>
      </w:r>
      <w:r w:rsidR="006A79C4" w:rsidRPr="00DA4658">
        <w:t>, cuja exatidão tenha sido estabelecida</w:t>
      </w:r>
      <w:r w:rsidR="00922995" w:rsidRPr="00DA4658">
        <w:t>;</w:t>
      </w:r>
      <w:r w:rsidR="006A79C4" w:rsidRPr="00DA4658">
        <w:t xml:space="preserve"> ou</w:t>
      </w:r>
    </w:p>
    <w:p w:rsidR="006A79C4" w:rsidRPr="00DA4658" w:rsidRDefault="007470B2" w:rsidP="00DA4658">
      <w:pPr>
        <w:spacing w:after="200"/>
        <w:ind w:firstLine="567"/>
        <w:jc w:val="both"/>
      </w:pPr>
      <w:r w:rsidRPr="00DA4658">
        <w:t xml:space="preserve">c) </w:t>
      </w:r>
      <w:r w:rsidR="006A79C4" w:rsidRPr="00DA4658">
        <w:t>no caso de analito em matriz complexa, realizar análise pelo método de adição de SQR</w:t>
      </w:r>
      <w:r w:rsidR="00BB1076" w:rsidRPr="00DA4658">
        <w:t xml:space="preserve"> no qual quantidades conhecidas de SQR são acrescentadas à amostra</w:t>
      </w:r>
      <w:r w:rsidR="006A79C4" w:rsidRPr="00DA4658">
        <w:t>.</w:t>
      </w:r>
    </w:p>
    <w:p w:rsidR="006A79C4" w:rsidRPr="00DA4658" w:rsidRDefault="005E1BBB" w:rsidP="00DA4658">
      <w:pPr>
        <w:spacing w:after="200"/>
        <w:ind w:firstLine="567"/>
        <w:jc w:val="both"/>
      </w:pPr>
      <w:r w:rsidRPr="00DA4658">
        <w:t xml:space="preserve">II.- </w:t>
      </w:r>
      <w:r w:rsidR="006A79C4" w:rsidRPr="00DA4658">
        <w:t>para produto terminado:</w:t>
      </w:r>
    </w:p>
    <w:p w:rsidR="006A79C4" w:rsidRPr="00DA4658" w:rsidRDefault="007470B2" w:rsidP="00DA4658">
      <w:pPr>
        <w:spacing w:after="200"/>
        <w:ind w:firstLine="567"/>
        <w:jc w:val="both"/>
      </w:pPr>
      <w:r w:rsidRPr="00DA4658">
        <w:t xml:space="preserve">a) </w:t>
      </w:r>
      <w:r w:rsidR="006A79C4" w:rsidRPr="00DA4658">
        <w:t xml:space="preserve">aplicar </w:t>
      </w:r>
      <w:r w:rsidR="00813EEC" w:rsidRPr="00DA4658">
        <w:t>o método</w:t>
      </w:r>
      <w:r w:rsidR="006A79C4" w:rsidRPr="00DA4658">
        <w:t xml:space="preserve"> propost</w:t>
      </w:r>
      <w:r w:rsidR="00813EEC" w:rsidRPr="00DA4658">
        <w:t>o</w:t>
      </w:r>
      <w:r w:rsidR="006A79C4" w:rsidRPr="00DA4658">
        <w:t xml:space="preserve"> na análise de uma amostra, na qual quantidade conhecida de SQR foi adicionada </w:t>
      </w:r>
      <w:r w:rsidR="00F7464D" w:rsidRPr="00DA4658">
        <w:t xml:space="preserve">à </w:t>
      </w:r>
      <w:r w:rsidR="00F00498" w:rsidRPr="00DA4658">
        <w:t>matriz</w:t>
      </w:r>
      <w:r w:rsidR="006A79C4" w:rsidRPr="00DA4658">
        <w:t>;</w:t>
      </w:r>
    </w:p>
    <w:p w:rsidR="009F41B6" w:rsidRPr="00DA4658" w:rsidRDefault="007470B2" w:rsidP="00DA4658">
      <w:pPr>
        <w:spacing w:after="200"/>
        <w:ind w:firstLine="567"/>
        <w:jc w:val="both"/>
      </w:pPr>
      <w:r w:rsidRPr="00DA4658">
        <w:t xml:space="preserve">b) </w:t>
      </w:r>
      <w:r w:rsidR="006A79C4" w:rsidRPr="00DA4658">
        <w:t xml:space="preserve">na indisponibilidade de amostras de todos os componentes do medicamento, pode ser realizada a análise pelo método de adição de SQR, no qual quantidades conhecidas de SQR são </w:t>
      </w:r>
      <w:r w:rsidR="009964AD" w:rsidRPr="00DA4658">
        <w:t>acres</w:t>
      </w:r>
      <w:r w:rsidR="007B4766" w:rsidRPr="00DA4658">
        <w:t>cidas</w:t>
      </w:r>
      <w:r w:rsidR="009964AD" w:rsidRPr="00DA4658">
        <w:t xml:space="preserve"> </w:t>
      </w:r>
      <w:r w:rsidR="006A79C4" w:rsidRPr="00DA4658">
        <w:t>à solução do produto terminado</w:t>
      </w:r>
      <w:r w:rsidR="00922995" w:rsidRPr="00DA4658">
        <w:t>;</w:t>
      </w:r>
      <w:r w:rsidR="006A79C4" w:rsidRPr="00DA4658">
        <w:t xml:space="preserve"> ou</w:t>
      </w:r>
    </w:p>
    <w:p w:rsidR="006A79C4" w:rsidRPr="00DA4658" w:rsidRDefault="007470B2" w:rsidP="00DA4658">
      <w:pPr>
        <w:spacing w:after="200"/>
        <w:ind w:firstLine="567"/>
        <w:jc w:val="both"/>
      </w:pPr>
      <w:r w:rsidRPr="00DA4658">
        <w:t xml:space="preserve">c) </w:t>
      </w:r>
      <w:r w:rsidR="006A79C4" w:rsidRPr="00DA4658">
        <w:t>comparar os resultados obtidos com aqueles resultantes de um segund</w:t>
      </w:r>
      <w:r w:rsidR="00813EEC" w:rsidRPr="00DA4658">
        <w:t>o</w:t>
      </w:r>
      <w:r w:rsidR="006A79C4" w:rsidRPr="00DA4658">
        <w:t xml:space="preserve"> </w:t>
      </w:r>
      <w:r w:rsidR="00813EEC" w:rsidRPr="00DA4658">
        <w:t xml:space="preserve">método </w:t>
      </w:r>
      <w:r w:rsidR="006A79C4" w:rsidRPr="00DA4658">
        <w:t>validad</w:t>
      </w:r>
      <w:r w:rsidR="00813EEC" w:rsidRPr="00DA4658">
        <w:t>o</w:t>
      </w:r>
      <w:r w:rsidR="006A79C4" w:rsidRPr="00DA4658">
        <w:t>.</w:t>
      </w:r>
    </w:p>
    <w:p w:rsidR="00786334" w:rsidRPr="00DA4658" w:rsidRDefault="005E1BBB" w:rsidP="00DA4658">
      <w:pPr>
        <w:spacing w:after="200"/>
        <w:ind w:firstLine="567"/>
        <w:jc w:val="both"/>
      </w:pPr>
      <w:r w:rsidRPr="00DA4658">
        <w:t xml:space="preserve">III.- </w:t>
      </w:r>
      <w:r w:rsidR="006A79C4" w:rsidRPr="00DA4658">
        <w:t>para impurezas:</w:t>
      </w:r>
    </w:p>
    <w:p w:rsidR="006A79C4" w:rsidRPr="00DA4658" w:rsidRDefault="007470B2" w:rsidP="00DA4658">
      <w:pPr>
        <w:spacing w:after="200"/>
        <w:ind w:firstLine="567"/>
        <w:jc w:val="both"/>
      </w:pPr>
      <w:r w:rsidRPr="00DA4658">
        <w:t xml:space="preserve">a) </w:t>
      </w:r>
      <w:r w:rsidR="006A79C4" w:rsidRPr="00DA4658">
        <w:t xml:space="preserve">aplicar o método de adição de padrão, no qual quantidades conhecidas de impurezas ou produtos de degradação são acrescidas </w:t>
      </w:r>
      <w:r w:rsidR="00963826" w:rsidRPr="00DA4658">
        <w:t xml:space="preserve">à </w:t>
      </w:r>
      <w:r w:rsidR="009858E0" w:rsidRPr="00DA4658">
        <w:t>amostra</w:t>
      </w:r>
      <w:r w:rsidR="006A79C4" w:rsidRPr="00DA4658">
        <w:t>;</w:t>
      </w:r>
      <w:r w:rsidR="00922995" w:rsidRPr="00DA4658">
        <w:t xml:space="preserve"> </w:t>
      </w:r>
    </w:p>
    <w:p w:rsidR="00B40A1E" w:rsidRPr="00DA4658" w:rsidRDefault="007470B2" w:rsidP="00DA4658">
      <w:pPr>
        <w:spacing w:after="200"/>
        <w:ind w:firstLine="567"/>
        <w:jc w:val="both"/>
      </w:pPr>
      <w:r w:rsidRPr="00DA4658">
        <w:rPr>
          <w:color w:val="000000"/>
        </w:rPr>
        <w:t xml:space="preserve">b) </w:t>
      </w:r>
      <w:r w:rsidR="000E20BC" w:rsidRPr="00DA4658">
        <w:rPr>
          <w:color w:val="000000"/>
        </w:rPr>
        <w:t xml:space="preserve">na indisponibilidade de amostras de certas impurezas ou produtos de degradação, pode ser realizada a comparação dos resultados obtidos com um segundo método validado e a </w:t>
      </w:r>
      <w:r w:rsidR="000E20BC" w:rsidRPr="00DA4658">
        <w:t>utilização do fator resposta</w:t>
      </w:r>
      <w:r w:rsidR="0061615D" w:rsidRPr="00DA4658">
        <w:t xml:space="preserve"> relativo</w:t>
      </w:r>
      <w:r w:rsidR="000E20BC" w:rsidRPr="00DA4658">
        <w:t xml:space="preserve"> </w:t>
      </w:r>
      <w:r w:rsidR="0061615D" w:rsidRPr="00DA4658">
        <w:t xml:space="preserve">ao </w:t>
      </w:r>
      <w:r w:rsidR="000E20BC" w:rsidRPr="00DA4658">
        <w:t>IFA</w:t>
      </w:r>
      <w:r w:rsidR="0025226B" w:rsidRPr="00DA4658">
        <w:t>;</w:t>
      </w:r>
    </w:p>
    <w:p w:rsidR="00EE7714" w:rsidRPr="00DA4658" w:rsidRDefault="007470B2" w:rsidP="00DA4658">
      <w:pPr>
        <w:spacing w:after="200"/>
        <w:ind w:firstLine="567"/>
        <w:jc w:val="both"/>
      </w:pPr>
      <w:r w:rsidRPr="00DA4658">
        <w:t xml:space="preserve">c) </w:t>
      </w:r>
      <w:r w:rsidR="00EE7714" w:rsidRPr="00DA4658">
        <w:t>para impurezas desconhecidas</w:t>
      </w:r>
      <w:r w:rsidR="003B5E27" w:rsidRPr="00DA4658">
        <w:t>,</w:t>
      </w:r>
      <w:r w:rsidR="00EE7714" w:rsidRPr="00DA4658">
        <w:t xml:space="preserve"> a exatidão deve ser avaliada comparando-se a resposta da SQR d</w:t>
      </w:r>
      <w:r w:rsidR="003C1E7F" w:rsidRPr="00DA4658">
        <w:t>o</w:t>
      </w:r>
      <w:r w:rsidR="00EE7714" w:rsidRPr="00DA4658">
        <w:t xml:space="preserve"> </w:t>
      </w:r>
      <w:r w:rsidR="00911F62" w:rsidRPr="00DA4658">
        <w:t>IFA</w:t>
      </w:r>
      <w:r w:rsidR="00EE7714" w:rsidRPr="00DA4658">
        <w:t xml:space="preserve"> ou de impureza conhecida</w:t>
      </w:r>
      <w:r w:rsidR="00672D74" w:rsidRPr="00DA4658">
        <w:t>,</w:t>
      </w:r>
      <w:r w:rsidR="00EE7714" w:rsidRPr="00DA4658">
        <w:t xml:space="preserve"> conforme o método proposto</w:t>
      </w:r>
      <w:r w:rsidR="00672D74" w:rsidRPr="00DA4658">
        <w:t>,</w:t>
      </w:r>
      <w:r w:rsidR="00EE7714" w:rsidRPr="00DA4658">
        <w:t xml:space="preserve"> em uma faixa de concentração que contemple </w:t>
      </w:r>
      <w:r w:rsidR="0025226B" w:rsidRPr="00DA4658">
        <w:t>a faixa de trabalho</w:t>
      </w:r>
      <w:r w:rsidR="00EE7714" w:rsidRPr="00DA4658">
        <w:t xml:space="preserve"> do método, desde </w:t>
      </w:r>
      <w:r w:rsidR="00672D74" w:rsidRPr="00DA4658">
        <w:t>que seja considerado</w:t>
      </w:r>
      <w:r w:rsidR="00EE7714" w:rsidRPr="00DA4658">
        <w:t xml:space="preserve"> o mesmo fator resposta.</w:t>
      </w:r>
    </w:p>
    <w:p w:rsidR="000E20BC" w:rsidRPr="00DA4658" w:rsidRDefault="00A44A68" w:rsidP="00DA4658">
      <w:pPr>
        <w:pStyle w:val="Corpodetexto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Parágrafo único.  </w:t>
      </w:r>
      <w:r w:rsidR="000E20BC" w:rsidRPr="00DA4658">
        <w:rPr>
          <w:sz w:val="24"/>
          <w:szCs w:val="24"/>
        </w:rPr>
        <w:t xml:space="preserve">Em </w:t>
      </w:r>
      <w:r w:rsidR="001813BD" w:rsidRPr="00DA4658">
        <w:rPr>
          <w:sz w:val="24"/>
          <w:szCs w:val="24"/>
        </w:rPr>
        <w:t xml:space="preserve">todos </w:t>
      </w:r>
      <w:r w:rsidR="000E20BC" w:rsidRPr="00DA4658">
        <w:rPr>
          <w:sz w:val="24"/>
          <w:szCs w:val="24"/>
        </w:rPr>
        <w:t>os casos</w:t>
      </w:r>
      <w:r w:rsidR="00B40A1E" w:rsidRPr="00DA4658">
        <w:rPr>
          <w:sz w:val="24"/>
          <w:szCs w:val="24"/>
        </w:rPr>
        <w:t>,</w:t>
      </w:r>
      <w:r w:rsidR="000E20BC" w:rsidRPr="00DA4658">
        <w:rPr>
          <w:sz w:val="24"/>
          <w:szCs w:val="24"/>
        </w:rPr>
        <w:t xml:space="preserve"> a forma de cálculo</w:t>
      </w:r>
      <w:r w:rsidR="001813BD" w:rsidRPr="00DA4658">
        <w:rPr>
          <w:sz w:val="24"/>
          <w:szCs w:val="24"/>
        </w:rPr>
        <w:t xml:space="preserve"> das concentrações dos analitos</w:t>
      </w:r>
      <w:r w:rsidR="00B40A1E" w:rsidRPr="00DA4658">
        <w:rPr>
          <w:sz w:val="24"/>
          <w:szCs w:val="24"/>
        </w:rPr>
        <w:t xml:space="preserve"> </w:t>
      </w:r>
      <w:r w:rsidR="002E057C" w:rsidRPr="00DA4658">
        <w:rPr>
          <w:sz w:val="24"/>
          <w:szCs w:val="24"/>
        </w:rPr>
        <w:t xml:space="preserve">deve ser a mesma </w:t>
      </w:r>
      <w:r w:rsidR="00403C9B" w:rsidRPr="00DA4658">
        <w:rPr>
          <w:sz w:val="24"/>
          <w:szCs w:val="24"/>
        </w:rPr>
        <w:t>descrita</w:t>
      </w:r>
      <w:r w:rsidR="002E057C" w:rsidRPr="00DA4658">
        <w:rPr>
          <w:sz w:val="24"/>
          <w:szCs w:val="24"/>
        </w:rPr>
        <w:t xml:space="preserve"> no método analítico</w:t>
      </w:r>
      <w:r w:rsidR="001813BD" w:rsidRPr="00DA4658">
        <w:rPr>
          <w:sz w:val="24"/>
          <w:szCs w:val="24"/>
        </w:rPr>
        <w:t xml:space="preserve"> em questão.</w:t>
      </w:r>
    </w:p>
    <w:p w:rsidR="00B710A1" w:rsidRPr="00DA4658" w:rsidRDefault="007470B2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46 </w:t>
      </w:r>
      <w:r w:rsidR="000E20BC" w:rsidRPr="00DA4658">
        <w:t xml:space="preserve">A exatidão deve ser expressa pela relação percentual de recuperação do analito de concentração conhecida adicionado à amostra ou pela relação entre a concentração média, determinada experimentalmente, e a concentração teórica correspondente, dada pela fórmula </w:t>
      </w:r>
      <w:r w:rsidR="00F27028" w:rsidRPr="00DA4658">
        <w:t>1</w:t>
      </w:r>
      <w:r w:rsidR="00632123" w:rsidRPr="00DA4658">
        <w:t xml:space="preserve"> </w:t>
      </w:r>
      <w:r w:rsidR="00F27028" w:rsidRPr="00DA4658">
        <w:t>do Anexo II.</w:t>
      </w:r>
    </w:p>
    <w:p w:rsidR="00D65F4E" w:rsidRPr="00DA4658" w:rsidRDefault="00295D3C" w:rsidP="00DA465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58">
        <w:rPr>
          <w:rFonts w:ascii="Times New Roman" w:hAnsi="Times New Roman" w:cs="Times New Roman"/>
          <w:sz w:val="24"/>
          <w:szCs w:val="24"/>
        </w:rPr>
        <w:t>Parágrafo único.</w:t>
      </w:r>
      <w:r w:rsidR="00D65F4E" w:rsidRPr="00DA4658">
        <w:rPr>
          <w:rFonts w:ascii="Times New Roman" w:hAnsi="Times New Roman" w:cs="Times New Roman"/>
          <w:sz w:val="24"/>
          <w:szCs w:val="24"/>
        </w:rPr>
        <w:t xml:space="preserve"> </w:t>
      </w:r>
      <w:r w:rsidR="003B5E27" w:rsidRPr="00DA4658">
        <w:rPr>
          <w:rFonts w:ascii="Times New Roman" w:hAnsi="Times New Roman" w:cs="Times New Roman"/>
          <w:sz w:val="24"/>
          <w:szCs w:val="24"/>
        </w:rPr>
        <w:t>Q</w:t>
      </w:r>
      <w:r w:rsidR="00D65F4E" w:rsidRPr="00DA4658">
        <w:rPr>
          <w:rFonts w:ascii="Times New Roman" w:hAnsi="Times New Roman" w:cs="Times New Roman"/>
          <w:sz w:val="24"/>
          <w:szCs w:val="24"/>
        </w:rPr>
        <w:t>uando a exatidão é determinada a partir de um método anteriormente validado</w:t>
      </w:r>
      <w:r w:rsidR="00C603FA" w:rsidRPr="00DA4658">
        <w:rPr>
          <w:rFonts w:ascii="Times New Roman" w:hAnsi="Times New Roman" w:cs="Times New Roman"/>
          <w:sz w:val="24"/>
          <w:szCs w:val="24"/>
        </w:rPr>
        <w:t xml:space="preserve">, deve-se considerar, em substituição </w:t>
      </w:r>
      <w:r w:rsidR="003B5E27" w:rsidRPr="00DA4658">
        <w:rPr>
          <w:rFonts w:ascii="Times New Roman" w:hAnsi="Times New Roman" w:cs="Times New Roman"/>
          <w:sz w:val="24"/>
          <w:szCs w:val="24"/>
        </w:rPr>
        <w:t>ao termo “concentração teórica”,</w:t>
      </w:r>
      <w:r w:rsidR="00C603FA" w:rsidRPr="00DA4658">
        <w:rPr>
          <w:rFonts w:ascii="Times New Roman" w:hAnsi="Times New Roman" w:cs="Times New Roman"/>
          <w:sz w:val="24"/>
          <w:szCs w:val="24"/>
        </w:rPr>
        <w:t xml:space="preserve"> a concentração do a</w:t>
      </w:r>
      <w:r w:rsidR="003B5E27" w:rsidRPr="00DA4658">
        <w:rPr>
          <w:rFonts w:ascii="Times New Roman" w:hAnsi="Times New Roman" w:cs="Times New Roman"/>
          <w:sz w:val="24"/>
          <w:szCs w:val="24"/>
        </w:rPr>
        <w:t>nalito determinada por meio dess</w:t>
      </w:r>
      <w:r w:rsidR="00C603FA" w:rsidRPr="00DA4658">
        <w:rPr>
          <w:rFonts w:ascii="Times New Roman" w:hAnsi="Times New Roman" w:cs="Times New Roman"/>
          <w:sz w:val="24"/>
          <w:szCs w:val="24"/>
        </w:rPr>
        <w:t>e.</w:t>
      </w:r>
      <w:r w:rsidR="00D65F4E" w:rsidRPr="00DA4658">
        <w:rPr>
          <w:rFonts w:ascii="Times New Roman" w:hAnsi="Times New Roman" w:cs="Times New Roman"/>
          <w:sz w:val="24"/>
          <w:szCs w:val="24"/>
        </w:rPr>
        <w:t xml:space="preserve"> </w:t>
      </w:r>
    </w:p>
    <w:p w:rsidR="000E20BC" w:rsidRPr="00DA4658" w:rsidRDefault="007470B2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47 </w:t>
      </w:r>
      <w:r w:rsidR="000E20BC" w:rsidRPr="00DA4658">
        <w:t xml:space="preserve">Deve ser calculado o </w:t>
      </w:r>
      <w:r w:rsidR="00B92156" w:rsidRPr="00DA4658">
        <w:t>desvio padrão relativo (DPR)</w:t>
      </w:r>
      <w:r w:rsidR="000E20BC" w:rsidRPr="00DA4658">
        <w:t xml:space="preserve"> para cada concentração</w:t>
      </w:r>
      <w:r w:rsidR="00295D3C" w:rsidRPr="00DA4658">
        <w:t>.</w:t>
      </w:r>
    </w:p>
    <w:p w:rsidR="00B710A1" w:rsidRPr="00DA4658" w:rsidRDefault="007470B2" w:rsidP="00DA4658">
      <w:pPr>
        <w:tabs>
          <w:tab w:val="num" w:pos="900"/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48 </w:t>
      </w:r>
      <w:r w:rsidR="000E20BC" w:rsidRPr="00DA4658">
        <w:t xml:space="preserve">Os </w:t>
      </w:r>
      <w:r w:rsidR="00295D3C" w:rsidRPr="00DA4658">
        <w:t xml:space="preserve">critérios de aceitação para </w:t>
      </w:r>
      <w:r w:rsidR="000E20BC" w:rsidRPr="00DA4658">
        <w:t xml:space="preserve">percentuais de recuperação e </w:t>
      </w:r>
      <w:r w:rsidR="0064168C" w:rsidRPr="00DA4658">
        <w:t>desvio padrão relativo</w:t>
      </w:r>
      <w:r w:rsidR="000E20BC" w:rsidRPr="00DA4658">
        <w:t xml:space="preserve"> obtidos </w:t>
      </w:r>
      <w:r w:rsidR="0064168C" w:rsidRPr="00DA4658">
        <w:t xml:space="preserve">devem ser justificados conforme critérios preconizados no art. </w:t>
      </w:r>
      <w:r w:rsidR="002153AE" w:rsidRPr="00DA4658">
        <w:t>39</w:t>
      </w:r>
      <w:r w:rsidR="00632123" w:rsidRPr="00DA4658">
        <w:t>.</w:t>
      </w:r>
    </w:p>
    <w:p w:rsidR="001447A8" w:rsidRPr="00DA4658" w:rsidRDefault="002A1A96" w:rsidP="00DA4658">
      <w:pPr>
        <w:keepNext/>
        <w:spacing w:after="200"/>
        <w:jc w:val="center"/>
        <w:outlineLvl w:val="3"/>
        <w:rPr>
          <w:b/>
        </w:rPr>
      </w:pPr>
      <w:r w:rsidRPr="00DA4658">
        <w:rPr>
          <w:b/>
        </w:rPr>
        <w:t xml:space="preserve">Seção </w:t>
      </w:r>
      <w:r w:rsidR="001447A8" w:rsidRPr="00DA4658">
        <w:rPr>
          <w:b/>
        </w:rPr>
        <w:t>VI</w:t>
      </w:r>
      <w:r w:rsidR="00B2040D" w:rsidRPr="00DA4658">
        <w:rPr>
          <w:b/>
        </w:rPr>
        <w:t>I</w:t>
      </w:r>
    </w:p>
    <w:p w:rsidR="001447A8" w:rsidRPr="00DA4658" w:rsidRDefault="001447A8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Do Limite de Detecção</w:t>
      </w:r>
    </w:p>
    <w:p w:rsidR="00B710A1" w:rsidRPr="00DA4658" w:rsidRDefault="00495E8D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49 </w:t>
      </w:r>
      <w:r w:rsidR="001447A8" w:rsidRPr="00DA4658">
        <w:t xml:space="preserve">Limite de detecção </w:t>
      </w:r>
      <w:r w:rsidR="00CD0F69" w:rsidRPr="00DA4658">
        <w:t>deve ser demonstrado pela obtenção d</w:t>
      </w:r>
      <w:r w:rsidR="001447A8" w:rsidRPr="00DA4658">
        <w:t>a menor quantidade do analito presente em uma amostra que pode ser detectado, porém, não necessariamente quantificado, sob as condições experimentais estabelecidas</w:t>
      </w:r>
      <w:r w:rsidR="00B710A1" w:rsidRPr="00DA4658">
        <w:t>.</w:t>
      </w:r>
    </w:p>
    <w:p w:rsidR="00B710A1" w:rsidRPr="00DA4658" w:rsidRDefault="00495E8D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50 </w:t>
      </w:r>
      <w:r w:rsidR="001447A8" w:rsidRPr="00DA4658">
        <w:t>A determinação do limite de detecção pode ser realizada por meio de método visual, da razão sinal-ruído, baseado na determinação do branco ou em parâmetros da curva de calibração, considerando-se as particularidades do método analítico utilizado.</w:t>
      </w:r>
    </w:p>
    <w:p w:rsidR="001447A8" w:rsidRPr="00DA4658" w:rsidRDefault="00495E8D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51 </w:t>
      </w:r>
      <w:r w:rsidR="006D2B28" w:rsidRPr="00DA4658">
        <w:t xml:space="preserve">Para métodos visuais, o limite de detecção é determinado </w:t>
      </w:r>
      <w:r w:rsidR="00295D3C" w:rsidRPr="00DA4658">
        <w:t>pela</w:t>
      </w:r>
      <w:r w:rsidR="006D2B28" w:rsidRPr="00DA4658">
        <w:t xml:space="preserve"> menor concentração para a qual é possível constatar o efeito visual esperado.</w:t>
      </w:r>
    </w:p>
    <w:p w:rsidR="001447A8" w:rsidRPr="00DA4658" w:rsidRDefault="00495E8D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52 </w:t>
      </w:r>
      <w:r w:rsidR="001447A8" w:rsidRPr="00DA4658">
        <w:t>Para método</w:t>
      </w:r>
      <w:r w:rsidR="00E725D5" w:rsidRPr="00DA4658">
        <w:t>s instrumentais</w:t>
      </w:r>
      <w:r w:rsidR="001447A8" w:rsidRPr="00DA4658">
        <w:t>, o limite de detecção pode ser determinado pela razão sinal-ruído.</w:t>
      </w:r>
    </w:p>
    <w:p w:rsidR="00342606" w:rsidRPr="00DA4658" w:rsidRDefault="00495E8D" w:rsidP="00DA4658">
      <w:pPr>
        <w:tabs>
          <w:tab w:val="left" w:pos="426"/>
        </w:tabs>
        <w:spacing w:after="200"/>
        <w:ind w:firstLine="567"/>
        <w:jc w:val="both"/>
      </w:pPr>
      <w:r w:rsidRPr="00DA4658">
        <w:t xml:space="preserve">§1° </w:t>
      </w:r>
      <w:r w:rsidR="004D5130" w:rsidRPr="00DA4658">
        <w:t>O</w:t>
      </w:r>
      <w:r w:rsidR="006D2B28" w:rsidRPr="00DA4658">
        <w:t xml:space="preserve"> método utilizado para determinação da razão sinal/ruído</w:t>
      </w:r>
      <w:r w:rsidR="004D5130" w:rsidRPr="00DA4658">
        <w:t xml:space="preserve"> deve ser descrito e justificado</w:t>
      </w:r>
      <w:r w:rsidR="006D2B28" w:rsidRPr="00DA4658">
        <w:t>.</w:t>
      </w:r>
    </w:p>
    <w:p w:rsidR="001447A8" w:rsidRPr="00DA4658" w:rsidRDefault="00495E8D" w:rsidP="00DA4658">
      <w:pPr>
        <w:tabs>
          <w:tab w:val="left" w:pos="426"/>
        </w:tabs>
        <w:spacing w:after="200"/>
        <w:ind w:firstLine="567"/>
        <w:jc w:val="both"/>
      </w:pPr>
      <w:r w:rsidRPr="00DA4658">
        <w:t xml:space="preserve">§2° </w:t>
      </w:r>
      <w:r w:rsidR="006D2B28" w:rsidRPr="00DA4658">
        <w:t xml:space="preserve">A razão sinal-ruído deve ser maior ou igual a </w:t>
      </w:r>
      <w:r w:rsidR="004D5130" w:rsidRPr="00DA4658">
        <w:t>2</w:t>
      </w:r>
      <w:r w:rsidR="006D2B28" w:rsidRPr="00DA4658">
        <w:t>:1.</w:t>
      </w:r>
    </w:p>
    <w:p w:rsidR="00B710A1" w:rsidRPr="00DA4658" w:rsidRDefault="00495E8D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53 </w:t>
      </w:r>
      <w:r w:rsidR="006174A6" w:rsidRPr="00DA4658">
        <w:t xml:space="preserve">Para a determinação baseada em parâmetros da curva analítica, o limite de detecção pode ser calculado </w:t>
      </w:r>
      <w:r w:rsidR="000B7A70" w:rsidRPr="00DA4658">
        <w:t xml:space="preserve">pela fórmula 2 do anexo II. </w:t>
      </w:r>
    </w:p>
    <w:p w:rsidR="00B710A1" w:rsidRPr="00DA4658" w:rsidRDefault="007A0A76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54 </w:t>
      </w:r>
      <w:r w:rsidR="006174A6" w:rsidRPr="00DA4658">
        <w:rPr>
          <w:color w:val="000000"/>
        </w:rPr>
        <w:t>No</w:t>
      </w:r>
      <w:r w:rsidR="00183910" w:rsidRPr="00DA4658">
        <w:rPr>
          <w:color w:val="000000"/>
        </w:rPr>
        <w:t>s</w:t>
      </w:r>
      <w:r w:rsidR="006174A6" w:rsidRPr="00DA4658">
        <w:rPr>
          <w:color w:val="000000"/>
        </w:rPr>
        <w:t xml:space="preserve"> caso</w:t>
      </w:r>
      <w:r w:rsidR="00183910" w:rsidRPr="00DA4658">
        <w:rPr>
          <w:color w:val="000000"/>
        </w:rPr>
        <w:t>s</w:t>
      </w:r>
      <w:r w:rsidR="006174A6" w:rsidRPr="00DA4658">
        <w:rPr>
          <w:color w:val="000000"/>
        </w:rPr>
        <w:t xml:space="preserve"> em que um valor estimado para o limite de detecção é obtido por cálculo ou extrapolação, essa estimativa deve ser confirmada</w:t>
      </w:r>
      <w:r w:rsidR="00DE19FD" w:rsidRPr="00DA4658">
        <w:rPr>
          <w:color w:val="000000"/>
        </w:rPr>
        <w:t xml:space="preserve"> conforme a</w:t>
      </w:r>
      <w:r w:rsidR="00E725D5" w:rsidRPr="00DA4658">
        <w:rPr>
          <w:color w:val="000000"/>
        </w:rPr>
        <w:t xml:space="preserve">rt. </w:t>
      </w:r>
      <w:r w:rsidR="00DE19FD" w:rsidRPr="00DA4658">
        <w:rPr>
          <w:color w:val="000000"/>
        </w:rPr>
        <w:t>5</w:t>
      </w:r>
      <w:r w:rsidR="002153AE" w:rsidRPr="00DA4658">
        <w:rPr>
          <w:color w:val="000000"/>
        </w:rPr>
        <w:t>2</w:t>
      </w:r>
      <w:r w:rsidR="00B710A1" w:rsidRPr="00DA4658">
        <w:rPr>
          <w:color w:val="000000"/>
        </w:rPr>
        <w:t>.</w:t>
      </w:r>
    </w:p>
    <w:p w:rsidR="006174A6" w:rsidRPr="00DA4658" w:rsidRDefault="002A1A96" w:rsidP="00DA4658">
      <w:pPr>
        <w:keepNext/>
        <w:spacing w:after="200"/>
        <w:jc w:val="center"/>
        <w:outlineLvl w:val="3"/>
        <w:rPr>
          <w:b/>
        </w:rPr>
      </w:pPr>
      <w:r w:rsidRPr="00DA4658">
        <w:rPr>
          <w:b/>
        </w:rPr>
        <w:t xml:space="preserve">Seção </w:t>
      </w:r>
      <w:r w:rsidR="006174A6" w:rsidRPr="00DA4658">
        <w:rPr>
          <w:b/>
        </w:rPr>
        <w:t>VII</w:t>
      </w:r>
      <w:r w:rsidR="00B2040D" w:rsidRPr="00DA4658">
        <w:rPr>
          <w:b/>
        </w:rPr>
        <w:t>I</w:t>
      </w:r>
    </w:p>
    <w:p w:rsidR="006174A6" w:rsidRPr="00DA4658" w:rsidRDefault="006174A6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Do Limite de Quantificação</w:t>
      </w:r>
    </w:p>
    <w:p w:rsidR="00AF4ABF" w:rsidRPr="00DA4658" w:rsidRDefault="007A0A76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55 </w:t>
      </w:r>
      <w:r w:rsidR="006174A6" w:rsidRPr="00DA4658">
        <w:t>O limite de quantificação é a menor quantidade do analito em uma amostra que pode ser determinada com precisão e exatidão aceitáveis sob as condições experimentais estabelecidas</w:t>
      </w:r>
      <w:r w:rsidR="00B710A1" w:rsidRPr="00DA4658">
        <w:t>.</w:t>
      </w:r>
    </w:p>
    <w:p w:rsidR="007711CF" w:rsidRPr="00DA4658" w:rsidRDefault="007A0A76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56 </w:t>
      </w:r>
      <w:r w:rsidR="002A28FA" w:rsidRPr="00DA4658">
        <w:t>O limite de quantificação deve ser coerente com o limite de especificação da impureza.</w:t>
      </w:r>
    </w:p>
    <w:p w:rsidR="00374494" w:rsidRPr="00DA4658" w:rsidRDefault="002A28FA" w:rsidP="00DA4658">
      <w:pPr>
        <w:pStyle w:val="PargrafodaLista"/>
        <w:spacing w:after="200"/>
        <w:ind w:left="0" w:firstLine="567"/>
        <w:jc w:val="both"/>
      </w:pPr>
      <w:r w:rsidRPr="00DA4658">
        <w:t>Parágrafo único</w:t>
      </w:r>
      <w:r w:rsidR="00DD26EE" w:rsidRPr="00DA4658">
        <w:t>.</w:t>
      </w:r>
      <w:r w:rsidRPr="00DA4658">
        <w:t xml:space="preserve"> Para produtos adequados à </w:t>
      </w:r>
      <w:r w:rsidR="0044281A" w:rsidRPr="00DA4658">
        <w:t>resolução</w:t>
      </w:r>
      <w:r w:rsidR="00DD26EE" w:rsidRPr="00DA4658">
        <w:t xml:space="preserve"> que estabelece parâmetros para a notificação, identificação e qualificação de produtos de degradação em medicamentos,</w:t>
      </w:r>
      <w:r w:rsidRPr="00DA4658">
        <w:t xml:space="preserve"> o limite de quantificação deve ser menor ou igual ao limite de notificação.</w:t>
      </w:r>
    </w:p>
    <w:p w:rsidR="00BD7A73" w:rsidRPr="00DA4658" w:rsidRDefault="007A0A76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57 </w:t>
      </w:r>
      <w:r w:rsidR="00A7639F" w:rsidRPr="00DA4658">
        <w:t>Para a determinação deste parâmetro d</w:t>
      </w:r>
      <w:r w:rsidR="006174A6" w:rsidRPr="00DA4658">
        <w:t xml:space="preserve">eve ser seguido o mesmo procedimento descrito </w:t>
      </w:r>
      <w:r w:rsidR="007711CF" w:rsidRPr="00DA4658">
        <w:t xml:space="preserve">no </w:t>
      </w:r>
      <w:r w:rsidR="00802137" w:rsidRPr="00DA4658">
        <w:t>a</w:t>
      </w:r>
      <w:r w:rsidR="007711CF" w:rsidRPr="00DA4658">
        <w:t xml:space="preserve">rt. </w:t>
      </w:r>
      <w:r w:rsidR="00802137" w:rsidRPr="00DA4658">
        <w:t>5</w:t>
      </w:r>
      <w:r w:rsidR="00295D3C" w:rsidRPr="00DA4658">
        <w:t>3</w:t>
      </w:r>
      <w:r w:rsidR="00A7639F" w:rsidRPr="00DA4658">
        <w:t xml:space="preserve">, sendo que </w:t>
      </w:r>
      <w:r w:rsidR="00AF4ABF" w:rsidRPr="00DA4658">
        <w:t>a razão sin</w:t>
      </w:r>
      <w:r w:rsidR="003C1E7F" w:rsidRPr="00DA4658">
        <w:t xml:space="preserve">al/ruído deve ser no mínimo de </w:t>
      </w:r>
      <w:r w:rsidR="006174A6" w:rsidRPr="00DA4658">
        <w:t>10:1.</w:t>
      </w:r>
    </w:p>
    <w:p w:rsidR="006174A6" w:rsidRPr="00DA4658" w:rsidRDefault="007A0A76" w:rsidP="00DA4658">
      <w:pPr>
        <w:tabs>
          <w:tab w:val="num" w:pos="1730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58 </w:t>
      </w:r>
      <w:r w:rsidR="006174A6" w:rsidRPr="00DA4658">
        <w:t xml:space="preserve">Para a determinação baseada em parâmetros da curva analítica, o limite de quantificação pode ser calculado </w:t>
      </w:r>
      <w:r w:rsidR="009B0290" w:rsidRPr="00DA4658">
        <w:t>pela fórmula 3 do anexo II.</w:t>
      </w:r>
    </w:p>
    <w:p w:rsidR="00B710A1" w:rsidRPr="00DA4658" w:rsidRDefault="007A0A76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59 </w:t>
      </w:r>
      <w:r w:rsidR="006174A6" w:rsidRPr="00DA4658">
        <w:t>No</w:t>
      </w:r>
      <w:r w:rsidR="00A3786E" w:rsidRPr="00DA4658">
        <w:t>s</w:t>
      </w:r>
      <w:r w:rsidR="006174A6" w:rsidRPr="00DA4658">
        <w:t xml:space="preserve"> caso</w:t>
      </w:r>
      <w:r w:rsidR="00A3786E" w:rsidRPr="00DA4658">
        <w:t>s</w:t>
      </w:r>
      <w:r w:rsidR="006174A6" w:rsidRPr="00DA4658">
        <w:t xml:space="preserve"> em que um valor estimado para o limite de quantificação é obtido por cálculo ou extrapolação, essa estimativa deve ser confirmada </w:t>
      </w:r>
      <w:r w:rsidR="00DD26EE" w:rsidRPr="00DA4658">
        <w:t>conforme art. 5</w:t>
      </w:r>
      <w:r w:rsidR="002153AE" w:rsidRPr="00DA4658">
        <w:t>7</w:t>
      </w:r>
      <w:r w:rsidR="006174A6" w:rsidRPr="00DA4658">
        <w:t>.</w:t>
      </w:r>
    </w:p>
    <w:p w:rsidR="007711CF" w:rsidRPr="00DA4658" w:rsidRDefault="007A0A76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60 </w:t>
      </w:r>
      <w:r w:rsidR="007711CF" w:rsidRPr="00DA4658">
        <w:t xml:space="preserve">Devem ser testadas precisão e exatidão nas concentrações correspondentes ao </w:t>
      </w:r>
      <w:r w:rsidR="009B0290" w:rsidRPr="00DA4658">
        <w:t xml:space="preserve">limite </w:t>
      </w:r>
      <w:r w:rsidR="007711CF" w:rsidRPr="00DA4658">
        <w:t xml:space="preserve">de </w:t>
      </w:r>
      <w:r w:rsidR="009B0290" w:rsidRPr="00DA4658">
        <w:t>q</w:t>
      </w:r>
      <w:r w:rsidR="007711CF" w:rsidRPr="00DA4658">
        <w:t>uantificação.</w:t>
      </w:r>
    </w:p>
    <w:p w:rsidR="006174A6" w:rsidRPr="00DA4658" w:rsidRDefault="00A17F4E" w:rsidP="00DA4658">
      <w:pPr>
        <w:keepNext/>
        <w:spacing w:after="200"/>
        <w:jc w:val="center"/>
        <w:outlineLvl w:val="3"/>
        <w:rPr>
          <w:b/>
        </w:rPr>
      </w:pPr>
      <w:r w:rsidRPr="00DA4658">
        <w:rPr>
          <w:b/>
        </w:rPr>
        <w:t xml:space="preserve">Seção </w:t>
      </w:r>
      <w:r w:rsidR="00B2040D" w:rsidRPr="00DA4658">
        <w:rPr>
          <w:b/>
        </w:rPr>
        <w:t>IX</w:t>
      </w:r>
    </w:p>
    <w:p w:rsidR="006174A6" w:rsidRPr="00DA4658" w:rsidRDefault="006174A6" w:rsidP="00DA4658">
      <w:pPr>
        <w:keepNext/>
        <w:spacing w:after="200"/>
        <w:jc w:val="center"/>
        <w:outlineLvl w:val="1"/>
        <w:rPr>
          <w:b/>
          <w:bCs/>
          <w:iCs/>
        </w:rPr>
      </w:pPr>
      <w:r w:rsidRPr="00DA4658">
        <w:rPr>
          <w:b/>
          <w:bCs/>
          <w:iCs/>
        </w:rPr>
        <w:t>Da Robustez</w:t>
      </w:r>
    </w:p>
    <w:p w:rsidR="00B710A1" w:rsidRPr="00DA4658" w:rsidRDefault="007A0A76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61 </w:t>
      </w:r>
      <w:r w:rsidR="006409DF" w:rsidRPr="00DA4658">
        <w:t xml:space="preserve">A robustez </w:t>
      </w:r>
      <w:r w:rsidR="009B48EA" w:rsidRPr="00DA4658">
        <w:t xml:space="preserve">é um parâmetro tipicamente realizado no desenvolvimento do método analítico que </w:t>
      </w:r>
      <w:r w:rsidR="006409DF" w:rsidRPr="00DA4658">
        <w:t xml:space="preserve">indica a </w:t>
      </w:r>
      <w:r w:rsidR="009B48EA" w:rsidRPr="00DA4658">
        <w:t xml:space="preserve">sua </w:t>
      </w:r>
      <w:r w:rsidR="006409DF" w:rsidRPr="00DA4658">
        <w:t xml:space="preserve">capacidade em resistir a pequenas e deliberadas variações </w:t>
      </w:r>
      <w:r w:rsidR="009B48EA" w:rsidRPr="00DA4658">
        <w:t>das condições analíticas</w:t>
      </w:r>
      <w:r w:rsidR="00B710A1" w:rsidRPr="00DA4658">
        <w:t>.</w:t>
      </w:r>
    </w:p>
    <w:p w:rsidR="00B710A1" w:rsidRPr="00DA4658" w:rsidRDefault="00B710A1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Parágrafo único. </w:t>
      </w:r>
      <w:r w:rsidR="006409DF" w:rsidRPr="00DA4658">
        <w:t xml:space="preserve">Caso haja susceptibilidade do método a variações nas condições analíticas, essas deverão ser controladas por meio de precauções descritas no </w:t>
      </w:r>
      <w:r w:rsidR="00277507" w:rsidRPr="00DA4658">
        <w:t>método</w:t>
      </w:r>
      <w:r w:rsidR="00615170" w:rsidRPr="00DA4658">
        <w:t>.</w:t>
      </w:r>
    </w:p>
    <w:p w:rsidR="00EA616D" w:rsidRPr="00DA4658" w:rsidRDefault="007A0A76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62 </w:t>
      </w:r>
      <w:r w:rsidR="00530EE9" w:rsidRPr="00DA4658">
        <w:t>No caso de métodos quantitativos, o</w:t>
      </w:r>
      <w:r w:rsidR="006409DF" w:rsidRPr="00DA4658">
        <w:t xml:space="preserve"> impacto das variações propostas </w:t>
      </w:r>
      <w:r w:rsidR="003A5E33" w:rsidRPr="00DA4658">
        <w:t xml:space="preserve">nos resultados </w:t>
      </w:r>
      <w:r w:rsidR="000D159A" w:rsidRPr="00DA4658">
        <w:t xml:space="preserve">obtidos </w:t>
      </w:r>
      <w:r w:rsidR="006409DF" w:rsidRPr="00DA4658">
        <w:t>deverá ser avaliado</w:t>
      </w:r>
      <w:r w:rsidR="003C57A7" w:rsidRPr="00DA4658">
        <w:t xml:space="preserve"> </w:t>
      </w:r>
      <w:r w:rsidR="00A51654" w:rsidRPr="00DA4658">
        <w:t xml:space="preserve">com os mesmos critérios utilizados para a </w:t>
      </w:r>
      <w:r w:rsidR="006409DF" w:rsidRPr="00DA4658">
        <w:t>exatidão.</w:t>
      </w:r>
    </w:p>
    <w:p w:rsidR="00530EE9" w:rsidRPr="00DA4658" w:rsidRDefault="007A0A76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63 </w:t>
      </w:r>
      <w:r w:rsidR="00530EE9" w:rsidRPr="00DA4658">
        <w:t>No caso de métodos qualitativos, deve ser verificado se as variaç</w:t>
      </w:r>
      <w:r w:rsidR="00EA616D" w:rsidRPr="00DA4658">
        <w:t xml:space="preserve">ões propostas </w:t>
      </w:r>
      <w:r w:rsidR="00530EE9" w:rsidRPr="00DA4658">
        <w:t xml:space="preserve">interferem na resposta analítica.  </w:t>
      </w:r>
    </w:p>
    <w:p w:rsidR="00530EE9" w:rsidRPr="00DA4658" w:rsidRDefault="007A0A76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64 </w:t>
      </w:r>
      <w:r w:rsidR="00530EE9" w:rsidRPr="00DA4658">
        <w:t>Deve ser demonstrado o atendimento às características de verificação do sistema.</w:t>
      </w:r>
    </w:p>
    <w:p w:rsidR="00B710A1" w:rsidRPr="00DA4658" w:rsidRDefault="007A0A76" w:rsidP="00DA4658">
      <w:pPr>
        <w:autoSpaceDE w:val="0"/>
        <w:autoSpaceDN w:val="0"/>
        <w:adjustRightInd w:val="0"/>
        <w:spacing w:after="200"/>
        <w:ind w:firstLine="567"/>
        <w:jc w:val="both"/>
        <w:rPr>
          <w:color w:val="000000"/>
        </w:rPr>
      </w:pPr>
      <w:r w:rsidRPr="00DA4658">
        <w:t xml:space="preserve">Art. 65 </w:t>
      </w:r>
      <w:r w:rsidR="000F0FF0" w:rsidRPr="00DA4658">
        <w:t>A avaliação do</w:t>
      </w:r>
      <w:r w:rsidR="00906405" w:rsidRPr="00DA4658">
        <w:t>s parâmetros descritos n</w:t>
      </w:r>
      <w:r w:rsidR="00B379A6" w:rsidRPr="00DA4658">
        <w:t>a</w:t>
      </w:r>
      <w:r w:rsidR="006D727E" w:rsidRPr="00DA4658">
        <w:t xml:space="preserve"> </w:t>
      </w:r>
      <w:r w:rsidR="00B379A6" w:rsidRPr="00DA4658">
        <w:t>Tabela</w:t>
      </w:r>
      <w:r w:rsidR="00906405" w:rsidRPr="00DA4658">
        <w:t xml:space="preserve"> 1 do </w:t>
      </w:r>
      <w:r w:rsidR="00802137" w:rsidRPr="00DA4658">
        <w:t xml:space="preserve">anexo </w:t>
      </w:r>
      <w:r w:rsidR="009B0290" w:rsidRPr="00DA4658">
        <w:t>I</w:t>
      </w:r>
      <w:r w:rsidR="00802137" w:rsidRPr="00DA4658">
        <w:t>I</w:t>
      </w:r>
      <w:r w:rsidR="00906405" w:rsidRPr="00DA4658">
        <w:t>I</w:t>
      </w:r>
      <w:r w:rsidR="000F0FF0" w:rsidRPr="00DA4658">
        <w:t xml:space="preserve"> deve ser contemplada no relatório de validação</w:t>
      </w:r>
      <w:r w:rsidR="00B710A1" w:rsidRPr="00DA4658">
        <w:rPr>
          <w:color w:val="000000"/>
        </w:rPr>
        <w:t>.</w:t>
      </w:r>
    </w:p>
    <w:p w:rsidR="00D40944" w:rsidRPr="00DA4658" w:rsidRDefault="001C14AB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</w:t>
      </w:r>
      <w:r w:rsidR="00BE70ED" w:rsidRPr="00DA4658">
        <w:t xml:space="preserve"> </w:t>
      </w:r>
      <w:r w:rsidR="00C149F4" w:rsidRPr="00DA4658">
        <w:t>1°</w:t>
      </w:r>
      <w:r w:rsidR="00D220A9" w:rsidRPr="00DA4658">
        <w:t xml:space="preserve"> </w:t>
      </w:r>
      <w:r w:rsidR="00563F5A" w:rsidRPr="00DA4658">
        <w:t>Parâmetros</w:t>
      </w:r>
      <w:r w:rsidR="00D40944" w:rsidRPr="00DA4658">
        <w:t xml:space="preserve"> que sejam considerados </w:t>
      </w:r>
      <w:r w:rsidR="00563F5A" w:rsidRPr="00DA4658">
        <w:t>relevantes para o resultado</w:t>
      </w:r>
      <w:r w:rsidR="00D40944" w:rsidRPr="00DA4658">
        <w:t>, de acordo com as características do método,</w:t>
      </w:r>
      <w:r w:rsidR="00563F5A" w:rsidRPr="00DA4658">
        <w:t xml:space="preserve"> devem ser avaliados adicionalmente</w:t>
      </w:r>
      <w:r w:rsidR="00D40944" w:rsidRPr="00DA4658">
        <w:t>.</w:t>
      </w:r>
    </w:p>
    <w:p w:rsidR="00BE70ED" w:rsidRPr="00DA4658" w:rsidRDefault="00F0507C" w:rsidP="00DA4658">
      <w:pPr>
        <w:autoSpaceDE w:val="0"/>
        <w:autoSpaceDN w:val="0"/>
        <w:adjustRightInd w:val="0"/>
        <w:spacing w:after="200"/>
        <w:ind w:firstLine="567"/>
        <w:jc w:val="both"/>
      </w:pPr>
      <w:r w:rsidRPr="00DA4658">
        <w:t>§</w:t>
      </w:r>
      <w:r w:rsidR="00C149F4" w:rsidRPr="00DA4658">
        <w:t xml:space="preserve"> 2°</w:t>
      </w:r>
      <w:r w:rsidR="001C14AB" w:rsidRPr="00DA4658">
        <w:t xml:space="preserve"> </w:t>
      </w:r>
      <w:r w:rsidR="00BE70ED" w:rsidRPr="00DA4658">
        <w:t>A ausência da avaliação de qualquer uma das variações deve ser justificada.</w:t>
      </w:r>
    </w:p>
    <w:p w:rsidR="00B710A1" w:rsidRPr="00DA4658" w:rsidRDefault="00A17F4E" w:rsidP="00DA4658">
      <w:pPr>
        <w:spacing w:after="200"/>
        <w:jc w:val="center"/>
        <w:rPr>
          <w:b/>
        </w:rPr>
      </w:pPr>
      <w:r w:rsidRPr="00DA4658">
        <w:rPr>
          <w:b/>
        </w:rPr>
        <w:t>CAPÍTULO V</w:t>
      </w:r>
    </w:p>
    <w:p w:rsidR="00B710A1" w:rsidRPr="00DA4658" w:rsidRDefault="00B710A1" w:rsidP="00DA4658">
      <w:pPr>
        <w:keepNext/>
        <w:spacing w:after="200"/>
        <w:jc w:val="center"/>
        <w:outlineLvl w:val="0"/>
        <w:rPr>
          <w:b/>
          <w:bCs/>
          <w:caps/>
          <w:kern w:val="32"/>
        </w:rPr>
      </w:pPr>
      <w:bookmarkStart w:id="11" w:name="_Toc330564230"/>
      <w:bookmarkStart w:id="12" w:name="_Toc397347969"/>
      <w:r w:rsidRPr="00DA4658">
        <w:rPr>
          <w:b/>
          <w:bCs/>
          <w:caps/>
          <w:kern w:val="32"/>
        </w:rPr>
        <w:t>DAS DISPOSIÇÕES TRANSITÓRIAS</w:t>
      </w:r>
      <w:bookmarkEnd w:id="11"/>
      <w:bookmarkEnd w:id="12"/>
    </w:p>
    <w:p w:rsidR="00C75121" w:rsidRPr="00DA4658" w:rsidRDefault="00AC5BC7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66 </w:t>
      </w:r>
      <w:r w:rsidR="00C75121" w:rsidRPr="00DA4658">
        <w:t xml:space="preserve">Serão aceitas validações de método analítico em conformidade com a Resolução RE nº 899/2003, desde que tenham sido finalizadas antes da vigência desta </w:t>
      </w:r>
      <w:r w:rsidR="0044281A" w:rsidRPr="00DA4658">
        <w:t>resolução</w:t>
      </w:r>
      <w:r w:rsidR="00C75121" w:rsidRPr="00DA4658">
        <w:t xml:space="preserve"> e as petições que as contenham tenham sido protocoladas em até </w:t>
      </w:r>
      <w:r w:rsidR="001C60FD" w:rsidRPr="00DA4658">
        <w:t xml:space="preserve">550 </w:t>
      </w:r>
      <w:r w:rsidR="00C75121" w:rsidRPr="00DA4658">
        <w:t>(</w:t>
      </w:r>
      <w:r w:rsidR="002A011E" w:rsidRPr="00DA4658">
        <w:t>quinhentos e cinquenta</w:t>
      </w:r>
      <w:r w:rsidR="00C75121" w:rsidRPr="00DA4658">
        <w:t xml:space="preserve">) dias corridos após a vigência desta </w:t>
      </w:r>
      <w:r w:rsidR="0044281A" w:rsidRPr="00DA4658">
        <w:t>resolução</w:t>
      </w:r>
      <w:r w:rsidR="00C75121" w:rsidRPr="00DA4658">
        <w:t xml:space="preserve">. </w:t>
      </w:r>
    </w:p>
    <w:p w:rsidR="00C75121" w:rsidRPr="00DA4658" w:rsidRDefault="00AC5BC7" w:rsidP="00DA4658">
      <w:pPr>
        <w:pStyle w:val="Corpodetexto"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§1° </w:t>
      </w:r>
      <w:r w:rsidR="00C75121" w:rsidRPr="00DA4658">
        <w:rPr>
          <w:sz w:val="24"/>
          <w:szCs w:val="24"/>
        </w:rPr>
        <w:t>Em caso da necessidade de execução e reapresentação de um ou mais parâmetros da validação,</w:t>
      </w:r>
      <w:r w:rsidR="00937758" w:rsidRPr="00DA4658">
        <w:rPr>
          <w:sz w:val="24"/>
          <w:szCs w:val="24"/>
        </w:rPr>
        <w:t xml:space="preserve"> desde que não seja necessária a apresentação de nova validação,</w:t>
      </w:r>
      <w:r w:rsidR="00C75121" w:rsidRPr="00DA4658">
        <w:rPr>
          <w:sz w:val="24"/>
          <w:szCs w:val="24"/>
        </w:rPr>
        <w:t xml:space="preserve"> a empresa poderá seguir a Resolução RE nº 899</w:t>
      </w:r>
      <w:r w:rsidR="00510D8A" w:rsidRPr="00DA4658">
        <w:rPr>
          <w:sz w:val="24"/>
          <w:szCs w:val="24"/>
        </w:rPr>
        <w:t xml:space="preserve">, de 29 de maio, de </w:t>
      </w:r>
      <w:r w:rsidR="00C75121" w:rsidRPr="00DA4658">
        <w:rPr>
          <w:sz w:val="24"/>
          <w:szCs w:val="24"/>
        </w:rPr>
        <w:t>2003.</w:t>
      </w:r>
    </w:p>
    <w:p w:rsidR="00C75121" w:rsidRPr="00DA4658" w:rsidRDefault="00AC5BC7" w:rsidP="00DA4658">
      <w:pPr>
        <w:pStyle w:val="Corpodetexto"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§2° </w:t>
      </w:r>
      <w:r w:rsidR="00C75121" w:rsidRPr="00DA4658">
        <w:rPr>
          <w:sz w:val="24"/>
          <w:szCs w:val="24"/>
        </w:rPr>
        <w:t>Em caso da necessidade de execução e apresentação de uma nova validação</w:t>
      </w:r>
      <w:r w:rsidR="0044281A" w:rsidRPr="00DA4658">
        <w:rPr>
          <w:sz w:val="24"/>
          <w:szCs w:val="24"/>
        </w:rPr>
        <w:t>, a empresa deverá seguir esta r</w:t>
      </w:r>
      <w:r w:rsidR="00C75121" w:rsidRPr="00DA4658">
        <w:rPr>
          <w:sz w:val="24"/>
          <w:szCs w:val="24"/>
        </w:rPr>
        <w:t xml:space="preserve">esolução. </w:t>
      </w:r>
    </w:p>
    <w:p w:rsidR="00BB633B" w:rsidRPr="00DA4658" w:rsidRDefault="00AC5BC7" w:rsidP="00DA4658">
      <w:pPr>
        <w:pStyle w:val="Corpodetexto"/>
        <w:autoSpaceDE w:val="0"/>
        <w:autoSpaceDN w:val="0"/>
        <w:adjustRightInd w:val="0"/>
        <w:spacing w:after="200"/>
        <w:ind w:firstLine="567"/>
        <w:jc w:val="both"/>
        <w:rPr>
          <w:sz w:val="24"/>
          <w:szCs w:val="24"/>
        </w:rPr>
      </w:pPr>
      <w:r w:rsidRPr="00DA4658">
        <w:rPr>
          <w:sz w:val="24"/>
          <w:szCs w:val="24"/>
        </w:rPr>
        <w:t xml:space="preserve">§3° </w:t>
      </w:r>
      <w:r w:rsidR="00BB633B" w:rsidRPr="00DA4658">
        <w:rPr>
          <w:sz w:val="24"/>
          <w:szCs w:val="24"/>
        </w:rPr>
        <w:t>Após o prazo estabelecido no caput, para produtos sob investigação, cuja a validação do método analítico utilizado no desenvolvimento clínico tenha sido iniciada antes da vigência da presente norma, serão aceitas, no momento do registro, as validações analíticas realizadas de acordo com a Resolução RE nº 899, de 29 de maio, de 2003.</w:t>
      </w:r>
    </w:p>
    <w:p w:rsidR="0027257E" w:rsidRPr="00DA4658" w:rsidRDefault="00A17F4E" w:rsidP="00DA4658">
      <w:pPr>
        <w:spacing w:after="200"/>
        <w:jc w:val="center"/>
        <w:rPr>
          <w:b/>
        </w:rPr>
      </w:pPr>
      <w:r w:rsidRPr="00DA4658">
        <w:rPr>
          <w:b/>
        </w:rPr>
        <w:t>CAPÍTULO VI</w:t>
      </w:r>
    </w:p>
    <w:p w:rsidR="0027257E" w:rsidRPr="00DA4658" w:rsidRDefault="0027257E" w:rsidP="00DA4658">
      <w:pPr>
        <w:keepNext/>
        <w:spacing w:after="200"/>
        <w:jc w:val="center"/>
        <w:outlineLvl w:val="0"/>
        <w:rPr>
          <w:b/>
          <w:bCs/>
          <w:caps/>
          <w:kern w:val="32"/>
        </w:rPr>
      </w:pPr>
      <w:r w:rsidRPr="00DA4658">
        <w:rPr>
          <w:b/>
          <w:bCs/>
          <w:caps/>
          <w:kern w:val="32"/>
        </w:rPr>
        <w:t xml:space="preserve">DAS DISPOSIÇÕES FINAIS </w:t>
      </w:r>
    </w:p>
    <w:p w:rsidR="00AE1237" w:rsidRPr="00DA4658" w:rsidRDefault="00AC5BC7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67 </w:t>
      </w:r>
      <w:r w:rsidR="00D40B3F" w:rsidRPr="00DA4658">
        <w:t>Documentação e ensaios adicionais podem ser solicitados a qualquer momento pela Anvisa.</w:t>
      </w:r>
    </w:p>
    <w:p w:rsidR="00CE7B07" w:rsidRPr="00DA4658" w:rsidRDefault="00AC5BC7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68 </w:t>
      </w:r>
      <w:r w:rsidR="00CE7B07" w:rsidRPr="00DA4658">
        <w:t>Todos os dados relevantes obtidos durante a condução da validação analítica, bem como as fórmulas utilizadas para cálculo, devem ser protocoladas, juntamente com a petição de interesse, para avaliação da Anvisa.</w:t>
      </w:r>
    </w:p>
    <w:p w:rsidR="00B710A1" w:rsidRPr="00DA4658" w:rsidRDefault="00AC5BC7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69 </w:t>
      </w:r>
      <w:r w:rsidR="00B710A1" w:rsidRPr="00DA4658">
        <w:t xml:space="preserve">O descumprimento das disposições contidas nesta </w:t>
      </w:r>
      <w:r w:rsidR="0044281A" w:rsidRPr="00DA4658">
        <w:t>r</w:t>
      </w:r>
      <w:r w:rsidR="00B710A1" w:rsidRPr="00DA4658">
        <w:t>esolução constitui infração sanitária, nos termos da Lei nº 6.437, de 20 de agosto de 1977, sem prejuízo das responsabilidades civil e penal cabíveis.</w:t>
      </w:r>
    </w:p>
    <w:p w:rsidR="00374494" w:rsidRPr="00DA4658" w:rsidRDefault="00AC5BC7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70 </w:t>
      </w:r>
      <w:r w:rsidR="00003D28" w:rsidRPr="00DA4658">
        <w:t xml:space="preserve">Fica revogada a Resolução RE </w:t>
      </w:r>
      <w:r w:rsidR="00D40B3F" w:rsidRPr="00DA4658">
        <w:t xml:space="preserve">nº </w:t>
      </w:r>
      <w:r w:rsidR="00003D28" w:rsidRPr="00DA4658">
        <w:t>899, de 29 de maio de 2003</w:t>
      </w:r>
      <w:r w:rsidR="00F3078B" w:rsidRPr="00DA4658">
        <w:t>;</w:t>
      </w:r>
      <w:r w:rsidR="00D40B3F" w:rsidRPr="00DA4658">
        <w:t xml:space="preserve"> o</w:t>
      </w:r>
      <w:r w:rsidR="00EF2CC3" w:rsidRPr="00DA4658">
        <w:t xml:space="preserve"> inciso XXXI do art. 1º, o parágrafo único do art. 11 e o</w:t>
      </w:r>
      <w:r w:rsidR="00D40B3F" w:rsidRPr="00DA4658">
        <w:t xml:space="preserve"> anexo I da Resolução RDC nº 31, de 11 de agosto de 2010</w:t>
      </w:r>
      <w:r w:rsidR="008617D4" w:rsidRPr="00DA4658">
        <w:t>.</w:t>
      </w:r>
    </w:p>
    <w:p w:rsidR="00C75121" w:rsidRPr="00DA4658" w:rsidRDefault="00AC5BC7" w:rsidP="00DA4658">
      <w:pPr>
        <w:tabs>
          <w:tab w:val="num" w:pos="2865"/>
        </w:tabs>
        <w:autoSpaceDE w:val="0"/>
        <w:autoSpaceDN w:val="0"/>
        <w:adjustRightInd w:val="0"/>
        <w:spacing w:after="200"/>
        <w:ind w:firstLine="567"/>
        <w:jc w:val="both"/>
      </w:pPr>
      <w:r w:rsidRPr="00DA4658">
        <w:t xml:space="preserve">Art. 71 </w:t>
      </w:r>
      <w:r w:rsidR="00C75121" w:rsidRPr="00DA4658">
        <w:t xml:space="preserve">Esta </w:t>
      </w:r>
      <w:r w:rsidR="00F31DD3" w:rsidRPr="00DA4658">
        <w:t>R</w:t>
      </w:r>
      <w:r w:rsidR="00C75121" w:rsidRPr="00DA4658">
        <w:t>esolução entra em vigor no prazo de 1</w:t>
      </w:r>
      <w:r w:rsidR="001C60FD" w:rsidRPr="00DA4658">
        <w:t>8</w:t>
      </w:r>
      <w:r w:rsidR="00C75121" w:rsidRPr="00DA4658">
        <w:t xml:space="preserve">0 (cento e </w:t>
      </w:r>
      <w:r w:rsidR="001C60FD" w:rsidRPr="00DA4658">
        <w:t>oitenta</w:t>
      </w:r>
      <w:r w:rsidR="00C75121" w:rsidRPr="00DA4658">
        <w:t>) dias corridos contados a partir da data de sua publicação.</w:t>
      </w:r>
    </w:p>
    <w:p w:rsidR="00DA4658" w:rsidRDefault="00DA4658" w:rsidP="00DA4658">
      <w:pPr>
        <w:spacing w:after="200"/>
        <w:ind w:firstLine="567"/>
        <w:jc w:val="center"/>
      </w:pPr>
    </w:p>
    <w:p w:rsidR="00D056E2" w:rsidRDefault="00F126D6" w:rsidP="00D056E2">
      <w:pPr>
        <w:spacing w:after="200"/>
        <w:ind w:firstLine="567"/>
        <w:jc w:val="center"/>
      </w:pPr>
      <w:r w:rsidRPr="00DA4658">
        <w:t>JARBAS BARBOSA DA SILVA JR.</w:t>
      </w:r>
      <w:bookmarkStart w:id="13" w:name="_Toc397347970"/>
    </w:p>
    <w:p w:rsidR="00D056E2" w:rsidRDefault="00D056E2" w:rsidP="00D056E2">
      <w:pPr>
        <w:spacing w:after="200"/>
        <w:ind w:firstLine="567"/>
        <w:jc w:val="center"/>
      </w:pPr>
    </w:p>
    <w:p w:rsidR="00D056E2" w:rsidRDefault="00D056E2" w:rsidP="00D056E2">
      <w:pPr>
        <w:spacing w:after="200"/>
        <w:ind w:firstLine="567"/>
        <w:jc w:val="center"/>
        <w:rPr>
          <w:b/>
          <w:bCs/>
          <w:caps/>
          <w:kern w:val="32"/>
        </w:rPr>
        <w:sectPr w:rsidR="00D056E2" w:rsidSect="00D056E2">
          <w:headerReference w:type="default" r:id="rId8"/>
          <w:footerReference w:type="even" r:id="rId9"/>
          <w:footerReference w:type="default" r:id="rId10"/>
          <w:pgSz w:w="11906" w:h="16838" w:code="9"/>
          <w:pgMar w:top="1418" w:right="1701" w:bottom="1418" w:left="1701" w:header="1134" w:footer="567" w:gutter="0"/>
          <w:cols w:space="708"/>
          <w:docGrid w:linePitch="360"/>
        </w:sectPr>
      </w:pPr>
    </w:p>
    <w:p w:rsidR="00B710A1" w:rsidRPr="00DA4658" w:rsidRDefault="00B710A1" w:rsidP="00D056E2">
      <w:pPr>
        <w:spacing w:after="200"/>
        <w:ind w:firstLine="567"/>
        <w:jc w:val="center"/>
        <w:rPr>
          <w:b/>
          <w:bCs/>
          <w:caps/>
          <w:kern w:val="32"/>
        </w:rPr>
      </w:pPr>
      <w:r w:rsidRPr="00DA4658">
        <w:rPr>
          <w:b/>
          <w:bCs/>
          <w:caps/>
          <w:kern w:val="32"/>
        </w:rPr>
        <w:t>ANEXO I</w:t>
      </w:r>
      <w:bookmarkEnd w:id="13"/>
    </w:p>
    <w:p w:rsidR="00FA6F96" w:rsidRPr="00DA4658" w:rsidRDefault="00FA6F96" w:rsidP="00DA4658">
      <w:pPr>
        <w:pStyle w:val="Legenda"/>
        <w:keepNext/>
        <w:spacing w:after="200"/>
        <w:jc w:val="center"/>
        <w:rPr>
          <w:sz w:val="24"/>
          <w:szCs w:val="24"/>
        </w:rPr>
      </w:pPr>
      <w:r w:rsidRPr="00DA4658">
        <w:rPr>
          <w:sz w:val="24"/>
          <w:szCs w:val="24"/>
        </w:rPr>
        <w:t xml:space="preserve">Quadro </w:t>
      </w:r>
      <w:r w:rsidRPr="00DA4658">
        <w:rPr>
          <w:sz w:val="24"/>
          <w:szCs w:val="24"/>
        </w:rPr>
        <w:fldChar w:fldCharType="begin"/>
      </w:r>
      <w:r w:rsidRPr="00DA4658">
        <w:rPr>
          <w:sz w:val="24"/>
          <w:szCs w:val="24"/>
        </w:rPr>
        <w:instrText xml:space="preserve"> SEQ Tabela \* ARABIC </w:instrText>
      </w:r>
      <w:r w:rsidRPr="00DA4658">
        <w:rPr>
          <w:sz w:val="24"/>
          <w:szCs w:val="24"/>
        </w:rPr>
        <w:fldChar w:fldCharType="separate"/>
      </w:r>
      <w:r w:rsidR="0017366F">
        <w:rPr>
          <w:noProof/>
          <w:sz w:val="24"/>
          <w:szCs w:val="24"/>
        </w:rPr>
        <w:t>1</w:t>
      </w:r>
      <w:r w:rsidRPr="00DA4658">
        <w:rPr>
          <w:sz w:val="24"/>
          <w:szCs w:val="24"/>
        </w:rPr>
        <w:fldChar w:fldCharType="end"/>
      </w:r>
      <w:r w:rsidRPr="00DA4658">
        <w:rPr>
          <w:sz w:val="24"/>
          <w:szCs w:val="24"/>
        </w:rPr>
        <w:t xml:space="preserve">. </w:t>
      </w:r>
      <w:r w:rsidRPr="00DA4658">
        <w:rPr>
          <w:b w:val="0"/>
          <w:sz w:val="24"/>
          <w:szCs w:val="24"/>
        </w:rPr>
        <w:t>Parâmetros a serem considerados na validação analítica.</w:t>
      </w:r>
    </w:p>
    <w:tbl>
      <w:tblPr>
        <w:tblW w:w="1417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507"/>
        <w:gridCol w:w="2396"/>
        <w:gridCol w:w="2176"/>
        <w:gridCol w:w="2178"/>
        <w:gridCol w:w="3918"/>
      </w:tblGrid>
      <w:tr w:rsidR="008E37C7" w:rsidRPr="00DA4658" w:rsidTr="00BC0047">
        <w:trPr>
          <w:jc w:val="center"/>
        </w:trPr>
        <w:tc>
          <w:tcPr>
            <w:tcW w:w="2283" w:type="dxa"/>
            <w:vMerge w:val="restart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  <w:b/>
              </w:rPr>
            </w:pPr>
            <w:r w:rsidRPr="00DA4658">
              <w:rPr>
                <w:rStyle w:val="A0"/>
                <w:b/>
              </w:rPr>
              <w:t>Parâmetro Avaliado</w:t>
            </w:r>
          </w:p>
        </w:tc>
        <w:tc>
          <w:tcPr>
            <w:tcW w:w="1560" w:type="dxa"/>
            <w:vMerge w:val="restart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  <w:b/>
              </w:rPr>
            </w:pPr>
            <w:r w:rsidRPr="00DA4658">
              <w:rPr>
                <w:rStyle w:val="A0"/>
                <w:b/>
              </w:rPr>
              <w:t>Identificação</w:t>
            </w:r>
          </w:p>
        </w:tc>
        <w:tc>
          <w:tcPr>
            <w:tcW w:w="2835" w:type="dxa"/>
            <w:gridSpan w:val="2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  <w:b/>
              </w:rPr>
            </w:pPr>
            <w:r w:rsidRPr="00DA4658">
              <w:rPr>
                <w:rStyle w:val="A0"/>
                <w:b/>
              </w:rPr>
              <w:t>Teste de</w:t>
            </w:r>
          </w:p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  <w:b/>
              </w:rPr>
              <w:t>Impurezas</w:t>
            </w:r>
          </w:p>
        </w:tc>
        <w:tc>
          <w:tcPr>
            <w:tcW w:w="2551" w:type="dxa"/>
            <w:vMerge w:val="restart"/>
            <w:vAlign w:val="center"/>
          </w:tcPr>
          <w:p w:rsidR="008E37C7" w:rsidRPr="00DA4658" w:rsidRDefault="00845D1F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  <w:b/>
              </w:rPr>
            </w:pPr>
            <w:r w:rsidRPr="00DA4658">
              <w:rPr>
                <w:rStyle w:val="A0"/>
                <w:b/>
              </w:rPr>
              <w:t>Doseamento</w:t>
            </w:r>
          </w:p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-dissolução (quantificação)</w:t>
            </w:r>
          </w:p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-uniformidade de conteúdo</w:t>
            </w:r>
          </w:p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-potência</w:t>
            </w:r>
          </w:p>
        </w:tc>
      </w:tr>
      <w:tr w:rsidR="008E37C7" w:rsidRPr="00DA4658" w:rsidTr="00BC0047">
        <w:trPr>
          <w:jc w:val="center"/>
        </w:trPr>
        <w:tc>
          <w:tcPr>
            <w:tcW w:w="2283" w:type="dxa"/>
            <w:vMerge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</w:p>
        </w:tc>
        <w:tc>
          <w:tcPr>
            <w:tcW w:w="1560" w:type="dxa"/>
            <w:vMerge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Quantitativo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Ensaio Limite</w:t>
            </w:r>
          </w:p>
        </w:tc>
        <w:tc>
          <w:tcPr>
            <w:tcW w:w="2551" w:type="dxa"/>
            <w:vMerge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</w:p>
        </w:tc>
      </w:tr>
      <w:tr w:rsidR="008E37C7" w:rsidRPr="00DA4658" w:rsidTr="00BC0047">
        <w:trPr>
          <w:jc w:val="center"/>
        </w:trPr>
        <w:tc>
          <w:tcPr>
            <w:tcW w:w="2283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Exatidão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2551" w:type="dxa"/>
            <w:vAlign w:val="center"/>
          </w:tcPr>
          <w:p w:rsidR="008E37C7" w:rsidRPr="00DA4658" w:rsidRDefault="00E25DB3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</w:t>
            </w:r>
            <w:r w:rsidR="008E37C7" w:rsidRPr="00DA4658">
              <w:rPr>
                <w:rStyle w:val="A0"/>
              </w:rPr>
              <w:t>im</w:t>
            </w:r>
          </w:p>
        </w:tc>
      </w:tr>
      <w:tr w:rsidR="008E37C7" w:rsidRPr="00DA4658" w:rsidTr="00BC0047">
        <w:trPr>
          <w:trHeight w:val="186"/>
          <w:jc w:val="center"/>
        </w:trPr>
        <w:tc>
          <w:tcPr>
            <w:tcW w:w="2283" w:type="dxa"/>
            <w:vAlign w:val="center"/>
          </w:tcPr>
          <w:p w:rsidR="008E37C7" w:rsidRPr="00DA4658" w:rsidRDefault="0080213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 xml:space="preserve">Precisão </w:t>
            </w:r>
            <w:r w:rsidR="008E37C7" w:rsidRPr="00DA4658">
              <w:rPr>
                <w:rStyle w:val="A0"/>
              </w:rPr>
              <w:t>Repeti</w:t>
            </w:r>
            <w:r w:rsidRPr="00DA4658">
              <w:rPr>
                <w:rStyle w:val="A0"/>
              </w:rPr>
              <w:t>bilidade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2551" w:type="dxa"/>
            <w:vAlign w:val="center"/>
          </w:tcPr>
          <w:p w:rsidR="008E37C7" w:rsidRPr="00DA4658" w:rsidRDefault="00E25DB3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</w:t>
            </w:r>
            <w:r w:rsidR="008E37C7" w:rsidRPr="00DA4658">
              <w:rPr>
                <w:rStyle w:val="A0"/>
              </w:rPr>
              <w:t>im</w:t>
            </w:r>
          </w:p>
        </w:tc>
      </w:tr>
      <w:tr w:rsidR="008E37C7" w:rsidRPr="00DA4658" w:rsidTr="00BC0047">
        <w:trPr>
          <w:trHeight w:val="186"/>
          <w:jc w:val="center"/>
        </w:trPr>
        <w:tc>
          <w:tcPr>
            <w:tcW w:w="2283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Precisão Intermediária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 xml:space="preserve">    sim </w:t>
            </w:r>
            <w:r w:rsidRPr="00DA4658">
              <w:rPr>
                <w:rStyle w:val="A0"/>
                <w:vertAlign w:val="superscript"/>
              </w:rPr>
              <w:t>(1</w:t>
            </w:r>
            <w:r w:rsidR="00FA6F96" w:rsidRPr="00DA4658">
              <w:rPr>
                <w:rStyle w:val="A0"/>
                <w:vertAlign w:val="superscript"/>
              </w:rPr>
              <w:t>)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2551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 xml:space="preserve">    sim </w:t>
            </w:r>
            <w:r w:rsidRPr="00DA4658">
              <w:rPr>
                <w:rStyle w:val="A0"/>
                <w:vertAlign w:val="superscript"/>
              </w:rPr>
              <w:t>(1)</w:t>
            </w:r>
          </w:p>
        </w:tc>
      </w:tr>
      <w:tr w:rsidR="008E37C7" w:rsidRPr="00DA4658" w:rsidTr="00BC0047">
        <w:trPr>
          <w:jc w:val="center"/>
        </w:trPr>
        <w:tc>
          <w:tcPr>
            <w:tcW w:w="2283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 xml:space="preserve">Seletividade </w:t>
            </w:r>
            <w:r w:rsidRPr="00DA4658">
              <w:rPr>
                <w:rStyle w:val="A0"/>
                <w:vertAlign w:val="superscript"/>
              </w:rPr>
              <w:t>(2)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2551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</w:tr>
      <w:tr w:rsidR="008E37C7" w:rsidRPr="00DA4658" w:rsidTr="00BC0047">
        <w:trPr>
          <w:jc w:val="center"/>
        </w:trPr>
        <w:tc>
          <w:tcPr>
            <w:tcW w:w="2283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Limite de Detecção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 xml:space="preserve">    não </w:t>
            </w:r>
            <w:r w:rsidRPr="00DA4658">
              <w:rPr>
                <w:rStyle w:val="A0"/>
                <w:vertAlign w:val="superscript"/>
              </w:rPr>
              <w:t>(3)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2551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</w:tr>
      <w:tr w:rsidR="008E37C7" w:rsidRPr="00DA4658" w:rsidTr="00BC0047">
        <w:trPr>
          <w:jc w:val="center"/>
        </w:trPr>
        <w:tc>
          <w:tcPr>
            <w:tcW w:w="2283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Limite de quantificação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2551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  <w:r w:rsidR="00AF2436" w:rsidRPr="00DA4658">
              <w:rPr>
                <w:rStyle w:val="A0"/>
              </w:rPr>
              <w:t xml:space="preserve"> </w:t>
            </w:r>
            <w:r w:rsidR="00AF2436" w:rsidRPr="00DA4658">
              <w:rPr>
                <w:rStyle w:val="A0"/>
                <w:vertAlign w:val="superscript"/>
              </w:rPr>
              <w:t>(3)</w:t>
            </w:r>
          </w:p>
        </w:tc>
      </w:tr>
      <w:tr w:rsidR="008E37C7" w:rsidRPr="00DA4658" w:rsidTr="00BC0047">
        <w:trPr>
          <w:jc w:val="center"/>
        </w:trPr>
        <w:tc>
          <w:tcPr>
            <w:tcW w:w="2283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Linearidade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2551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</w:tr>
      <w:tr w:rsidR="008E37C7" w:rsidRPr="00DA4658" w:rsidTr="00BC0047">
        <w:trPr>
          <w:jc w:val="center"/>
        </w:trPr>
        <w:tc>
          <w:tcPr>
            <w:tcW w:w="2283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rPr>
                <w:rStyle w:val="A0"/>
              </w:rPr>
            </w:pPr>
            <w:r w:rsidRPr="00DA4658">
              <w:rPr>
                <w:rStyle w:val="A0"/>
              </w:rPr>
              <w:t>Intervalo</w:t>
            </w:r>
          </w:p>
        </w:tc>
        <w:tc>
          <w:tcPr>
            <w:tcW w:w="1560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1417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  <w:tc>
          <w:tcPr>
            <w:tcW w:w="1418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não</w:t>
            </w:r>
          </w:p>
        </w:tc>
        <w:tc>
          <w:tcPr>
            <w:tcW w:w="2551" w:type="dxa"/>
            <w:vAlign w:val="center"/>
          </w:tcPr>
          <w:p w:rsidR="008E37C7" w:rsidRPr="00DA4658" w:rsidRDefault="008E37C7" w:rsidP="00DA4658">
            <w:pPr>
              <w:pStyle w:val="Pa0"/>
              <w:spacing w:after="200" w:line="240" w:lineRule="auto"/>
              <w:ind w:hanging="15"/>
              <w:jc w:val="center"/>
              <w:rPr>
                <w:rStyle w:val="A0"/>
              </w:rPr>
            </w:pPr>
            <w:r w:rsidRPr="00DA4658">
              <w:rPr>
                <w:rStyle w:val="A0"/>
              </w:rPr>
              <w:t>sim</w:t>
            </w:r>
          </w:p>
        </w:tc>
      </w:tr>
    </w:tbl>
    <w:p w:rsidR="00FA6F96" w:rsidRPr="00DA4658" w:rsidRDefault="00FA6F96" w:rsidP="00DA4658">
      <w:pPr>
        <w:spacing w:after="200"/>
        <w:ind w:firstLine="567"/>
        <w:jc w:val="both"/>
        <w:rPr>
          <w:vertAlign w:val="superscript"/>
        </w:rPr>
      </w:pPr>
    </w:p>
    <w:p w:rsidR="00DA4658" w:rsidRDefault="00DA4658" w:rsidP="00DA4658">
      <w:pPr>
        <w:spacing w:after="200"/>
        <w:ind w:firstLine="567"/>
        <w:jc w:val="both"/>
        <w:rPr>
          <w:vertAlign w:val="superscript"/>
        </w:rPr>
        <w:sectPr w:rsidR="00DA4658" w:rsidSect="00D056E2">
          <w:pgSz w:w="16838" w:h="11906" w:orient="landscape" w:code="9"/>
          <w:pgMar w:top="1701" w:right="1418" w:bottom="1701" w:left="1418" w:header="1134" w:footer="567" w:gutter="0"/>
          <w:cols w:space="708"/>
          <w:docGrid w:linePitch="360"/>
        </w:sectPr>
      </w:pPr>
    </w:p>
    <w:p w:rsidR="00FA6F96" w:rsidRPr="00DA4658" w:rsidRDefault="00FA6F96" w:rsidP="00DA4658">
      <w:pPr>
        <w:spacing w:after="200"/>
        <w:ind w:firstLine="567"/>
        <w:jc w:val="both"/>
      </w:pPr>
      <w:r w:rsidRPr="00DA4658">
        <w:rPr>
          <w:vertAlign w:val="superscript"/>
        </w:rPr>
        <w:t>(1)</w:t>
      </w:r>
      <w:r w:rsidR="00D056E2">
        <w:rPr>
          <w:vertAlign w:val="superscript"/>
        </w:rPr>
        <w:t xml:space="preserve"> </w:t>
      </w:r>
      <w:r w:rsidRPr="00DA4658">
        <w:t>Nos casos em que foi conduzida a reprodutibilidade, não é necessário conduzir a precisão intermediária.</w:t>
      </w:r>
    </w:p>
    <w:p w:rsidR="00FA6F96" w:rsidRPr="00DA4658" w:rsidRDefault="00FA6F96" w:rsidP="00DA4658">
      <w:pPr>
        <w:spacing w:after="200"/>
        <w:ind w:firstLine="567"/>
        <w:jc w:val="both"/>
      </w:pPr>
      <w:r w:rsidRPr="00DA4658">
        <w:rPr>
          <w:vertAlign w:val="superscript"/>
        </w:rPr>
        <w:t>(2)</w:t>
      </w:r>
      <w:r w:rsidR="00D056E2">
        <w:rPr>
          <w:vertAlign w:val="superscript"/>
        </w:rPr>
        <w:t xml:space="preserve"> </w:t>
      </w:r>
      <w:r w:rsidRPr="00DA4658">
        <w:t>Nos casos de ensaios de identificação, pode ser necessária a combinação de dois ou mais procedimentos analíticos para atingir o nível necessário de discriminação.</w:t>
      </w:r>
    </w:p>
    <w:p w:rsidR="00FA6F96" w:rsidRPr="00DA4658" w:rsidRDefault="00FA6F96" w:rsidP="00DA4658">
      <w:pPr>
        <w:spacing w:after="200"/>
        <w:ind w:firstLine="567"/>
        <w:jc w:val="both"/>
      </w:pPr>
      <w:r w:rsidRPr="00DA4658">
        <w:rPr>
          <w:vertAlign w:val="superscript"/>
        </w:rPr>
        <w:t>(3)</w:t>
      </w:r>
      <w:r w:rsidR="00D056E2">
        <w:rPr>
          <w:vertAlign w:val="superscript"/>
        </w:rPr>
        <w:t xml:space="preserve"> </w:t>
      </w:r>
      <w:r w:rsidRPr="00DA4658">
        <w:t>Pode ser necessário em alguns casos.</w:t>
      </w:r>
    </w:p>
    <w:p w:rsidR="00A545D4" w:rsidRDefault="00A545D4" w:rsidP="00DA4658">
      <w:pPr>
        <w:spacing w:after="200"/>
        <w:ind w:firstLine="567"/>
        <w:jc w:val="center"/>
        <w:rPr>
          <w:b/>
          <w:lang w:eastAsia="en-US"/>
        </w:rPr>
      </w:pPr>
    </w:p>
    <w:p w:rsidR="000B7337" w:rsidRDefault="000B7337" w:rsidP="00D056E2">
      <w:pPr>
        <w:spacing w:after="200"/>
        <w:jc w:val="center"/>
        <w:rPr>
          <w:b/>
          <w:lang w:eastAsia="en-US"/>
        </w:rPr>
      </w:pPr>
      <w:r w:rsidRPr="00DA4658">
        <w:rPr>
          <w:b/>
          <w:lang w:eastAsia="en-US"/>
        </w:rPr>
        <w:t xml:space="preserve">ANEXO </w:t>
      </w:r>
      <w:r w:rsidR="00802137" w:rsidRPr="00DA4658">
        <w:rPr>
          <w:b/>
          <w:lang w:eastAsia="en-US"/>
        </w:rPr>
        <w:t>II</w:t>
      </w:r>
    </w:p>
    <w:p w:rsidR="00D056E2" w:rsidRPr="00D056E2" w:rsidRDefault="00D056E2" w:rsidP="00D056E2">
      <w:pPr>
        <w:spacing w:after="200"/>
        <w:jc w:val="center"/>
        <w:rPr>
          <w:b/>
          <w:color w:val="0000FF"/>
          <w:lang w:eastAsia="en-US"/>
        </w:rPr>
      </w:pPr>
      <w:r w:rsidRPr="00D056E2">
        <w:rPr>
          <w:b/>
          <w:color w:val="0000FF"/>
          <w:lang w:eastAsia="en-US"/>
        </w:rPr>
        <w:t>(Republicado no DOU nº 156, de 15 de agosto de 2017)</w:t>
      </w:r>
    </w:p>
    <w:p w:rsidR="00D056E2" w:rsidRDefault="00D056E2" w:rsidP="00DA4658">
      <w:pPr>
        <w:spacing w:after="200"/>
        <w:ind w:firstLine="567"/>
        <w:jc w:val="both"/>
        <w:rPr>
          <w:b/>
          <w:lang w:eastAsia="en-US"/>
        </w:rPr>
      </w:pPr>
    </w:p>
    <w:p w:rsidR="00F27028" w:rsidRPr="00DA4658" w:rsidRDefault="00F27028" w:rsidP="00DA4658">
      <w:pPr>
        <w:spacing w:after="200"/>
        <w:ind w:firstLine="567"/>
        <w:jc w:val="both"/>
        <w:rPr>
          <w:b/>
          <w:lang w:eastAsia="en-US"/>
        </w:rPr>
      </w:pPr>
      <w:r w:rsidRPr="00DA4658">
        <w:rPr>
          <w:b/>
          <w:lang w:eastAsia="en-US"/>
        </w:rPr>
        <w:t>Fórmula 1. Cálculo da exatidão.</w:t>
      </w:r>
    </w:p>
    <w:p w:rsidR="00F27028" w:rsidRPr="00DA4658" w:rsidRDefault="00D056E2" w:rsidP="00DA4658">
      <w:pPr>
        <w:pStyle w:val="NormalWeb"/>
        <w:spacing w:before="0" w:beforeAutospacing="0" w:after="200" w:afterAutospacing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F7DF9"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278.25pt;height:50.25pt;visibility:visible">
            <v:imagedata r:id="rId11" o:title=""/>
          </v:shape>
        </w:pict>
      </w:r>
    </w:p>
    <w:p w:rsidR="00F27028" w:rsidRPr="00DA4658" w:rsidRDefault="00F27028" w:rsidP="00DA4658">
      <w:pPr>
        <w:pStyle w:val="NormalWeb"/>
        <w:spacing w:before="0" w:beforeAutospacing="0" w:after="200" w:afterAutospacing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DA4658">
        <w:rPr>
          <w:rFonts w:ascii="Times New Roman" w:hAnsi="Times New Roman" w:cs="Times New Roman"/>
          <w:sz w:val="24"/>
          <w:szCs w:val="24"/>
        </w:rPr>
        <w:t>ou</w:t>
      </w:r>
    </w:p>
    <w:p w:rsidR="001329CF" w:rsidRPr="00DA4658" w:rsidRDefault="001329CF" w:rsidP="00DA4658">
      <w:pPr>
        <w:pStyle w:val="NormalWeb"/>
        <w:spacing w:before="0" w:beforeAutospacing="0" w:after="200" w:afterAutospacing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</w:p>
    <w:p w:rsidR="00F27028" w:rsidRPr="00DA4658" w:rsidRDefault="00D056E2" w:rsidP="00D056E2">
      <w:pPr>
        <w:pStyle w:val="NormalWeb"/>
        <w:spacing w:before="0" w:beforeAutospacing="0" w:after="200" w:afterAutospacing="0"/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CF7DF9">
        <w:rPr>
          <w:noProof/>
        </w:rPr>
        <w:pict>
          <v:shape id="_x0000_i1028" type="#_x0000_t75" style="width:298.5pt;height:53.25pt;visibility:visible">
            <v:imagedata r:id="rId12" o:title=""/>
          </v:shape>
        </w:pict>
      </w:r>
    </w:p>
    <w:p w:rsidR="00F27028" w:rsidRDefault="00F27028" w:rsidP="00DA465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  <w:r w:rsidRPr="00DA4658">
        <w:rPr>
          <w:rFonts w:ascii="Times New Roman" w:hAnsi="Times New Roman" w:cs="Times New Roman"/>
          <w:sz w:val="24"/>
          <w:szCs w:val="24"/>
        </w:rPr>
        <w:t>Em que:</w:t>
      </w:r>
      <w:r w:rsidR="00E04C58" w:rsidRPr="00DA4658">
        <w:rPr>
          <w:rFonts w:ascii="Times New Roman" w:hAnsi="Times New Roman" w:cs="Times New Roman"/>
          <w:sz w:val="24"/>
          <w:szCs w:val="24"/>
        </w:rPr>
        <w:t xml:space="preserve"> CA é a c</w:t>
      </w:r>
      <w:r w:rsidRPr="00DA4658">
        <w:rPr>
          <w:rFonts w:ascii="Times New Roman" w:hAnsi="Times New Roman" w:cs="Times New Roman"/>
          <w:sz w:val="24"/>
          <w:szCs w:val="24"/>
        </w:rPr>
        <w:t>once</w:t>
      </w:r>
      <w:r w:rsidR="00E04C58" w:rsidRPr="00DA4658">
        <w:rPr>
          <w:rFonts w:ascii="Times New Roman" w:hAnsi="Times New Roman" w:cs="Times New Roman"/>
          <w:sz w:val="24"/>
          <w:szCs w:val="24"/>
        </w:rPr>
        <w:t xml:space="preserve">ntração experimental do analito e </w:t>
      </w:r>
      <w:r w:rsidRPr="00DA4658">
        <w:rPr>
          <w:rFonts w:ascii="Times New Roman" w:hAnsi="Times New Roman" w:cs="Times New Roman"/>
          <w:sz w:val="24"/>
          <w:szCs w:val="24"/>
        </w:rPr>
        <w:t xml:space="preserve">CTA </w:t>
      </w:r>
      <w:r w:rsidR="00E04C58" w:rsidRPr="00DA4658">
        <w:rPr>
          <w:rFonts w:ascii="Times New Roman" w:hAnsi="Times New Roman" w:cs="Times New Roman"/>
          <w:sz w:val="24"/>
          <w:szCs w:val="24"/>
        </w:rPr>
        <w:t>é a c</w:t>
      </w:r>
      <w:r w:rsidRPr="00DA4658">
        <w:rPr>
          <w:rFonts w:ascii="Times New Roman" w:hAnsi="Times New Roman" w:cs="Times New Roman"/>
          <w:sz w:val="24"/>
          <w:szCs w:val="24"/>
        </w:rPr>
        <w:t>oncentração teórica do analito adicionado</w:t>
      </w:r>
    </w:p>
    <w:p w:rsidR="00D056E2" w:rsidRDefault="00D056E2" w:rsidP="00DA465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:rsidR="00D056E2" w:rsidRPr="00D056E2" w:rsidRDefault="00D056E2" w:rsidP="00DA4658">
      <w:pPr>
        <w:pStyle w:val="NormalWeb"/>
        <w:spacing w:before="0" w:beforeAutospacing="0" w:after="200" w:afterAutospacing="0"/>
        <w:ind w:firstLine="567"/>
        <w:jc w:val="both"/>
        <w:rPr>
          <w:rFonts w:ascii="Times New Roman" w:hAnsi="Times New Roman" w:cs="Times New Roman"/>
          <w:b/>
          <w:sz w:val="24"/>
          <w:szCs w:val="24"/>
        </w:rPr>
      </w:pPr>
      <w:r w:rsidRPr="00D056E2">
        <w:rPr>
          <w:rFonts w:ascii="Times New Roman" w:hAnsi="Times New Roman" w:cs="Times New Roman"/>
          <w:b/>
          <w:sz w:val="24"/>
          <w:szCs w:val="24"/>
        </w:rPr>
        <w:t>Fórmula 2. Cálculo do limite de detecção.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center"/>
        <w:rPr>
          <w:u w:val="single"/>
        </w:rPr>
      </w:pPr>
      <w:r w:rsidRPr="00DA4658">
        <w:t xml:space="preserve">LD= </w:t>
      </w:r>
      <w:r w:rsidRPr="00DA4658">
        <w:rPr>
          <w:u w:val="single"/>
        </w:rPr>
        <w:t>3,3.</w:t>
      </w:r>
      <w:r w:rsidRPr="00DA4658">
        <w:rPr>
          <w:b/>
          <w:u w:val="single"/>
        </w:rPr>
        <w:t xml:space="preserve"> </w:t>
      </w:r>
      <w:r w:rsidRPr="00DA4658">
        <w:rPr>
          <w:b/>
          <w:u w:val="single"/>
        </w:rPr>
        <w:sym w:font="Symbol" w:char="F073"/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center"/>
      </w:pPr>
      <w:r w:rsidRPr="00DA4658">
        <w:t>IC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 xml:space="preserve">Em que: IC é a inclinação da curva de calibração, </w:t>
      </w:r>
      <w:r w:rsidRPr="00DA4658">
        <w:rPr>
          <w:b/>
        </w:rPr>
        <w:sym w:font="Symbol" w:char="F073"/>
      </w:r>
      <w:r w:rsidRPr="00DA4658">
        <w:t xml:space="preserve"> é o desvio padrão e pode ser obtido de 3 formas: 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>I - a partir do desvio padrão do intercepto com o eixo Y de, no mínimo, 3 curvas de calibração constr</w:t>
      </w:r>
      <w:r w:rsidR="00D056E2">
        <w:t>uídas contendo concentrações do</w:t>
      </w:r>
      <w:r w:rsidRPr="00DA4658">
        <w:t xml:space="preserve"> analito próximas ao suposto limite de detecção; 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>II - a partir do desvio padrão residual da linha de regressão;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>III - a partir da estimativa de ruído proveniente da análise de um apropriado número de amostras do branco.</w:t>
      </w:r>
    </w:p>
    <w:p w:rsidR="00360D43" w:rsidRPr="00DA4658" w:rsidRDefault="00360D43" w:rsidP="00DA4658">
      <w:pPr>
        <w:spacing w:after="200"/>
        <w:ind w:firstLine="567"/>
        <w:rPr>
          <w:b/>
          <w:lang w:eastAsia="en-US"/>
        </w:rPr>
      </w:pPr>
    </w:p>
    <w:p w:rsidR="00360D43" w:rsidRPr="00DA4658" w:rsidRDefault="00360D43" w:rsidP="00DA4658">
      <w:pPr>
        <w:spacing w:after="200"/>
        <w:ind w:firstLine="567"/>
        <w:rPr>
          <w:b/>
          <w:lang w:eastAsia="en-US"/>
        </w:rPr>
      </w:pPr>
      <w:r w:rsidRPr="00DA4658">
        <w:rPr>
          <w:b/>
          <w:lang w:eastAsia="en-US"/>
        </w:rPr>
        <w:t>Fórmula 3. Cálculo do limite de quantificação.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center"/>
        <w:rPr>
          <w:u w:val="single"/>
        </w:rPr>
      </w:pPr>
      <w:r w:rsidRPr="00DA4658">
        <w:t xml:space="preserve">LQ = </w:t>
      </w:r>
      <w:r w:rsidRPr="00DA4658">
        <w:rPr>
          <w:u w:val="single"/>
        </w:rPr>
        <w:t>10.</w:t>
      </w:r>
      <w:r w:rsidRPr="00DA4658">
        <w:rPr>
          <w:b/>
          <w:u w:val="single"/>
        </w:rPr>
        <w:t xml:space="preserve"> </w:t>
      </w:r>
      <w:r w:rsidRPr="00DA4658">
        <w:rPr>
          <w:b/>
          <w:u w:val="single"/>
        </w:rPr>
        <w:sym w:font="Symbol" w:char="F073"/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center"/>
      </w:pPr>
      <w:r w:rsidRPr="00DA4658">
        <w:t>IC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>Em que: IC é a inclinação da curva de calibração,</w:t>
      </w:r>
      <w:r w:rsidRPr="00DA4658">
        <w:rPr>
          <w:b/>
        </w:rPr>
        <w:t xml:space="preserve"> </w:t>
      </w:r>
      <w:r w:rsidRPr="00DA4658">
        <w:rPr>
          <w:b/>
        </w:rPr>
        <w:sym w:font="Symbol" w:char="F073"/>
      </w:r>
      <w:r w:rsidRPr="00DA4658">
        <w:rPr>
          <w:b/>
        </w:rPr>
        <w:t xml:space="preserve"> </w:t>
      </w:r>
      <w:r w:rsidRPr="00DA4658">
        <w:t xml:space="preserve">é o desvio padrão e pode ser obtido de 3 formas: 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>I - a partir do desvio padrão do intercepto com o eixo Y de, no mínimo, 3 curvas de calibração constr</w:t>
      </w:r>
      <w:r w:rsidR="00D056E2">
        <w:t>uídas contendo concentrações do</w:t>
      </w:r>
      <w:r w:rsidRPr="00DA4658">
        <w:t xml:space="preserve"> analito próximas ao suposto limite de detecção; 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>II - a partir do desvio padrão residual da linha de regressão;</w:t>
      </w:r>
    </w:p>
    <w:p w:rsidR="00360D43" w:rsidRPr="00DA4658" w:rsidRDefault="00360D43" w:rsidP="00DA4658">
      <w:pPr>
        <w:tabs>
          <w:tab w:val="left" w:pos="426"/>
        </w:tabs>
        <w:spacing w:after="200"/>
        <w:ind w:firstLine="567"/>
        <w:jc w:val="both"/>
      </w:pPr>
      <w:r w:rsidRPr="00DA4658">
        <w:t>III - a partir da estimativa de ruído proveniente da análise de um apropriado número de amostras do branco.</w:t>
      </w:r>
    </w:p>
    <w:p w:rsidR="00360D43" w:rsidRPr="00DA4658" w:rsidRDefault="00360D43" w:rsidP="00DA4658">
      <w:pPr>
        <w:spacing w:after="200"/>
        <w:ind w:firstLine="567"/>
        <w:rPr>
          <w:b/>
          <w:lang w:eastAsia="en-US"/>
        </w:rPr>
      </w:pPr>
    </w:p>
    <w:p w:rsidR="009B0290" w:rsidRPr="00DA4658" w:rsidRDefault="009B0290" w:rsidP="00DA4658">
      <w:pPr>
        <w:spacing w:after="200"/>
        <w:ind w:firstLine="567"/>
        <w:jc w:val="center"/>
        <w:rPr>
          <w:b/>
          <w:lang w:eastAsia="en-US"/>
        </w:rPr>
      </w:pPr>
      <w:r w:rsidRPr="00DA4658">
        <w:rPr>
          <w:b/>
          <w:lang w:eastAsia="en-US"/>
        </w:rPr>
        <w:t>ANEXO III</w:t>
      </w:r>
    </w:p>
    <w:p w:rsidR="000B7337" w:rsidRPr="00DA4658" w:rsidRDefault="00B379A6" w:rsidP="00DA4658">
      <w:pPr>
        <w:pStyle w:val="Legenda"/>
        <w:keepNext/>
        <w:spacing w:after="200"/>
        <w:ind w:firstLine="567"/>
        <w:jc w:val="center"/>
        <w:rPr>
          <w:b w:val="0"/>
          <w:sz w:val="24"/>
          <w:szCs w:val="24"/>
        </w:rPr>
      </w:pPr>
      <w:r w:rsidRPr="00DA4658">
        <w:rPr>
          <w:sz w:val="24"/>
          <w:szCs w:val="24"/>
        </w:rPr>
        <w:t>Tabela</w:t>
      </w:r>
      <w:r w:rsidR="000B7337" w:rsidRPr="00DA4658">
        <w:rPr>
          <w:sz w:val="24"/>
          <w:szCs w:val="24"/>
        </w:rPr>
        <w:t xml:space="preserve"> 1. </w:t>
      </w:r>
      <w:r w:rsidR="009B48EA" w:rsidRPr="00DA4658">
        <w:rPr>
          <w:b w:val="0"/>
          <w:sz w:val="24"/>
          <w:szCs w:val="24"/>
        </w:rPr>
        <w:t xml:space="preserve">Condições </w:t>
      </w:r>
      <w:r w:rsidR="000B7337" w:rsidRPr="00DA4658">
        <w:rPr>
          <w:b w:val="0"/>
          <w:sz w:val="24"/>
          <w:szCs w:val="24"/>
        </w:rPr>
        <w:t>para a avaliação da robustez do método.</w:t>
      </w:r>
    </w:p>
    <w:tbl>
      <w:tblPr>
        <w:tblW w:w="7654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3544"/>
        <w:gridCol w:w="4110"/>
      </w:tblGrid>
      <w:tr w:rsidR="00F319EA" w:rsidRPr="00DA4658" w:rsidTr="00A545D4">
        <w:trPr>
          <w:jc w:val="center"/>
        </w:trPr>
        <w:tc>
          <w:tcPr>
            <w:tcW w:w="3544" w:type="dxa"/>
            <w:vMerge w:val="restart"/>
            <w:vAlign w:val="center"/>
          </w:tcPr>
          <w:p w:rsidR="00F319EA" w:rsidRPr="00DA4658" w:rsidRDefault="00F319EA" w:rsidP="00A545D4">
            <w:pPr>
              <w:pStyle w:val="NormalWeb3"/>
              <w:spacing w:before="0" w:beforeAutospacing="0" w:after="200" w:afterAutospacing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Preparo das Amostras</w:t>
            </w:r>
          </w:p>
        </w:tc>
        <w:tc>
          <w:tcPr>
            <w:tcW w:w="4110" w:type="dxa"/>
          </w:tcPr>
          <w:p w:rsidR="00F319EA" w:rsidRPr="00DA4658" w:rsidRDefault="00F319EA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Estabilidade das soluções analíticas </w:t>
            </w:r>
          </w:p>
        </w:tc>
      </w:tr>
      <w:tr w:rsidR="00F319EA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F319EA" w:rsidRPr="00DA4658" w:rsidRDefault="00F319EA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F319EA" w:rsidRPr="00DA4658" w:rsidRDefault="00F319EA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 xml:space="preserve">Tempo de extração  </w:t>
            </w:r>
          </w:p>
        </w:tc>
      </w:tr>
      <w:tr w:rsidR="00F319EA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F319EA" w:rsidRPr="00DA4658" w:rsidRDefault="00F319EA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F319EA" w:rsidRPr="00DA4658" w:rsidRDefault="00F319EA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Compatibilidade de filtros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 w:val="restart"/>
            <w:vAlign w:val="center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Espectrofotometria</w:t>
            </w: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Variação do pH da solução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0B7337" w:rsidRPr="00DA4658" w:rsidRDefault="000B7337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Diferentes</w:t>
            </w:r>
            <w:r w:rsidR="001C3E74" w:rsidRPr="00DA4658">
              <w:rPr>
                <w:rFonts w:ascii="Times New Roman" w:hAnsi="Times New Roman" w:cs="Times New Roman"/>
                <w:sz w:val="24"/>
                <w:szCs w:val="24"/>
              </w:rPr>
              <w:t xml:space="preserve"> lotes ou</w:t>
            </w: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 xml:space="preserve"> fabricantes de solventes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 w:val="restart"/>
            <w:vAlign w:val="center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Cromatografia Líquida</w:t>
            </w: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Variação do pH da fase móvel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0B7337" w:rsidRPr="00DA4658" w:rsidRDefault="000B7337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Variação na composição da fase móvel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0B7337" w:rsidRPr="00DA4658" w:rsidRDefault="000B7337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Diferentes lotes ou fabricantes de colunas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0B7337" w:rsidRPr="00DA4658" w:rsidRDefault="000B7337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0B7337" w:rsidRPr="00DA4658" w:rsidRDefault="009174A4" w:rsidP="00A545D4">
            <w:pPr>
              <w:pStyle w:val="NormalWeb3"/>
              <w:tabs>
                <w:tab w:val="center" w:pos="1927"/>
              </w:tabs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Temperatura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0B7337" w:rsidRPr="00DA4658" w:rsidRDefault="000B7337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Fluxo da fase móvel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 w:val="restart"/>
            <w:vAlign w:val="center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Cromatografia Gasosa</w:t>
            </w: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Diferentes lotes ou fabricantes de colunas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0B7337" w:rsidRPr="00DA4658" w:rsidRDefault="000B7337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Temperatura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Merge/>
            <w:vAlign w:val="center"/>
          </w:tcPr>
          <w:p w:rsidR="000B7337" w:rsidRPr="00DA4658" w:rsidRDefault="000B7337" w:rsidP="00A545D4">
            <w:pPr>
              <w:spacing w:after="200"/>
              <w:jc w:val="center"/>
              <w:rPr>
                <w:color w:val="000000"/>
              </w:rPr>
            </w:pP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Velocidade do gás de arraste </w:t>
            </w:r>
          </w:p>
        </w:tc>
      </w:tr>
      <w:tr w:rsidR="000B7337" w:rsidRPr="00DA4658" w:rsidTr="00A545D4">
        <w:trPr>
          <w:jc w:val="center"/>
        </w:trPr>
        <w:tc>
          <w:tcPr>
            <w:tcW w:w="3544" w:type="dxa"/>
            <w:vAlign w:val="center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Outras técnicas analíticas</w:t>
            </w:r>
          </w:p>
        </w:tc>
        <w:tc>
          <w:tcPr>
            <w:tcW w:w="4110" w:type="dxa"/>
          </w:tcPr>
          <w:p w:rsidR="000B7337" w:rsidRPr="00DA4658" w:rsidRDefault="000B7337" w:rsidP="00A545D4">
            <w:pPr>
              <w:pStyle w:val="NormalWeb3"/>
              <w:spacing w:before="0" w:beforeAutospacing="0" w:after="200" w:afterAutospacing="0" w:line="24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DA4658">
              <w:rPr>
                <w:rFonts w:ascii="Times New Roman" w:hAnsi="Times New Roman" w:cs="Times New Roman"/>
                <w:sz w:val="24"/>
                <w:szCs w:val="24"/>
              </w:rPr>
              <w:t>As variações a serem testadas deverão ser avaliadas criticamente e seus resultados deverão ser apresentados</w:t>
            </w:r>
          </w:p>
        </w:tc>
      </w:tr>
    </w:tbl>
    <w:p w:rsidR="000B7337" w:rsidRPr="00DA4658" w:rsidRDefault="000B7337" w:rsidP="00DA4658">
      <w:pPr>
        <w:spacing w:after="200"/>
        <w:ind w:firstLine="567"/>
        <w:jc w:val="center"/>
        <w:rPr>
          <w:b/>
          <w:lang w:eastAsia="en-US"/>
        </w:rPr>
      </w:pPr>
    </w:p>
    <w:sectPr w:rsidR="000B7337" w:rsidRPr="00DA4658" w:rsidSect="00D056E2">
      <w:pgSz w:w="11906" w:h="16838" w:code="9"/>
      <w:pgMar w:top="1418" w:right="1701" w:bottom="1418" w:left="1701" w:header="1134" w:footer="56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755DC0" w:rsidRDefault="00755DC0">
      <w:r>
        <w:separator/>
      </w:r>
    </w:p>
  </w:endnote>
  <w:endnote w:type="continuationSeparator" w:id="0">
    <w:p w:rsidR="00755DC0" w:rsidRDefault="00755DC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altName w:val=" Helvetica"/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rdia New">
    <w:panose1 w:val="020B0304020202020204"/>
    <w:charset w:val="DE"/>
    <w:family w:val="swiss"/>
    <w:pitch w:val="variable"/>
    <w:sig w:usb0="81000003" w:usb1="00000000" w:usb2="00000000" w:usb3="00000000" w:csb0="00010001" w:csb1="00000000"/>
  </w:font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B8" w:rsidRDefault="008F23B8" w:rsidP="008E08E6">
    <w:pPr>
      <w:pStyle w:val="Rodap"/>
      <w:framePr w:wrap="around" w:vAnchor="text" w:hAnchor="margin" w:xAlign="right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8F23B8" w:rsidRDefault="008F23B8" w:rsidP="00B24EA8">
    <w:pPr>
      <w:pStyle w:val="Rodap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F23B8" w:rsidRPr="00DA4658" w:rsidRDefault="00DA4658" w:rsidP="00DA4658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B517AC">
      <w:rPr>
        <w:rFonts w:ascii="Calibri" w:hAnsi="Calibri"/>
        <w:color w:val="943634"/>
      </w:rPr>
      <w:t>Este texto não substitui o(s) publicado(s) em Diário Oficial da União.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755DC0" w:rsidRDefault="00755DC0">
      <w:r>
        <w:separator/>
      </w:r>
    </w:p>
  </w:footnote>
  <w:footnote w:type="continuationSeparator" w:id="0">
    <w:p w:rsidR="00755DC0" w:rsidRDefault="00755DC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DA4658" w:rsidRPr="00B517AC" w:rsidRDefault="00DA4658" w:rsidP="00DA4658">
    <w:pPr>
      <w:tabs>
        <w:tab w:val="center" w:pos="4252"/>
        <w:tab w:val="right" w:pos="8504"/>
      </w:tabs>
      <w:jc w:val="center"/>
      <w:rPr>
        <w:rFonts w:ascii="Calibri" w:hAnsi="Calibri"/>
      </w:rPr>
    </w:pPr>
    <w:r w:rsidRPr="00DA4658">
      <w:rPr>
        <w:rFonts w:ascii="Calibri" w:hAnsi="Calibri"/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Imagem 1" o:spid="_x0000_i1026" type="#_x0000_t75" alt="Descrição: Brasão da República" style="width:51.75pt;height:51pt;visibility:visible">
          <v:imagedata r:id="rId1" o:title=""/>
        </v:shape>
      </w:pict>
    </w:r>
  </w:p>
  <w:p w:rsidR="00DA4658" w:rsidRPr="00B517AC" w:rsidRDefault="00DA4658" w:rsidP="00DA465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Ministério da Saúde - MS</w:t>
    </w:r>
  </w:p>
  <w:p w:rsidR="00DA4658" w:rsidRPr="00B517AC" w:rsidRDefault="00DA4658" w:rsidP="00DA4658">
    <w:pPr>
      <w:tabs>
        <w:tab w:val="center" w:pos="4252"/>
        <w:tab w:val="right" w:pos="8504"/>
      </w:tabs>
      <w:jc w:val="center"/>
      <w:rPr>
        <w:rFonts w:ascii="Calibri" w:hAnsi="Calibri"/>
        <w:b/>
      </w:rPr>
    </w:pPr>
    <w:r w:rsidRPr="00B517AC">
      <w:rPr>
        <w:rFonts w:ascii="Calibri" w:hAnsi="Calibri"/>
        <w:b/>
      </w:rPr>
      <w:t>Agência Nacional de Vigilância Sanitária - ANVISA</w:t>
    </w:r>
  </w:p>
  <w:p w:rsidR="00DA4658" w:rsidRDefault="00DA4658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834F8B"/>
    <w:multiLevelType w:val="hybridMultilevel"/>
    <w:tmpl w:val="AAFC19F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8138DB"/>
    <w:multiLevelType w:val="multilevel"/>
    <w:tmpl w:val="04160027"/>
    <w:lvl w:ilvl="0">
      <w:start w:val="1"/>
      <w:numFmt w:val="upperRoman"/>
      <w:lvlText w:val="%1."/>
      <w:lvlJc w:val="left"/>
      <w:pPr>
        <w:tabs>
          <w:tab w:val="num" w:pos="360"/>
        </w:tabs>
      </w:pPr>
      <w:rPr>
        <w:rFonts w:cs="Times New Roman" w:hint="default"/>
      </w:rPr>
    </w:lvl>
    <w:lvl w:ilvl="1">
      <w:start w:val="1"/>
      <w:numFmt w:val="upperLetter"/>
      <w:lvlText w:val="%2."/>
      <w:lvlJc w:val="left"/>
      <w:pPr>
        <w:tabs>
          <w:tab w:val="num" w:pos="900"/>
        </w:tabs>
        <w:ind w:left="540"/>
      </w:pPr>
      <w:rPr>
        <w:rFonts w:cs="Times New Roman" w:hint="default"/>
        <w:color w:val="000000"/>
      </w:rPr>
    </w:lvl>
    <w:lvl w:ilvl="2">
      <w:start w:val="1"/>
      <w:numFmt w:val="decimal"/>
      <w:lvlText w:val="%3."/>
      <w:lvlJc w:val="left"/>
      <w:pPr>
        <w:tabs>
          <w:tab w:val="num" w:pos="1800"/>
        </w:tabs>
        <w:ind w:left="1440"/>
      </w:pPr>
      <w:rPr>
        <w:rFonts w:cs="Times New Roman" w:hint="default"/>
      </w:rPr>
    </w:lvl>
    <w:lvl w:ilvl="3">
      <w:start w:val="1"/>
      <w:numFmt w:val="lowerLetter"/>
      <w:pStyle w:val="Ttulo4"/>
      <w:lvlText w:val="%4)"/>
      <w:lvlJc w:val="left"/>
      <w:pPr>
        <w:tabs>
          <w:tab w:val="num" w:pos="2520"/>
        </w:tabs>
        <w:ind w:left="2160"/>
      </w:pPr>
      <w:rPr>
        <w:rFonts w:cs="Times New Roman" w:hint="default"/>
      </w:rPr>
    </w:lvl>
    <w:lvl w:ilvl="4">
      <w:start w:val="1"/>
      <w:numFmt w:val="decimal"/>
      <w:pStyle w:val="Ttulo5"/>
      <w:lvlText w:val="(%5)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pStyle w:val="Ttulo6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pStyle w:val="Ttulo7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pStyle w:val="Ttulo8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pStyle w:val="Ttulo9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052C0728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" w15:restartNumberingAfterBreak="0">
    <w:nsid w:val="08500587"/>
    <w:multiLevelType w:val="hybridMultilevel"/>
    <w:tmpl w:val="7F2C369E"/>
    <w:lvl w:ilvl="0" w:tplc="7BD2A68E">
      <w:start w:val="1"/>
      <w:numFmt w:val="upperRoman"/>
      <w:lvlText w:val="%1 -"/>
      <w:lvlJc w:val="left"/>
      <w:pPr>
        <w:ind w:left="360" w:hanging="360"/>
      </w:pPr>
      <w:rPr>
        <w:rFonts w:cs="Times New Roman" w:hint="default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4" w15:restartNumberingAfterBreak="0">
    <w:nsid w:val="0A550AC9"/>
    <w:multiLevelType w:val="hybridMultilevel"/>
    <w:tmpl w:val="C8A4CD7E"/>
    <w:lvl w:ilvl="0" w:tplc="F35820A8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5" w15:restartNumberingAfterBreak="0">
    <w:nsid w:val="0B7C3BC2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6" w15:restartNumberingAfterBreak="0">
    <w:nsid w:val="0DAF142E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1135"/>
        </w:tabs>
        <w:ind w:left="1135"/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7" w15:restartNumberingAfterBreak="0">
    <w:nsid w:val="0F1F4C84"/>
    <w:multiLevelType w:val="hybridMultilevel"/>
    <w:tmpl w:val="5C5A3B16"/>
    <w:lvl w:ilvl="0" w:tplc="2BB29794">
      <w:start w:val="10"/>
      <w:numFmt w:val="decimal"/>
      <w:lvlText w:val="Art. %1."/>
      <w:lvlJc w:val="left"/>
      <w:pPr>
        <w:tabs>
          <w:tab w:val="num" w:pos="737"/>
        </w:tabs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7BD2A68E">
      <w:start w:val="1"/>
      <w:numFmt w:val="upperRoman"/>
      <w:lvlText w:val="%2 -"/>
      <w:lvlJc w:val="left"/>
      <w:pPr>
        <w:tabs>
          <w:tab w:val="num" w:pos="540"/>
        </w:tabs>
        <w:ind w:left="540"/>
      </w:pPr>
      <w:rPr>
        <w:rFonts w:cs="Times New Roman" w:hint="default"/>
        <w:sz w:val="24"/>
        <w:szCs w:val="24"/>
      </w:rPr>
    </w:lvl>
    <w:lvl w:ilvl="2" w:tplc="0FA44C56">
      <w:start w:val="1"/>
      <w:numFmt w:val="ordinal"/>
      <w:lvlText w:val="§%3"/>
      <w:lvlJc w:val="left"/>
      <w:pPr>
        <w:tabs>
          <w:tab w:val="num" w:pos="0"/>
        </w:tabs>
      </w:pPr>
      <w:rPr>
        <w:rFonts w:cs="Times New Roman" w:hint="default"/>
        <w:color w:val="auto"/>
        <w:sz w:val="24"/>
        <w:szCs w:val="24"/>
      </w:rPr>
    </w:lvl>
    <w:lvl w:ilvl="3" w:tplc="43603EDE">
      <w:start w:val="1"/>
      <w:numFmt w:val="ordinal"/>
      <w:lvlText w:val="§%4"/>
      <w:lvlJc w:val="left"/>
      <w:pPr>
        <w:tabs>
          <w:tab w:val="num" w:pos="2520"/>
        </w:tabs>
        <w:ind w:left="2520"/>
      </w:pPr>
      <w:rPr>
        <w:rFonts w:cs="Times New Roman" w:hint="default"/>
        <w:color w:val="auto"/>
        <w:sz w:val="24"/>
        <w:szCs w:val="24"/>
      </w:rPr>
    </w:lvl>
    <w:lvl w:ilvl="4" w:tplc="811EBF5E">
      <w:start w:val="1"/>
      <w:numFmt w:val="lowerLetter"/>
      <w:lvlText w:val="%5."/>
      <w:lvlJc w:val="left"/>
      <w:pPr>
        <w:tabs>
          <w:tab w:val="num" w:pos="3600"/>
        </w:tabs>
        <w:ind w:left="3572" w:hanging="332"/>
      </w:pPr>
      <w:rPr>
        <w:rFonts w:cs="Times New Roman" w:hint="default"/>
        <w:sz w:val="24"/>
        <w:szCs w:val="24"/>
      </w:rPr>
    </w:lvl>
    <w:lvl w:ilvl="5" w:tplc="A1ACC068">
      <w:start w:val="1"/>
      <w:numFmt w:val="upperRoman"/>
      <w:lvlText w:val="%6 -"/>
      <w:lvlJc w:val="left"/>
      <w:pPr>
        <w:tabs>
          <w:tab w:val="num" w:pos="4320"/>
        </w:tabs>
        <w:ind w:left="4320" w:hanging="180"/>
      </w:pPr>
      <w:rPr>
        <w:rFonts w:cs="Times New Roman" w:hint="default"/>
        <w:sz w:val="24"/>
        <w:szCs w:val="24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8" w15:restartNumberingAfterBreak="0">
    <w:nsid w:val="147E5526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9" w15:restartNumberingAfterBreak="0">
    <w:nsid w:val="15756B79"/>
    <w:multiLevelType w:val="hybridMultilevel"/>
    <w:tmpl w:val="959877CC"/>
    <w:lvl w:ilvl="0" w:tplc="0FA44C56">
      <w:start w:val="1"/>
      <w:numFmt w:val="ordinal"/>
      <w:lvlText w:val="§%1"/>
      <w:lvlJc w:val="left"/>
      <w:pPr>
        <w:ind w:left="720" w:hanging="360"/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 w15:restartNumberingAfterBreak="0">
    <w:nsid w:val="1ADD54FC"/>
    <w:multiLevelType w:val="multilevel"/>
    <w:tmpl w:val="4A9806EC"/>
    <w:lvl w:ilvl="0">
      <w:start w:val="1"/>
      <w:numFmt w:val="decimal"/>
      <w:pStyle w:val="MMTopic1"/>
      <w:suff w:val="space"/>
      <w:lvlText w:val="%1"/>
      <w:lvlJc w:val="left"/>
      <w:pPr>
        <w:tabs>
          <w:tab w:val="num" w:pos="360"/>
        </w:tabs>
      </w:pPr>
      <w:rPr>
        <w:rFonts w:cs="Times New Roman"/>
      </w:rPr>
    </w:lvl>
    <w:lvl w:ilvl="1">
      <w:start w:val="1"/>
      <w:numFmt w:val="decimal"/>
      <w:pStyle w:val="MMTopic2"/>
      <w:suff w:val="space"/>
      <w:lvlText w:val="%1.%2"/>
      <w:lvlJc w:val="left"/>
      <w:pPr>
        <w:tabs>
          <w:tab w:val="num" w:pos="720"/>
        </w:tabs>
      </w:pPr>
      <w:rPr>
        <w:rFonts w:cs="Times New Roman"/>
      </w:rPr>
    </w:lvl>
    <w:lvl w:ilvl="2">
      <w:start w:val="1"/>
      <w:numFmt w:val="decimal"/>
      <w:pStyle w:val="MMTopic3"/>
      <w:suff w:val="space"/>
      <w:lvlText w:val="%1.%2.%3"/>
      <w:lvlJc w:val="left"/>
      <w:pPr>
        <w:tabs>
          <w:tab w:val="num" w:pos="1080"/>
        </w:tabs>
      </w:pPr>
      <w:rPr>
        <w:rFonts w:cs="Times New Roman"/>
      </w:rPr>
    </w:lvl>
    <w:lvl w:ilvl="3">
      <w:start w:val="1"/>
      <w:numFmt w:val="decimal"/>
      <w:pStyle w:val="MMTopic4"/>
      <w:suff w:val="space"/>
      <w:lvlText w:val="%1.%2.%3.%4"/>
      <w:lvlJc w:val="left"/>
      <w:pPr>
        <w:tabs>
          <w:tab w:val="num" w:pos="1440"/>
        </w:tabs>
      </w:pPr>
      <w:rPr>
        <w:rFonts w:cs="Times New Roman"/>
      </w:rPr>
    </w:lvl>
    <w:lvl w:ilvl="4">
      <w:start w:val="1"/>
      <w:numFmt w:val="decimal"/>
      <w:pStyle w:val="MMTopic5"/>
      <w:suff w:val="space"/>
      <w:lvlText w:val="%1.%2.%3.%4.%5"/>
      <w:lvlJc w:val="left"/>
      <w:pPr>
        <w:tabs>
          <w:tab w:val="num" w:pos="1800"/>
        </w:tabs>
      </w:pPr>
      <w:rPr>
        <w:rFonts w:cs="Times New Roman"/>
      </w:rPr>
    </w:lvl>
    <w:lvl w:ilvl="5">
      <w:start w:val="1"/>
      <w:numFmt w:val="decimal"/>
      <w:pStyle w:val="MMTopic6"/>
      <w:suff w:val="space"/>
      <w:lvlText w:val="%1.%2.%3.%4.%5.%6"/>
      <w:lvlJc w:val="left"/>
      <w:pPr>
        <w:tabs>
          <w:tab w:val="num" w:pos="2160"/>
        </w:tabs>
      </w:pPr>
      <w:rPr>
        <w:rFonts w:cs="Times New Roman"/>
      </w:rPr>
    </w:lvl>
    <w:lvl w:ilvl="6">
      <w:start w:val="1"/>
      <w:numFmt w:val="decimal"/>
      <w:pStyle w:val="MMTopic7"/>
      <w:suff w:val="space"/>
      <w:lvlText w:val="%1.%2.%3.%4.%5.%6.%7"/>
      <w:lvlJc w:val="left"/>
      <w:pPr>
        <w:tabs>
          <w:tab w:val="num" w:pos="2520"/>
        </w:tabs>
      </w:pPr>
      <w:rPr>
        <w:rFonts w:cs="Times New Roman"/>
      </w:rPr>
    </w:lvl>
    <w:lvl w:ilvl="7">
      <w:start w:val="1"/>
      <w:numFmt w:val="decimal"/>
      <w:pStyle w:val="MMTopic8"/>
      <w:suff w:val="space"/>
      <w:lvlText w:val="%1.%2.%3.%4.%5.%6.%7.%8"/>
      <w:lvlJc w:val="left"/>
      <w:pPr>
        <w:tabs>
          <w:tab w:val="num" w:pos="2880"/>
        </w:tabs>
      </w:pPr>
      <w:rPr>
        <w:rFonts w:cs="Times New Roman"/>
      </w:rPr>
    </w:lvl>
    <w:lvl w:ilvl="8">
      <w:start w:val="1"/>
      <w:numFmt w:val="decimal"/>
      <w:pStyle w:val="MMTopic9"/>
      <w:suff w:val="space"/>
      <w:lvlText w:val="%1.%2.%3.%4.%5.%6.%7.%8.%9"/>
      <w:lvlJc w:val="left"/>
      <w:pPr>
        <w:tabs>
          <w:tab w:val="num" w:pos="3240"/>
        </w:tabs>
      </w:pPr>
      <w:rPr>
        <w:rFonts w:cs="Times New Roman"/>
      </w:rPr>
    </w:lvl>
  </w:abstractNum>
  <w:abstractNum w:abstractNumId="11" w15:restartNumberingAfterBreak="0">
    <w:nsid w:val="1DEB6784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12" w15:restartNumberingAfterBreak="0">
    <w:nsid w:val="21E048EC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13" w15:restartNumberingAfterBreak="0">
    <w:nsid w:val="24FF014D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25090D4D"/>
    <w:multiLevelType w:val="hybridMultilevel"/>
    <w:tmpl w:val="3334C3E2"/>
    <w:lvl w:ilvl="0" w:tplc="A1ACC068">
      <w:start w:val="1"/>
      <w:numFmt w:val="upperRoman"/>
      <w:lvlText w:val="%1 -"/>
      <w:lvlJc w:val="left"/>
      <w:pPr>
        <w:ind w:left="691" w:hanging="360"/>
      </w:pPr>
      <w:rPr>
        <w:rFonts w:cs="Times New Roman" w:hint="default"/>
        <w:sz w:val="24"/>
        <w:szCs w:val="24"/>
      </w:rPr>
    </w:lvl>
    <w:lvl w:ilvl="1" w:tplc="04160017">
      <w:start w:val="1"/>
      <w:numFmt w:val="lowerLetter"/>
      <w:lvlText w:val="%2)"/>
      <w:lvlJc w:val="left"/>
      <w:pPr>
        <w:ind w:left="1411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31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51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571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291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11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31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51" w:hanging="180"/>
      </w:pPr>
      <w:rPr>
        <w:rFonts w:cs="Times New Roman"/>
      </w:rPr>
    </w:lvl>
  </w:abstractNum>
  <w:abstractNum w:abstractNumId="15" w15:restartNumberingAfterBreak="0">
    <w:nsid w:val="27BB6E01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16" w15:restartNumberingAfterBreak="0">
    <w:nsid w:val="29B113E7"/>
    <w:multiLevelType w:val="hybridMultilevel"/>
    <w:tmpl w:val="931653B2"/>
    <w:lvl w:ilvl="0" w:tplc="A0545E80">
      <w:start w:val="1"/>
      <w:numFmt w:val="upperRoman"/>
      <w:lvlText w:val="%1 - "/>
      <w:lvlJc w:val="left"/>
      <w:pPr>
        <w:tabs>
          <w:tab w:val="num" w:pos="1817"/>
        </w:tabs>
        <w:ind w:left="1080"/>
      </w:pPr>
      <w:rPr>
        <w:rFonts w:cs="Times New Roman" w:hint="default"/>
        <w:b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7" w15:restartNumberingAfterBreak="0">
    <w:nsid w:val="2C962693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18" w15:restartNumberingAfterBreak="0">
    <w:nsid w:val="31C33108"/>
    <w:multiLevelType w:val="hybridMultilevel"/>
    <w:tmpl w:val="74181B34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9" w15:restartNumberingAfterBreak="0">
    <w:nsid w:val="320B169E"/>
    <w:multiLevelType w:val="hybridMultilevel"/>
    <w:tmpl w:val="BF3E683A"/>
    <w:lvl w:ilvl="0" w:tplc="13FCF7F0">
      <w:start w:val="10"/>
      <w:numFmt w:val="decimal"/>
      <w:lvlText w:val="Art. %1."/>
      <w:lvlJc w:val="left"/>
      <w:pPr>
        <w:tabs>
          <w:tab w:val="num" w:pos="2865"/>
        </w:tabs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0" w15:restartNumberingAfterBreak="0">
    <w:nsid w:val="35693783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1" w15:restartNumberingAfterBreak="0">
    <w:nsid w:val="3F710BDC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2" w15:restartNumberingAfterBreak="0">
    <w:nsid w:val="42D403AC"/>
    <w:multiLevelType w:val="multilevel"/>
    <w:tmpl w:val="7E80910E"/>
    <w:styleLink w:val="Estilo1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3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4"/>
      <w:numFmt w:val="decimal"/>
      <w:lvlText w:val="%3%54.6.2..1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23" w15:restartNumberingAfterBreak="0">
    <w:nsid w:val="43100DBC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305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528"/>
        </w:tabs>
        <w:ind w:left="4528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  <w:rPr>
        <w:rFonts w:cs="Times New Roman"/>
      </w:rPr>
    </w:lvl>
  </w:abstractNum>
  <w:abstractNum w:abstractNumId="24" w15:restartNumberingAfterBreak="0">
    <w:nsid w:val="45313957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305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2008"/>
        </w:tabs>
        <w:ind w:left="2008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728"/>
        </w:tabs>
        <w:ind w:left="2728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448"/>
        </w:tabs>
        <w:ind w:left="3448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528"/>
        </w:tabs>
        <w:ind w:left="4528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888"/>
        </w:tabs>
        <w:ind w:left="4888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608"/>
        </w:tabs>
        <w:ind w:left="5608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328"/>
        </w:tabs>
        <w:ind w:left="6328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7048"/>
        </w:tabs>
        <w:ind w:left="7048" w:hanging="180"/>
      </w:pPr>
      <w:rPr>
        <w:rFonts w:cs="Times New Roman"/>
      </w:rPr>
    </w:lvl>
  </w:abstractNum>
  <w:abstractNum w:abstractNumId="25" w15:restartNumberingAfterBreak="0">
    <w:nsid w:val="47CA419E"/>
    <w:multiLevelType w:val="hybridMultilevel"/>
    <w:tmpl w:val="2646D83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26" w15:restartNumberingAfterBreak="0">
    <w:nsid w:val="4B02521E"/>
    <w:multiLevelType w:val="hybridMultilevel"/>
    <w:tmpl w:val="33F4752C"/>
    <w:styleLink w:val="Listaatual11"/>
    <w:lvl w:ilvl="0" w:tplc="18E8BC96">
      <w:start w:val="1"/>
      <w:numFmt w:val="upperRoman"/>
      <w:lvlText w:val="CAPÍTULO %1"/>
      <w:lvlJc w:val="left"/>
      <w:pPr>
        <w:tabs>
          <w:tab w:val="num" w:pos="0"/>
        </w:tabs>
        <w:ind w:firstLine="357"/>
      </w:pPr>
      <w:rPr>
        <w:rFonts w:ascii="Times New Roman" w:hAnsi="Times New Roman" w:cs="Times New Roman" w:hint="default"/>
        <w:b/>
        <w:i w:val="0"/>
        <w:caps/>
        <w:sz w:val="24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7" w15:restartNumberingAfterBreak="0">
    <w:nsid w:val="50FC0E5A"/>
    <w:multiLevelType w:val="hybridMultilevel"/>
    <w:tmpl w:val="BCD83666"/>
    <w:lvl w:ilvl="0" w:tplc="7BD2A68E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28" w15:restartNumberingAfterBreak="0">
    <w:nsid w:val="521A7181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29" w15:restartNumberingAfterBreak="0">
    <w:nsid w:val="54B15411"/>
    <w:multiLevelType w:val="hybridMultilevel"/>
    <w:tmpl w:val="A4421C22"/>
    <w:lvl w:ilvl="0" w:tplc="04160013">
      <w:start w:val="1"/>
      <w:numFmt w:val="upperRoman"/>
      <w:lvlText w:val="%1."/>
      <w:lvlJc w:val="right"/>
      <w:pPr>
        <w:ind w:left="720" w:hanging="360"/>
      </w:pPr>
      <w:rPr>
        <w:rFonts w:cs="Times New Roman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0" w15:restartNumberingAfterBreak="0">
    <w:nsid w:val="567A5EAC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31" w15:restartNumberingAfterBreak="0">
    <w:nsid w:val="58910907"/>
    <w:multiLevelType w:val="multilevel"/>
    <w:tmpl w:val="461CF234"/>
    <w:lvl w:ilvl="0">
      <w:start w:val="1"/>
      <w:numFmt w:val="decimal"/>
      <w:lvlText w:val="%1."/>
      <w:lvlJc w:val="left"/>
      <w:pPr>
        <w:tabs>
          <w:tab w:val="num" w:pos="1163"/>
        </w:tabs>
      </w:pPr>
      <w:rPr>
        <w:rFonts w:ascii="Times New Roman" w:hAnsi="Times New Roman" w:cs="Times New Roman" w:hint="default"/>
        <w:b w:val="0"/>
        <w:strike w:val="0"/>
        <w:color w:val="auto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2" w15:restartNumberingAfterBreak="0">
    <w:nsid w:val="603C354F"/>
    <w:multiLevelType w:val="hybridMultilevel"/>
    <w:tmpl w:val="76286C94"/>
    <w:lvl w:ilvl="0" w:tplc="E4FAE494">
      <w:start w:val="11"/>
      <w:numFmt w:val="decimal"/>
      <w:lvlText w:val="Art. %1."/>
      <w:lvlJc w:val="left"/>
      <w:pPr>
        <w:tabs>
          <w:tab w:val="num" w:pos="2865"/>
        </w:tabs>
      </w:pPr>
      <w:rPr>
        <w:rFonts w:ascii="Arial" w:hAnsi="Arial" w:cs="Arial" w:hint="default"/>
        <w:b w:val="0"/>
        <w:sz w:val="20"/>
        <w:szCs w:val="20"/>
      </w:rPr>
    </w:lvl>
    <w:lvl w:ilvl="1" w:tplc="7BD2A68E">
      <w:start w:val="1"/>
      <w:numFmt w:val="upperRoman"/>
      <w:lvlText w:val="%2 -"/>
      <w:lvlJc w:val="left"/>
      <w:pPr>
        <w:tabs>
          <w:tab w:val="num" w:pos="1675"/>
        </w:tabs>
        <w:ind w:left="1675"/>
      </w:pPr>
      <w:rPr>
        <w:rFonts w:cs="Times New Roman" w:hint="default"/>
        <w:sz w:val="24"/>
        <w:szCs w:val="24"/>
      </w:rPr>
    </w:lvl>
    <w:lvl w:ilvl="2" w:tplc="0FA44C56">
      <w:start w:val="1"/>
      <w:numFmt w:val="ordinal"/>
      <w:lvlText w:val="§%3"/>
      <w:lvlJc w:val="left"/>
      <w:pPr>
        <w:tabs>
          <w:tab w:val="num" w:pos="1135"/>
        </w:tabs>
      </w:pPr>
      <w:rPr>
        <w:rFonts w:cs="Times New Roman" w:hint="default"/>
        <w:color w:val="auto"/>
        <w:sz w:val="24"/>
        <w:szCs w:val="24"/>
      </w:rPr>
    </w:lvl>
    <w:lvl w:ilvl="3" w:tplc="43603EDE">
      <w:start w:val="1"/>
      <w:numFmt w:val="ordinal"/>
      <w:lvlText w:val="§%4"/>
      <w:lvlJc w:val="left"/>
      <w:pPr>
        <w:tabs>
          <w:tab w:val="num" w:pos="3655"/>
        </w:tabs>
        <w:ind w:left="3655"/>
      </w:pPr>
      <w:rPr>
        <w:rFonts w:cs="Times New Roman" w:hint="default"/>
        <w:color w:val="auto"/>
        <w:sz w:val="24"/>
        <w:szCs w:val="24"/>
      </w:rPr>
    </w:lvl>
    <w:lvl w:ilvl="4" w:tplc="811EBF5E">
      <w:start w:val="1"/>
      <w:numFmt w:val="lowerLetter"/>
      <w:lvlText w:val="%5."/>
      <w:lvlJc w:val="left"/>
      <w:pPr>
        <w:tabs>
          <w:tab w:val="num" w:pos="4735"/>
        </w:tabs>
        <w:ind w:left="4707" w:hanging="332"/>
      </w:pPr>
      <w:rPr>
        <w:rFonts w:cs="Times New Roman" w:hint="default"/>
        <w:sz w:val="24"/>
        <w:szCs w:val="24"/>
      </w:rPr>
    </w:lvl>
    <w:lvl w:ilvl="5" w:tplc="0416001B">
      <w:start w:val="1"/>
      <w:numFmt w:val="lowerRoman"/>
      <w:lvlText w:val="%6."/>
      <w:lvlJc w:val="right"/>
      <w:pPr>
        <w:tabs>
          <w:tab w:val="num" w:pos="5455"/>
        </w:tabs>
        <w:ind w:left="5455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6175"/>
        </w:tabs>
        <w:ind w:left="6175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6895"/>
        </w:tabs>
        <w:ind w:left="6895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7615"/>
        </w:tabs>
        <w:ind w:left="7615" w:hanging="180"/>
      </w:pPr>
      <w:rPr>
        <w:rFonts w:cs="Times New Roman"/>
      </w:rPr>
    </w:lvl>
  </w:abstractNum>
  <w:abstractNum w:abstractNumId="33" w15:restartNumberingAfterBreak="0">
    <w:nsid w:val="6200594E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34" w15:restartNumberingAfterBreak="0">
    <w:nsid w:val="67003806"/>
    <w:multiLevelType w:val="hybridMultilevel"/>
    <w:tmpl w:val="931653B2"/>
    <w:lvl w:ilvl="0" w:tplc="A0545E80">
      <w:start w:val="1"/>
      <w:numFmt w:val="upperRoman"/>
      <w:lvlText w:val="%1 - "/>
      <w:lvlJc w:val="left"/>
      <w:pPr>
        <w:tabs>
          <w:tab w:val="num" w:pos="1817"/>
        </w:tabs>
        <w:ind w:left="1080"/>
      </w:pPr>
      <w:rPr>
        <w:rFonts w:cs="Times New Roman" w:hint="default"/>
        <w:b w:val="0"/>
        <w:color w:val="auto"/>
        <w:sz w:val="24"/>
        <w:szCs w:val="24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35" w15:restartNumberingAfterBreak="0">
    <w:nsid w:val="673F27EC"/>
    <w:multiLevelType w:val="multilevel"/>
    <w:tmpl w:val="15F0EFD8"/>
    <w:styleLink w:val="Estilo11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>
      <w:start w:val="1"/>
      <w:numFmt w:val="decimal"/>
      <w:lvlRestart w:val="0"/>
      <w:isLgl/>
      <w:lvlText w:val="%1.%2."/>
      <w:lvlJc w:val="left"/>
      <w:pPr>
        <w:tabs>
          <w:tab w:val="num" w:pos="792"/>
        </w:tabs>
        <w:ind w:left="792" w:hanging="432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cs="Times New Roman" w:hint="default"/>
      </w:rPr>
    </w:lvl>
    <w:lvl w:ilvl="4">
      <w:start w:val="4"/>
      <w:numFmt w:val="decimal"/>
      <w:lvlText w:val="%3%54.6.2..1."/>
      <w:lvlJc w:val="left"/>
      <w:pPr>
        <w:tabs>
          <w:tab w:val="num" w:pos="2520"/>
        </w:tabs>
        <w:ind w:left="2232" w:hanging="792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cs="Times New Roman" w:hint="default"/>
      </w:rPr>
    </w:lvl>
  </w:abstractNum>
  <w:abstractNum w:abstractNumId="36" w15:restartNumberingAfterBreak="0">
    <w:nsid w:val="72946A0E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37" w15:restartNumberingAfterBreak="0">
    <w:nsid w:val="739F661C"/>
    <w:multiLevelType w:val="multilevel"/>
    <w:tmpl w:val="20026868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cs="Times New Roman"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cs="Times New Roman"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cs="Times New Roman"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cs="Times New Roman"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cs="Times New Roman"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cs="Times New Roman"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cs="Times New Roman" w:hint="default"/>
      </w:rPr>
    </w:lvl>
  </w:abstractNum>
  <w:abstractNum w:abstractNumId="38" w15:restartNumberingAfterBreak="0">
    <w:nsid w:val="75B74E56"/>
    <w:multiLevelType w:val="hybridMultilevel"/>
    <w:tmpl w:val="00006624"/>
    <w:lvl w:ilvl="0" w:tplc="0FA44C56">
      <w:start w:val="1"/>
      <w:numFmt w:val="ordinal"/>
      <w:lvlText w:val="§%1"/>
      <w:lvlJc w:val="left"/>
      <w:pPr>
        <w:tabs>
          <w:tab w:val="num" w:pos="1163"/>
        </w:tabs>
      </w:pPr>
      <w:rPr>
        <w:rFonts w:cs="Times New Roman" w:hint="default"/>
        <w:b w:val="0"/>
        <w:strike w:val="0"/>
        <w:color w:val="auto"/>
        <w:sz w:val="24"/>
        <w:szCs w:val="24"/>
      </w:rPr>
    </w:lvl>
    <w:lvl w:ilvl="1" w:tplc="04160019">
      <w:start w:val="1"/>
      <w:numFmt w:val="lowerLetter"/>
      <w:lvlText w:val="%2."/>
      <w:lvlJc w:val="left"/>
      <w:pPr>
        <w:tabs>
          <w:tab w:val="num" w:pos="1866"/>
        </w:tabs>
        <w:ind w:left="1866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586"/>
        </w:tabs>
        <w:ind w:left="2586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3306"/>
        </w:tabs>
        <w:ind w:left="3306" w:hanging="360"/>
      </w:pPr>
      <w:rPr>
        <w:rFonts w:cs="Times New Roman"/>
      </w:rPr>
    </w:lvl>
    <w:lvl w:ilvl="4" w:tplc="2F0C241C">
      <w:start w:val="1"/>
      <w:numFmt w:val="upperRoman"/>
      <w:lvlText w:val="%5-"/>
      <w:lvlJc w:val="left"/>
      <w:pPr>
        <w:tabs>
          <w:tab w:val="num" w:pos="4386"/>
        </w:tabs>
        <w:ind w:left="4386" w:hanging="720"/>
      </w:pPr>
      <w:rPr>
        <w:rFonts w:cs="Times New Roman" w:hint="default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746"/>
        </w:tabs>
        <w:ind w:left="4746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466"/>
        </w:tabs>
        <w:ind w:left="5466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6186"/>
        </w:tabs>
        <w:ind w:left="6186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906"/>
        </w:tabs>
        <w:ind w:left="6906" w:hanging="180"/>
      </w:pPr>
      <w:rPr>
        <w:rFonts w:cs="Times New Roman"/>
      </w:rPr>
    </w:lvl>
  </w:abstractNum>
  <w:abstractNum w:abstractNumId="39" w15:restartNumberingAfterBreak="0">
    <w:nsid w:val="7AF67D0C"/>
    <w:multiLevelType w:val="hybridMultilevel"/>
    <w:tmpl w:val="B2F8774A"/>
    <w:lvl w:ilvl="0" w:tplc="5B4E31D6">
      <w:start w:val="10"/>
      <w:numFmt w:val="decimal"/>
      <w:lvlText w:val="Art. %1."/>
      <w:lvlJc w:val="left"/>
      <w:pPr>
        <w:tabs>
          <w:tab w:val="num" w:pos="737"/>
        </w:tabs>
      </w:pPr>
      <w:rPr>
        <w:rFonts w:ascii="Times New Roman" w:hAnsi="Times New Roman" w:cs="Times New Roman" w:hint="default"/>
        <w:b w:val="0"/>
        <w:sz w:val="24"/>
        <w:szCs w:val="24"/>
      </w:rPr>
    </w:lvl>
    <w:lvl w:ilvl="1" w:tplc="A0545E80">
      <w:start w:val="1"/>
      <w:numFmt w:val="upperRoman"/>
      <w:lvlText w:val="%2 - "/>
      <w:lvlJc w:val="left"/>
      <w:pPr>
        <w:tabs>
          <w:tab w:val="num" w:pos="1817"/>
        </w:tabs>
        <w:ind w:left="1080"/>
      </w:pPr>
      <w:rPr>
        <w:rFonts w:cs="Times New Roman" w:hint="default"/>
        <w:b w:val="0"/>
        <w:color w:val="auto"/>
        <w:sz w:val="24"/>
        <w:szCs w:val="24"/>
      </w:rPr>
    </w:lvl>
    <w:lvl w:ilvl="2" w:tplc="435A6602">
      <w:start w:val="1"/>
      <w:numFmt w:val="ordinal"/>
      <w:lvlText w:val="§%3"/>
      <w:lvlJc w:val="left"/>
      <w:pPr>
        <w:tabs>
          <w:tab w:val="num" w:pos="2717"/>
        </w:tabs>
        <w:ind w:left="1980"/>
      </w:pPr>
      <w:rPr>
        <w:rFonts w:cs="Times New Roman" w:hint="default"/>
        <w:b w:val="0"/>
        <w:sz w:val="24"/>
        <w:szCs w:val="24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0" w15:restartNumberingAfterBreak="0">
    <w:nsid w:val="7B122250"/>
    <w:multiLevelType w:val="hybridMultilevel"/>
    <w:tmpl w:val="F4702A5C"/>
    <w:lvl w:ilvl="0" w:tplc="4628B7E2">
      <w:start w:val="1"/>
      <w:numFmt w:val="ordinal"/>
      <w:lvlText w:val="Art.%1"/>
      <w:lvlJc w:val="left"/>
      <w:pPr>
        <w:tabs>
          <w:tab w:val="num" w:pos="1021"/>
        </w:tabs>
        <w:ind w:left="284"/>
      </w:pPr>
      <w:rPr>
        <w:rFonts w:ascii="Times New Roman" w:hAnsi="Times New Roman" w:cs="Times New Roman" w:hint="default"/>
        <w:sz w:val="24"/>
      </w:rPr>
    </w:lvl>
    <w:lvl w:ilvl="1" w:tplc="668EE74A">
      <w:start w:val="10"/>
      <w:numFmt w:val="decimal"/>
      <w:lvlText w:val="Art. %2"/>
      <w:lvlJc w:val="left"/>
      <w:pPr>
        <w:tabs>
          <w:tab w:val="num" w:pos="851"/>
        </w:tabs>
      </w:pPr>
      <w:rPr>
        <w:rFonts w:cs="Times New Roman" w:hint="default"/>
        <w:b w:val="0"/>
        <w:sz w:val="24"/>
      </w:rPr>
    </w:lvl>
    <w:lvl w:ilvl="2" w:tplc="9F3433AE">
      <w:start w:val="1"/>
      <w:numFmt w:val="lowerLetter"/>
      <w:lvlText w:val="%3)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sz w:val="24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1" w15:restartNumberingAfterBreak="0">
    <w:nsid w:val="7B135F00"/>
    <w:multiLevelType w:val="hybridMultilevel"/>
    <w:tmpl w:val="CCA09302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2" w15:restartNumberingAfterBreak="0">
    <w:nsid w:val="7C3C6270"/>
    <w:multiLevelType w:val="hybridMultilevel"/>
    <w:tmpl w:val="F15C1EC4"/>
    <w:lvl w:ilvl="0" w:tplc="43708BD4">
      <w:start w:val="1"/>
      <w:numFmt w:val="upperRoman"/>
      <w:lvlText w:val="%1 -"/>
      <w:lvlJc w:val="left"/>
      <w:pPr>
        <w:tabs>
          <w:tab w:val="num" w:pos="0"/>
        </w:tabs>
      </w:pPr>
      <w:rPr>
        <w:rFonts w:cs="Times New Roman" w:hint="default"/>
        <w:b w:val="0"/>
      </w:rPr>
    </w:lvl>
    <w:lvl w:ilvl="1" w:tplc="0416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6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6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6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6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6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6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6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"/>
  </w:num>
  <w:num w:numId="2">
    <w:abstractNumId w:val="22"/>
  </w:num>
  <w:num w:numId="3">
    <w:abstractNumId w:val="35"/>
  </w:num>
  <w:num w:numId="4">
    <w:abstractNumId w:val="26"/>
  </w:num>
  <w:num w:numId="5">
    <w:abstractNumId w:val="12"/>
  </w:num>
  <w:num w:numId="6">
    <w:abstractNumId w:val="32"/>
  </w:num>
  <w:num w:numId="7">
    <w:abstractNumId w:val="40"/>
  </w:num>
  <w:num w:numId="8">
    <w:abstractNumId w:val="10"/>
  </w:num>
  <w:num w:numId="9">
    <w:abstractNumId w:val="6"/>
  </w:num>
  <w:num w:numId="10">
    <w:abstractNumId w:val="39"/>
  </w:num>
  <w:num w:numId="11">
    <w:abstractNumId w:val="4"/>
  </w:num>
  <w:num w:numId="12">
    <w:abstractNumId w:val="14"/>
  </w:num>
  <w:num w:numId="13">
    <w:abstractNumId w:val="7"/>
  </w:num>
  <w:num w:numId="14">
    <w:abstractNumId w:val="13"/>
  </w:num>
  <w:num w:numId="15">
    <w:abstractNumId w:val="28"/>
  </w:num>
  <w:num w:numId="16">
    <w:abstractNumId w:val="41"/>
  </w:num>
  <w:num w:numId="17">
    <w:abstractNumId w:val="15"/>
  </w:num>
  <w:num w:numId="18">
    <w:abstractNumId w:val="20"/>
  </w:num>
  <w:num w:numId="19">
    <w:abstractNumId w:val="11"/>
  </w:num>
  <w:num w:numId="20">
    <w:abstractNumId w:val="33"/>
  </w:num>
  <w:num w:numId="21">
    <w:abstractNumId w:val="23"/>
  </w:num>
  <w:num w:numId="22">
    <w:abstractNumId w:val="17"/>
  </w:num>
  <w:num w:numId="23">
    <w:abstractNumId w:val="16"/>
  </w:num>
  <w:num w:numId="24">
    <w:abstractNumId w:val="34"/>
  </w:num>
  <w:num w:numId="25">
    <w:abstractNumId w:val="5"/>
  </w:num>
  <w:num w:numId="26">
    <w:abstractNumId w:val="38"/>
  </w:num>
  <w:num w:numId="27">
    <w:abstractNumId w:val="0"/>
  </w:num>
  <w:num w:numId="28">
    <w:abstractNumId w:val="30"/>
  </w:num>
  <w:num w:numId="29">
    <w:abstractNumId w:val="42"/>
  </w:num>
  <w:num w:numId="30">
    <w:abstractNumId w:val="37"/>
  </w:num>
  <w:num w:numId="31">
    <w:abstractNumId w:val="25"/>
  </w:num>
  <w:num w:numId="32">
    <w:abstractNumId w:val="31"/>
  </w:num>
  <w:num w:numId="33">
    <w:abstractNumId w:val="19"/>
  </w:num>
  <w:num w:numId="34">
    <w:abstractNumId w:val="9"/>
  </w:num>
  <w:num w:numId="35">
    <w:abstractNumId w:val="2"/>
  </w:num>
  <w:num w:numId="36">
    <w:abstractNumId w:val="21"/>
  </w:num>
  <w:num w:numId="37">
    <w:abstractNumId w:val="36"/>
  </w:num>
  <w:num w:numId="38">
    <w:abstractNumId w:val="8"/>
  </w:num>
  <w:num w:numId="39">
    <w:abstractNumId w:val="24"/>
  </w:num>
  <w:num w:numId="40">
    <w:abstractNumId w:val="27"/>
  </w:num>
  <w:num w:numId="41">
    <w:abstractNumId w:val="29"/>
  </w:num>
  <w:num w:numId="42">
    <w:abstractNumId w:val="18"/>
  </w:num>
  <w:num w:numId="43">
    <w:abstractNumId w:val="3"/>
  </w:num>
  <w:num w:numId="44">
    <w:abstractNumId w:val="3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9"/>
  <w:hyphenationZone w:val="425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0"/>
  </w:compat>
  <w:rsids>
    <w:rsidRoot w:val="00D32DF9"/>
    <w:rsid w:val="0000088F"/>
    <w:rsid w:val="00000E1B"/>
    <w:rsid w:val="00002AA6"/>
    <w:rsid w:val="00002BA2"/>
    <w:rsid w:val="00003567"/>
    <w:rsid w:val="00003D28"/>
    <w:rsid w:val="000048F8"/>
    <w:rsid w:val="00004B59"/>
    <w:rsid w:val="00006168"/>
    <w:rsid w:val="00006724"/>
    <w:rsid w:val="00007139"/>
    <w:rsid w:val="0001050A"/>
    <w:rsid w:val="000107CD"/>
    <w:rsid w:val="0001089E"/>
    <w:rsid w:val="000115B4"/>
    <w:rsid w:val="00011DF0"/>
    <w:rsid w:val="00011F59"/>
    <w:rsid w:val="000135A0"/>
    <w:rsid w:val="0001424B"/>
    <w:rsid w:val="0001510F"/>
    <w:rsid w:val="000166B2"/>
    <w:rsid w:val="00017896"/>
    <w:rsid w:val="00017F97"/>
    <w:rsid w:val="00021456"/>
    <w:rsid w:val="0002210C"/>
    <w:rsid w:val="000228AC"/>
    <w:rsid w:val="000230EB"/>
    <w:rsid w:val="00024322"/>
    <w:rsid w:val="00024A02"/>
    <w:rsid w:val="000274A6"/>
    <w:rsid w:val="000308DA"/>
    <w:rsid w:val="00030F9E"/>
    <w:rsid w:val="0003119C"/>
    <w:rsid w:val="0003189F"/>
    <w:rsid w:val="00031B00"/>
    <w:rsid w:val="000321F3"/>
    <w:rsid w:val="0003274C"/>
    <w:rsid w:val="00032751"/>
    <w:rsid w:val="000328E4"/>
    <w:rsid w:val="0003412C"/>
    <w:rsid w:val="00034B2E"/>
    <w:rsid w:val="000352A1"/>
    <w:rsid w:val="00035390"/>
    <w:rsid w:val="000353AB"/>
    <w:rsid w:val="0003560A"/>
    <w:rsid w:val="00035C4C"/>
    <w:rsid w:val="000371F1"/>
    <w:rsid w:val="000375B4"/>
    <w:rsid w:val="0003777F"/>
    <w:rsid w:val="00040E95"/>
    <w:rsid w:val="000417DE"/>
    <w:rsid w:val="00041EC5"/>
    <w:rsid w:val="0004222B"/>
    <w:rsid w:val="000440A3"/>
    <w:rsid w:val="000445C0"/>
    <w:rsid w:val="0004466B"/>
    <w:rsid w:val="000449AB"/>
    <w:rsid w:val="00044E71"/>
    <w:rsid w:val="000453EE"/>
    <w:rsid w:val="00045931"/>
    <w:rsid w:val="00045AA1"/>
    <w:rsid w:val="00045E00"/>
    <w:rsid w:val="0004607B"/>
    <w:rsid w:val="00046121"/>
    <w:rsid w:val="0004678B"/>
    <w:rsid w:val="00050A17"/>
    <w:rsid w:val="00052717"/>
    <w:rsid w:val="00052BB6"/>
    <w:rsid w:val="00055289"/>
    <w:rsid w:val="00055C2F"/>
    <w:rsid w:val="0005655F"/>
    <w:rsid w:val="00056994"/>
    <w:rsid w:val="00061778"/>
    <w:rsid w:val="0006221A"/>
    <w:rsid w:val="00062EB1"/>
    <w:rsid w:val="00063431"/>
    <w:rsid w:val="000647FF"/>
    <w:rsid w:val="00064AA2"/>
    <w:rsid w:val="00065412"/>
    <w:rsid w:val="00065D00"/>
    <w:rsid w:val="00066D96"/>
    <w:rsid w:val="00067196"/>
    <w:rsid w:val="00067445"/>
    <w:rsid w:val="000674A2"/>
    <w:rsid w:val="0006753E"/>
    <w:rsid w:val="00071EE5"/>
    <w:rsid w:val="00072DCF"/>
    <w:rsid w:val="000730B0"/>
    <w:rsid w:val="000734C8"/>
    <w:rsid w:val="0007419A"/>
    <w:rsid w:val="000741CC"/>
    <w:rsid w:val="00074934"/>
    <w:rsid w:val="0007530B"/>
    <w:rsid w:val="00075E94"/>
    <w:rsid w:val="00076F11"/>
    <w:rsid w:val="000800CC"/>
    <w:rsid w:val="000822E0"/>
    <w:rsid w:val="00082C64"/>
    <w:rsid w:val="00082CD7"/>
    <w:rsid w:val="00082EA5"/>
    <w:rsid w:val="00082F9B"/>
    <w:rsid w:val="00083175"/>
    <w:rsid w:val="000841C4"/>
    <w:rsid w:val="00085900"/>
    <w:rsid w:val="00085E2F"/>
    <w:rsid w:val="00086F1E"/>
    <w:rsid w:val="0009070F"/>
    <w:rsid w:val="000916ED"/>
    <w:rsid w:val="00092265"/>
    <w:rsid w:val="000924B1"/>
    <w:rsid w:val="0009252C"/>
    <w:rsid w:val="00092B31"/>
    <w:rsid w:val="00092B49"/>
    <w:rsid w:val="0009340A"/>
    <w:rsid w:val="000937D0"/>
    <w:rsid w:val="0009446A"/>
    <w:rsid w:val="000952E1"/>
    <w:rsid w:val="0009603A"/>
    <w:rsid w:val="0009678B"/>
    <w:rsid w:val="00097323"/>
    <w:rsid w:val="0009744F"/>
    <w:rsid w:val="000A04C3"/>
    <w:rsid w:val="000A0AF4"/>
    <w:rsid w:val="000A0B44"/>
    <w:rsid w:val="000A0CD9"/>
    <w:rsid w:val="000A0D19"/>
    <w:rsid w:val="000A13E5"/>
    <w:rsid w:val="000A1ACD"/>
    <w:rsid w:val="000A2D47"/>
    <w:rsid w:val="000A2F39"/>
    <w:rsid w:val="000A325C"/>
    <w:rsid w:val="000A35DA"/>
    <w:rsid w:val="000A3C6D"/>
    <w:rsid w:val="000A3DA9"/>
    <w:rsid w:val="000A50DE"/>
    <w:rsid w:val="000A6C65"/>
    <w:rsid w:val="000A717C"/>
    <w:rsid w:val="000A7A90"/>
    <w:rsid w:val="000B0997"/>
    <w:rsid w:val="000B0CC2"/>
    <w:rsid w:val="000B0D1B"/>
    <w:rsid w:val="000B2B1C"/>
    <w:rsid w:val="000B303D"/>
    <w:rsid w:val="000B375E"/>
    <w:rsid w:val="000B46DC"/>
    <w:rsid w:val="000B53D0"/>
    <w:rsid w:val="000B5B34"/>
    <w:rsid w:val="000B6001"/>
    <w:rsid w:val="000B671C"/>
    <w:rsid w:val="000B6E52"/>
    <w:rsid w:val="000B7337"/>
    <w:rsid w:val="000B7A70"/>
    <w:rsid w:val="000B7C3B"/>
    <w:rsid w:val="000B7D50"/>
    <w:rsid w:val="000C096A"/>
    <w:rsid w:val="000C10D1"/>
    <w:rsid w:val="000C1F67"/>
    <w:rsid w:val="000C1FEC"/>
    <w:rsid w:val="000C2001"/>
    <w:rsid w:val="000C200B"/>
    <w:rsid w:val="000C3A6F"/>
    <w:rsid w:val="000C3AB7"/>
    <w:rsid w:val="000C3AD3"/>
    <w:rsid w:val="000C3F5F"/>
    <w:rsid w:val="000C4840"/>
    <w:rsid w:val="000C6009"/>
    <w:rsid w:val="000C669D"/>
    <w:rsid w:val="000D0E36"/>
    <w:rsid w:val="000D0E7E"/>
    <w:rsid w:val="000D159A"/>
    <w:rsid w:val="000D1D09"/>
    <w:rsid w:val="000D24E7"/>
    <w:rsid w:val="000D2F27"/>
    <w:rsid w:val="000D38A1"/>
    <w:rsid w:val="000D3C25"/>
    <w:rsid w:val="000D4CDF"/>
    <w:rsid w:val="000D5226"/>
    <w:rsid w:val="000D6128"/>
    <w:rsid w:val="000D7C1D"/>
    <w:rsid w:val="000E0334"/>
    <w:rsid w:val="000E05AA"/>
    <w:rsid w:val="000E0891"/>
    <w:rsid w:val="000E146B"/>
    <w:rsid w:val="000E20BC"/>
    <w:rsid w:val="000E2735"/>
    <w:rsid w:val="000E3DF0"/>
    <w:rsid w:val="000E6188"/>
    <w:rsid w:val="000E6521"/>
    <w:rsid w:val="000E77CD"/>
    <w:rsid w:val="000E7E44"/>
    <w:rsid w:val="000F0315"/>
    <w:rsid w:val="000F0485"/>
    <w:rsid w:val="000F0FF0"/>
    <w:rsid w:val="000F108C"/>
    <w:rsid w:val="000F167C"/>
    <w:rsid w:val="000F21A2"/>
    <w:rsid w:val="000F398F"/>
    <w:rsid w:val="000F45FC"/>
    <w:rsid w:val="000F462C"/>
    <w:rsid w:val="000F46F8"/>
    <w:rsid w:val="000F48D1"/>
    <w:rsid w:val="0010055C"/>
    <w:rsid w:val="00100B53"/>
    <w:rsid w:val="001014C8"/>
    <w:rsid w:val="00101625"/>
    <w:rsid w:val="00102072"/>
    <w:rsid w:val="00102AA5"/>
    <w:rsid w:val="00103B5B"/>
    <w:rsid w:val="00103C98"/>
    <w:rsid w:val="0010431C"/>
    <w:rsid w:val="001047B8"/>
    <w:rsid w:val="001106ED"/>
    <w:rsid w:val="00110922"/>
    <w:rsid w:val="00112E3A"/>
    <w:rsid w:val="001133D0"/>
    <w:rsid w:val="0011369D"/>
    <w:rsid w:val="001139C7"/>
    <w:rsid w:val="00113FF7"/>
    <w:rsid w:val="001141F1"/>
    <w:rsid w:val="00114964"/>
    <w:rsid w:val="00114A5E"/>
    <w:rsid w:val="00115394"/>
    <w:rsid w:val="00115A61"/>
    <w:rsid w:val="00115F4A"/>
    <w:rsid w:val="00116431"/>
    <w:rsid w:val="00117164"/>
    <w:rsid w:val="0011782A"/>
    <w:rsid w:val="00120B2E"/>
    <w:rsid w:val="001213DE"/>
    <w:rsid w:val="0012160C"/>
    <w:rsid w:val="00121AE1"/>
    <w:rsid w:val="00121B5B"/>
    <w:rsid w:val="00122B0E"/>
    <w:rsid w:val="00122D2D"/>
    <w:rsid w:val="00124A3D"/>
    <w:rsid w:val="00124FD9"/>
    <w:rsid w:val="00127A44"/>
    <w:rsid w:val="00130FF7"/>
    <w:rsid w:val="0013223D"/>
    <w:rsid w:val="00132282"/>
    <w:rsid w:val="001329CF"/>
    <w:rsid w:val="00133821"/>
    <w:rsid w:val="00133A16"/>
    <w:rsid w:val="00136D27"/>
    <w:rsid w:val="001373B8"/>
    <w:rsid w:val="001377CC"/>
    <w:rsid w:val="00137FD1"/>
    <w:rsid w:val="001419B2"/>
    <w:rsid w:val="001420A4"/>
    <w:rsid w:val="00142D5B"/>
    <w:rsid w:val="001430A6"/>
    <w:rsid w:val="001441BD"/>
    <w:rsid w:val="0014455A"/>
    <w:rsid w:val="001445D5"/>
    <w:rsid w:val="001447A8"/>
    <w:rsid w:val="0014508F"/>
    <w:rsid w:val="001454F6"/>
    <w:rsid w:val="00146D0F"/>
    <w:rsid w:val="001477E1"/>
    <w:rsid w:val="001522CE"/>
    <w:rsid w:val="001531EF"/>
    <w:rsid w:val="001532C7"/>
    <w:rsid w:val="00153C0E"/>
    <w:rsid w:val="0015435E"/>
    <w:rsid w:val="0015451A"/>
    <w:rsid w:val="00155448"/>
    <w:rsid w:val="00155738"/>
    <w:rsid w:val="00156694"/>
    <w:rsid w:val="00156943"/>
    <w:rsid w:val="00157244"/>
    <w:rsid w:val="001575E2"/>
    <w:rsid w:val="0015798A"/>
    <w:rsid w:val="00157EB9"/>
    <w:rsid w:val="001614ED"/>
    <w:rsid w:val="0016260E"/>
    <w:rsid w:val="00162B2F"/>
    <w:rsid w:val="0016389C"/>
    <w:rsid w:val="00164792"/>
    <w:rsid w:val="001656D3"/>
    <w:rsid w:val="00165D6A"/>
    <w:rsid w:val="00165F37"/>
    <w:rsid w:val="00167EAE"/>
    <w:rsid w:val="00171FF3"/>
    <w:rsid w:val="00172009"/>
    <w:rsid w:val="0017366F"/>
    <w:rsid w:val="0017401A"/>
    <w:rsid w:val="00174295"/>
    <w:rsid w:val="0017605B"/>
    <w:rsid w:val="00177223"/>
    <w:rsid w:val="0017784C"/>
    <w:rsid w:val="00177AA8"/>
    <w:rsid w:val="00180C7C"/>
    <w:rsid w:val="001813BD"/>
    <w:rsid w:val="0018267F"/>
    <w:rsid w:val="00183910"/>
    <w:rsid w:val="00185987"/>
    <w:rsid w:val="001859E7"/>
    <w:rsid w:val="00186AB5"/>
    <w:rsid w:val="00187E81"/>
    <w:rsid w:val="001908AF"/>
    <w:rsid w:val="001919FF"/>
    <w:rsid w:val="0019365D"/>
    <w:rsid w:val="00194027"/>
    <w:rsid w:val="00194381"/>
    <w:rsid w:val="001960DD"/>
    <w:rsid w:val="001961BA"/>
    <w:rsid w:val="00196754"/>
    <w:rsid w:val="001969AA"/>
    <w:rsid w:val="001969BD"/>
    <w:rsid w:val="00197A9D"/>
    <w:rsid w:val="001A0209"/>
    <w:rsid w:val="001A02C8"/>
    <w:rsid w:val="001A0BBF"/>
    <w:rsid w:val="001A25E1"/>
    <w:rsid w:val="001A3431"/>
    <w:rsid w:val="001A4A6B"/>
    <w:rsid w:val="001A4F29"/>
    <w:rsid w:val="001A61C7"/>
    <w:rsid w:val="001A67CE"/>
    <w:rsid w:val="001A6E78"/>
    <w:rsid w:val="001A7B31"/>
    <w:rsid w:val="001B0BDE"/>
    <w:rsid w:val="001B0EF3"/>
    <w:rsid w:val="001B16B2"/>
    <w:rsid w:val="001B3D43"/>
    <w:rsid w:val="001B524A"/>
    <w:rsid w:val="001B7A59"/>
    <w:rsid w:val="001B7EEA"/>
    <w:rsid w:val="001C00CF"/>
    <w:rsid w:val="001C0C0A"/>
    <w:rsid w:val="001C126D"/>
    <w:rsid w:val="001C1333"/>
    <w:rsid w:val="001C14AB"/>
    <w:rsid w:val="001C1818"/>
    <w:rsid w:val="001C2AD7"/>
    <w:rsid w:val="001C2FCE"/>
    <w:rsid w:val="001C388C"/>
    <w:rsid w:val="001C3E74"/>
    <w:rsid w:val="001C4809"/>
    <w:rsid w:val="001C58AD"/>
    <w:rsid w:val="001C59D0"/>
    <w:rsid w:val="001C60FD"/>
    <w:rsid w:val="001C6247"/>
    <w:rsid w:val="001C6405"/>
    <w:rsid w:val="001C65A6"/>
    <w:rsid w:val="001C7D3F"/>
    <w:rsid w:val="001D0699"/>
    <w:rsid w:val="001D07C4"/>
    <w:rsid w:val="001D1BDD"/>
    <w:rsid w:val="001D1D3F"/>
    <w:rsid w:val="001D1F53"/>
    <w:rsid w:val="001D25C2"/>
    <w:rsid w:val="001D25D1"/>
    <w:rsid w:val="001D52A3"/>
    <w:rsid w:val="001D54FD"/>
    <w:rsid w:val="001D58A4"/>
    <w:rsid w:val="001D713C"/>
    <w:rsid w:val="001D7771"/>
    <w:rsid w:val="001E12A8"/>
    <w:rsid w:val="001E1659"/>
    <w:rsid w:val="001E4AFF"/>
    <w:rsid w:val="001E4C9C"/>
    <w:rsid w:val="001E60C2"/>
    <w:rsid w:val="001E64C7"/>
    <w:rsid w:val="001E6977"/>
    <w:rsid w:val="001E6C1C"/>
    <w:rsid w:val="001E7AC4"/>
    <w:rsid w:val="001F0934"/>
    <w:rsid w:val="001F1117"/>
    <w:rsid w:val="001F1A2C"/>
    <w:rsid w:val="001F1EEA"/>
    <w:rsid w:val="001F2608"/>
    <w:rsid w:val="001F2E11"/>
    <w:rsid w:val="001F328D"/>
    <w:rsid w:val="001F4AA6"/>
    <w:rsid w:val="001F5E56"/>
    <w:rsid w:val="001F71FB"/>
    <w:rsid w:val="00200997"/>
    <w:rsid w:val="00200ABD"/>
    <w:rsid w:val="002011CC"/>
    <w:rsid w:val="002015DE"/>
    <w:rsid w:val="002049D5"/>
    <w:rsid w:val="00204F27"/>
    <w:rsid w:val="00205CFD"/>
    <w:rsid w:val="00206222"/>
    <w:rsid w:val="002068E4"/>
    <w:rsid w:val="00206AC7"/>
    <w:rsid w:val="00206BD1"/>
    <w:rsid w:val="00207E4F"/>
    <w:rsid w:val="002121A6"/>
    <w:rsid w:val="0021237B"/>
    <w:rsid w:val="002126BF"/>
    <w:rsid w:val="002134A4"/>
    <w:rsid w:val="002141A4"/>
    <w:rsid w:val="002152FA"/>
    <w:rsid w:val="002153AE"/>
    <w:rsid w:val="00215732"/>
    <w:rsid w:val="0021584E"/>
    <w:rsid w:val="002159CC"/>
    <w:rsid w:val="002169C1"/>
    <w:rsid w:val="00216CA9"/>
    <w:rsid w:val="00217350"/>
    <w:rsid w:val="002174D1"/>
    <w:rsid w:val="002176A0"/>
    <w:rsid w:val="002178E3"/>
    <w:rsid w:val="00221573"/>
    <w:rsid w:val="002244B6"/>
    <w:rsid w:val="00225660"/>
    <w:rsid w:val="00226050"/>
    <w:rsid w:val="00226872"/>
    <w:rsid w:val="00227B65"/>
    <w:rsid w:val="0023019C"/>
    <w:rsid w:val="002305C4"/>
    <w:rsid w:val="002308FA"/>
    <w:rsid w:val="00233BE8"/>
    <w:rsid w:val="00234AC2"/>
    <w:rsid w:val="00234E41"/>
    <w:rsid w:val="00235920"/>
    <w:rsid w:val="00236168"/>
    <w:rsid w:val="00236D0C"/>
    <w:rsid w:val="002400D8"/>
    <w:rsid w:val="002403E7"/>
    <w:rsid w:val="00242C95"/>
    <w:rsid w:val="002430A2"/>
    <w:rsid w:val="0024454B"/>
    <w:rsid w:val="002451CE"/>
    <w:rsid w:val="0024614C"/>
    <w:rsid w:val="00246AE2"/>
    <w:rsid w:val="00246EAD"/>
    <w:rsid w:val="0024763F"/>
    <w:rsid w:val="00247F4E"/>
    <w:rsid w:val="00251DD3"/>
    <w:rsid w:val="0025226B"/>
    <w:rsid w:val="002522FC"/>
    <w:rsid w:val="00252D30"/>
    <w:rsid w:val="002535EF"/>
    <w:rsid w:val="00253678"/>
    <w:rsid w:val="00253DE8"/>
    <w:rsid w:val="00253F2E"/>
    <w:rsid w:val="00254144"/>
    <w:rsid w:val="002542E7"/>
    <w:rsid w:val="00256A53"/>
    <w:rsid w:val="00257DA8"/>
    <w:rsid w:val="002608DE"/>
    <w:rsid w:val="002614DF"/>
    <w:rsid w:val="002619BD"/>
    <w:rsid w:val="002624DC"/>
    <w:rsid w:val="00262A73"/>
    <w:rsid w:val="0026380A"/>
    <w:rsid w:val="00264443"/>
    <w:rsid w:val="00264B5E"/>
    <w:rsid w:val="0026588A"/>
    <w:rsid w:val="00265933"/>
    <w:rsid w:val="00266FD1"/>
    <w:rsid w:val="00267DB6"/>
    <w:rsid w:val="00270AAC"/>
    <w:rsid w:val="0027257E"/>
    <w:rsid w:val="002753DF"/>
    <w:rsid w:val="00275457"/>
    <w:rsid w:val="002758CE"/>
    <w:rsid w:val="002759BD"/>
    <w:rsid w:val="00277507"/>
    <w:rsid w:val="00280894"/>
    <w:rsid w:val="002814B8"/>
    <w:rsid w:val="00281A4C"/>
    <w:rsid w:val="00281BAC"/>
    <w:rsid w:val="00282239"/>
    <w:rsid w:val="002826B1"/>
    <w:rsid w:val="00283C99"/>
    <w:rsid w:val="00283CD0"/>
    <w:rsid w:val="00283D32"/>
    <w:rsid w:val="00285199"/>
    <w:rsid w:val="00285854"/>
    <w:rsid w:val="0028662D"/>
    <w:rsid w:val="00287F63"/>
    <w:rsid w:val="0029161D"/>
    <w:rsid w:val="0029274F"/>
    <w:rsid w:val="00295D3C"/>
    <w:rsid w:val="002A011E"/>
    <w:rsid w:val="002A1A96"/>
    <w:rsid w:val="002A28FA"/>
    <w:rsid w:val="002A333C"/>
    <w:rsid w:val="002A3791"/>
    <w:rsid w:val="002A3C2A"/>
    <w:rsid w:val="002A3D90"/>
    <w:rsid w:val="002A536C"/>
    <w:rsid w:val="002A675D"/>
    <w:rsid w:val="002A6BEA"/>
    <w:rsid w:val="002A6C9F"/>
    <w:rsid w:val="002A70AC"/>
    <w:rsid w:val="002B03B9"/>
    <w:rsid w:val="002B068B"/>
    <w:rsid w:val="002B0C71"/>
    <w:rsid w:val="002B2E9A"/>
    <w:rsid w:val="002B3A91"/>
    <w:rsid w:val="002B499F"/>
    <w:rsid w:val="002B6435"/>
    <w:rsid w:val="002B6566"/>
    <w:rsid w:val="002B6702"/>
    <w:rsid w:val="002B679E"/>
    <w:rsid w:val="002C0553"/>
    <w:rsid w:val="002C0D1B"/>
    <w:rsid w:val="002C141D"/>
    <w:rsid w:val="002C1A1B"/>
    <w:rsid w:val="002C2769"/>
    <w:rsid w:val="002C2FCB"/>
    <w:rsid w:val="002C3EAD"/>
    <w:rsid w:val="002C400D"/>
    <w:rsid w:val="002C4F46"/>
    <w:rsid w:val="002C5105"/>
    <w:rsid w:val="002C6A31"/>
    <w:rsid w:val="002C7406"/>
    <w:rsid w:val="002C7A3A"/>
    <w:rsid w:val="002D0340"/>
    <w:rsid w:val="002D0908"/>
    <w:rsid w:val="002D09BE"/>
    <w:rsid w:val="002D0B94"/>
    <w:rsid w:val="002D137A"/>
    <w:rsid w:val="002D14A1"/>
    <w:rsid w:val="002D3D0C"/>
    <w:rsid w:val="002D4087"/>
    <w:rsid w:val="002D5212"/>
    <w:rsid w:val="002D5999"/>
    <w:rsid w:val="002D6317"/>
    <w:rsid w:val="002D65DA"/>
    <w:rsid w:val="002D791E"/>
    <w:rsid w:val="002D7B2F"/>
    <w:rsid w:val="002E057C"/>
    <w:rsid w:val="002E0864"/>
    <w:rsid w:val="002E0C05"/>
    <w:rsid w:val="002E0F86"/>
    <w:rsid w:val="002E119B"/>
    <w:rsid w:val="002E1387"/>
    <w:rsid w:val="002E18AF"/>
    <w:rsid w:val="002E2E14"/>
    <w:rsid w:val="002E32B2"/>
    <w:rsid w:val="002E4430"/>
    <w:rsid w:val="002E4696"/>
    <w:rsid w:val="002E4E49"/>
    <w:rsid w:val="002E602D"/>
    <w:rsid w:val="002E7A09"/>
    <w:rsid w:val="002F11CD"/>
    <w:rsid w:val="002F1465"/>
    <w:rsid w:val="002F1889"/>
    <w:rsid w:val="002F1D0F"/>
    <w:rsid w:val="002F2440"/>
    <w:rsid w:val="002F4768"/>
    <w:rsid w:val="002F4C42"/>
    <w:rsid w:val="002F54F9"/>
    <w:rsid w:val="002F5743"/>
    <w:rsid w:val="002F641F"/>
    <w:rsid w:val="002F7280"/>
    <w:rsid w:val="002F7856"/>
    <w:rsid w:val="00300A54"/>
    <w:rsid w:val="00300F83"/>
    <w:rsid w:val="00302013"/>
    <w:rsid w:val="00303AC6"/>
    <w:rsid w:val="00303C59"/>
    <w:rsid w:val="003046C7"/>
    <w:rsid w:val="00304FF5"/>
    <w:rsid w:val="0030509C"/>
    <w:rsid w:val="00305C15"/>
    <w:rsid w:val="00306F70"/>
    <w:rsid w:val="0030717F"/>
    <w:rsid w:val="00307A5A"/>
    <w:rsid w:val="00310AC5"/>
    <w:rsid w:val="00311014"/>
    <w:rsid w:val="00311B0B"/>
    <w:rsid w:val="00314BFF"/>
    <w:rsid w:val="00315B16"/>
    <w:rsid w:val="00315E06"/>
    <w:rsid w:val="003160A5"/>
    <w:rsid w:val="00316C63"/>
    <w:rsid w:val="00317376"/>
    <w:rsid w:val="00322601"/>
    <w:rsid w:val="0032271A"/>
    <w:rsid w:val="003228F7"/>
    <w:rsid w:val="00323AAA"/>
    <w:rsid w:val="00323AB1"/>
    <w:rsid w:val="00324AEA"/>
    <w:rsid w:val="003250A3"/>
    <w:rsid w:val="0032526E"/>
    <w:rsid w:val="003257B1"/>
    <w:rsid w:val="00325F57"/>
    <w:rsid w:val="003262E6"/>
    <w:rsid w:val="0032690E"/>
    <w:rsid w:val="00326DEB"/>
    <w:rsid w:val="00326E8F"/>
    <w:rsid w:val="00327424"/>
    <w:rsid w:val="0032790C"/>
    <w:rsid w:val="0032799C"/>
    <w:rsid w:val="00330D24"/>
    <w:rsid w:val="00331CD7"/>
    <w:rsid w:val="003330B3"/>
    <w:rsid w:val="00333274"/>
    <w:rsid w:val="00334C43"/>
    <w:rsid w:val="003352A3"/>
    <w:rsid w:val="00337009"/>
    <w:rsid w:val="00337C3B"/>
    <w:rsid w:val="00337CB8"/>
    <w:rsid w:val="0034086C"/>
    <w:rsid w:val="003420D4"/>
    <w:rsid w:val="00342606"/>
    <w:rsid w:val="00342D64"/>
    <w:rsid w:val="00342F33"/>
    <w:rsid w:val="0034345F"/>
    <w:rsid w:val="00343A75"/>
    <w:rsid w:val="0034408C"/>
    <w:rsid w:val="0034421F"/>
    <w:rsid w:val="00344EB1"/>
    <w:rsid w:val="0034526B"/>
    <w:rsid w:val="00345C6C"/>
    <w:rsid w:val="00350B5E"/>
    <w:rsid w:val="00350C1E"/>
    <w:rsid w:val="00351502"/>
    <w:rsid w:val="003523A1"/>
    <w:rsid w:val="0035357B"/>
    <w:rsid w:val="00354AB8"/>
    <w:rsid w:val="00356951"/>
    <w:rsid w:val="0036070F"/>
    <w:rsid w:val="00360B8B"/>
    <w:rsid w:val="00360D43"/>
    <w:rsid w:val="00361AA8"/>
    <w:rsid w:val="00362277"/>
    <w:rsid w:val="00362590"/>
    <w:rsid w:val="003629F4"/>
    <w:rsid w:val="00363A95"/>
    <w:rsid w:val="00364E43"/>
    <w:rsid w:val="0036628F"/>
    <w:rsid w:val="0036640E"/>
    <w:rsid w:val="003664BF"/>
    <w:rsid w:val="0036760C"/>
    <w:rsid w:val="00370159"/>
    <w:rsid w:val="0037021C"/>
    <w:rsid w:val="00370FAA"/>
    <w:rsid w:val="00372B85"/>
    <w:rsid w:val="00373321"/>
    <w:rsid w:val="0037381D"/>
    <w:rsid w:val="00374494"/>
    <w:rsid w:val="00375B0E"/>
    <w:rsid w:val="00375D7E"/>
    <w:rsid w:val="0037667A"/>
    <w:rsid w:val="003775E1"/>
    <w:rsid w:val="00380129"/>
    <w:rsid w:val="00382444"/>
    <w:rsid w:val="0038328E"/>
    <w:rsid w:val="003836C2"/>
    <w:rsid w:val="00383D05"/>
    <w:rsid w:val="00383DC2"/>
    <w:rsid w:val="003850CB"/>
    <w:rsid w:val="003856CA"/>
    <w:rsid w:val="00385CE9"/>
    <w:rsid w:val="0038663D"/>
    <w:rsid w:val="00386765"/>
    <w:rsid w:val="00390517"/>
    <w:rsid w:val="0039105E"/>
    <w:rsid w:val="00391358"/>
    <w:rsid w:val="0039159A"/>
    <w:rsid w:val="0039286C"/>
    <w:rsid w:val="003940B6"/>
    <w:rsid w:val="003948C3"/>
    <w:rsid w:val="00396120"/>
    <w:rsid w:val="00396B98"/>
    <w:rsid w:val="003977DF"/>
    <w:rsid w:val="00397A69"/>
    <w:rsid w:val="003A05FC"/>
    <w:rsid w:val="003A06B4"/>
    <w:rsid w:val="003A22ED"/>
    <w:rsid w:val="003A51A0"/>
    <w:rsid w:val="003A5249"/>
    <w:rsid w:val="003A5323"/>
    <w:rsid w:val="003A53DF"/>
    <w:rsid w:val="003A5E33"/>
    <w:rsid w:val="003A6DA4"/>
    <w:rsid w:val="003A705A"/>
    <w:rsid w:val="003A73B5"/>
    <w:rsid w:val="003A756E"/>
    <w:rsid w:val="003A7726"/>
    <w:rsid w:val="003B0132"/>
    <w:rsid w:val="003B0A0E"/>
    <w:rsid w:val="003B0CFF"/>
    <w:rsid w:val="003B0E21"/>
    <w:rsid w:val="003B1946"/>
    <w:rsid w:val="003B3C4D"/>
    <w:rsid w:val="003B42EA"/>
    <w:rsid w:val="003B45CD"/>
    <w:rsid w:val="003B4631"/>
    <w:rsid w:val="003B5E27"/>
    <w:rsid w:val="003C0275"/>
    <w:rsid w:val="003C0ED2"/>
    <w:rsid w:val="003C1787"/>
    <w:rsid w:val="003C1E7F"/>
    <w:rsid w:val="003C1FF0"/>
    <w:rsid w:val="003C2F06"/>
    <w:rsid w:val="003C2FE0"/>
    <w:rsid w:val="003C52CD"/>
    <w:rsid w:val="003C57A7"/>
    <w:rsid w:val="003C6212"/>
    <w:rsid w:val="003C7296"/>
    <w:rsid w:val="003C7D22"/>
    <w:rsid w:val="003D1727"/>
    <w:rsid w:val="003D19DA"/>
    <w:rsid w:val="003D1AF1"/>
    <w:rsid w:val="003D43F1"/>
    <w:rsid w:val="003D4E85"/>
    <w:rsid w:val="003D51D7"/>
    <w:rsid w:val="003D5B20"/>
    <w:rsid w:val="003E1AB4"/>
    <w:rsid w:val="003E1BEF"/>
    <w:rsid w:val="003E234E"/>
    <w:rsid w:val="003E2399"/>
    <w:rsid w:val="003E2606"/>
    <w:rsid w:val="003E2860"/>
    <w:rsid w:val="003E368B"/>
    <w:rsid w:val="003E3AF9"/>
    <w:rsid w:val="003E3DFF"/>
    <w:rsid w:val="003E44C9"/>
    <w:rsid w:val="003E4AF0"/>
    <w:rsid w:val="003E4BAC"/>
    <w:rsid w:val="003E4C8C"/>
    <w:rsid w:val="003E4EA3"/>
    <w:rsid w:val="003E564E"/>
    <w:rsid w:val="003E56BB"/>
    <w:rsid w:val="003E5883"/>
    <w:rsid w:val="003E58D4"/>
    <w:rsid w:val="003E64B3"/>
    <w:rsid w:val="003E71C1"/>
    <w:rsid w:val="003E7562"/>
    <w:rsid w:val="003F3810"/>
    <w:rsid w:val="003F3FFA"/>
    <w:rsid w:val="003F40A6"/>
    <w:rsid w:val="003F40F7"/>
    <w:rsid w:val="003F65B1"/>
    <w:rsid w:val="003F664B"/>
    <w:rsid w:val="003F67D3"/>
    <w:rsid w:val="003F6B39"/>
    <w:rsid w:val="003F7125"/>
    <w:rsid w:val="004003B9"/>
    <w:rsid w:val="00400990"/>
    <w:rsid w:val="00401968"/>
    <w:rsid w:val="004022F3"/>
    <w:rsid w:val="004036AC"/>
    <w:rsid w:val="00403C9B"/>
    <w:rsid w:val="00405714"/>
    <w:rsid w:val="004062AB"/>
    <w:rsid w:val="004062E2"/>
    <w:rsid w:val="0040636D"/>
    <w:rsid w:val="00406984"/>
    <w:rsid w:val="004069AE"/>
    <w:rsid w:val="00406B61"/>
    <w:rsid w:val="00407688"/>
    <w:rsid w:val="00407AE6"/>
    <w:rsid w:val="004114C2"/>
    <w:rsid w:val="00412608"/>
    <w:rsid w:val="00412A4E"/>
    <w:rsid w:val="00412D8D"/>
    <w:rsid w:val="00413703"/>
    <w:rsid w:val="00413A04"/>
    <w:rsid w:val="00413A29"/>
    <w:rsid w:val="00414663"/>
    <w:rsid w:val="00414B39"/>
    <w:rsid w:val="00414EA2"/>
    <w:rsid w:val="00416656"/>
    <w:rsid w:val="0041794A"/>
    <w:rsid w:val="00422513"/>
    <w:rsid w:val="004228A0"/>
    <w:rsid w:val="0042347E"/>
    <w:rsid w:val="00424290"/>
    <w:rsid w:val="00424F03"/>
    <w:rsid w:val="00425F58"/>
    <w:rsid w:val="00426C3F"/>
    <w:rsid w:val="004279CE"/>
    <w:rsid w:val="00430197"/>
    <w:rsid w:val="00430A68"/>
    <w:rsid w:val="00430BED"/>
    <w:rsid w:val="00431198"/>
    <w:rsid w:val="00431B8E"/>
    <w:rsid w:val="00431BB1"/>
    <w:rsid w:val="00431E86"/>
    <w:rsid w:val="004322BB"/>
    <w:rsid w:val="004327A4"/>
    <w:rsid w:val="00432CA7"/>
    <w:rsid w:val="004331AC"/>
    <w:rsid w:val="0043519E"/>
    <w:rsid w:val="0043567E"/>
    <w:rsid w:val="00435ACF"/>
    <w:rsid w:val="00437632"/>
    <w:rsid w:val="004376CE"/>
    <w:rsid w:val="00437ABA"/>
    <w:rsid w:val="00440244"/>
    <w:rsid w:val="00440457"/>
    <w:rsid w:val="004406E9"/>
    <w:rsid w:val="004407AD"/>
    <w:rsid w:val="00440CCD"/>
    <w:rsid w:val="004419C8"/>
    <w:rsid w:val="00441A31"/>
    <w:rsid w:val="00442566"/>
    <w:rsid w:val="0044281A"/>
    <w:rsid w:val="0044299B"/>
    <w:rsid w:val="00442E07"/>
    <w:rsid w:val="00445340"/>
    <w:rsid w:val="00445EFB"/>
    <w:rsid w:val="00446E56"/>
    <w:rsid w:val="004473D0"/>
    <w:rsid w:val="004506C9"/>
    <w:rsid w:val="00450756"/>
    <w:rsid w:val="0045075D"/>
    <w:rsid w:val="00454A9F"/>
    <w:rsid w:val="00456D3B"/>
    <w:rsid w:val="004572BE"/>
    <w:rsid w:val="004576E0"/>
    <w:rsid w:val="00460518"/>
    <w:rsid w:val="0046167F"/>
    <w:rsid w:val="00461739"/>
    <w:rsid w:val="00463270"/>
    <w:rsid w:val="00463529"/>
    <w:rsid w:val="00463A3E"/>
    <w:rsid w:val="00465720"/>
    <w:rsid w:val="00465DB1"/>
    <w:rsid w:val="004675C7"/>
    <w:rsid w:val="00470145"/>
    <w:rsid w:val="004714DB"/>
    <w:rsid w:val="004715ED"/>
    <w:rsid w:val="00471A54"/>
    <w:rsid w:val="004728C8"/>
    <w:rsid w:val="00472C14"/>
    <w:rsid w:val="00472C75"/>
    <w:rsid w:val="00472FE7"/>
    <w:rsid w:val="004749DB"/>
    <w:rsid w:val="00475DDC"/>
    <w:rsid w:val="004761F6"/>
    <w:rsid w:val="00476B3E"/>
    <w:rsid w:val="00477CC2"/>
    <w:rsid w:val="004816B6"/>
    <w:rsid w:val="00481989"/>
    <w:rsid w:val="0048260E"/>
    <w:rsid w:val="00482E79"/>
    <w:rsid w:val="00483BB4"/>
    <w:rsid w:val="00484CB0"/>
    <w:rsid w:val="00485795"/>
    <w:rsid w:val="00485EDB"/>
    <w:rsid w:val="00486E3B"/>
    <w:rsid w:val="00487212"/>
    <w:rsid w:val="00487F5A"/>
    <w:rsid w:val="00491C7E"/>
    <w:rsid w:val="00491E08"/>
    <w:rsid w:val="004924C7"/>
    <w:rsid w:val="00492756"/>
    <w:rsid w:val="004931D4"/>
    <w:rsid w:val="0049410E"/>
    <w:rsid w:val="00494E28"/>
    <w:rsid w:val="004950A1"/>
    <w:rsid w:val="00495E8D"/>
    <w:rsid w:val="004A010B"/>
    <w:rsid w:val="004A0C38"/>
    <w:rsid w:val="004A155D"/>
    <w:rsid w:val="004A179F"/>
    <w:rsid w:val="004A1DD9"/>
    <w:rsid w:val="004A2122"/>
    <w:rsid w:val="004A235E"/>
    <w:rsid w:val="004A267C"/>
    <w:rsid w:val="004A2C68"/>
    <w:rsid w:val="004A40E0"/>
    <w:rsid w:val="004A50A0"/>
    <w:rsid w:val="004A5441"/>
    <w:rsid w:val="004A5B0C"/>
    <w:rsid w:val="004A61F6"/>
    <w:rsid w:val="004B1138"/>
    <w:rsid w:val="004B2588"/>
    <w:rsid w:val="004B3F27"/>
    <w:rsid w:val="004B4B2E"/>
    <w:rsid w:val="004B51E5"/>
    <w:rsid w:val="004B63E3"/>
    <w:rsid w:val="004B66AD"/>
    <w:rsid w:val="004B6856"/>
    <w:rsid w:val="004B6BAE"/>
    <w:rsid w:val="004B7A52"/>
    <w:rsid w:val="004B7C6C"/>
    <w:rsid w:val="004C006A"/>
    <w:rsid w:val="004C1204"/>
    <w:rsid w:val="004C17D8"/>
    <w:rsid w:val="004C17F0"/>
    <w:rsid w:val="004C2038"/>
    <w:rsid w:val="004C2B73"/>
    <w:rsid w:val="004C2CAF"/>
    <w:rsid w:val="004C2D09"/>
    <w:rsid w:val="004C3212"/>
    <w:rsid w:val="004C4064"/>
    <w:rsid w:val="004C4BBA"/>
    <w:rsid w:val="004C5DE2"/>
    <w:rsid w:val="004C60FB"/>
    <w:rsid w:val="004D0271"/>
    <w:rsid w:val="004D0A03"/>
    <w:rsid w:val="004D0E11"/>
    <w:rsid w:val="004D1635"/>
    <w:rsid w:val="004D1D94"/>
    <w:rsid w:val="004D21B4"/>
    <w:rsid w:val="004D27A0"/>
    <w:rsid w:val="004D2CC2"/>
    <w:rsid w:val="004D3788"/>
    <w:rsid w:val="004D4752"/>
    <w:rsid w:val="004D4E85"/>
    <w:rsid w:val="004D5130"/>
    <w:rsid w:val="004D55F2"/>
    <w:rsid w:val="004D5D60"/>
    <w:rsid w:val="004D6EC5"/>
    <w:rsid w:val="004D7BFD"/>
    <w:rsid w:val="004D7EE6"/>
    <w:rsid w:val="004E09F1"/>
    <w:rsid w:val="004E1187"/>
    <w:rsid w:val="004E1353"/>
    <w:rsid w:val="004E1387"/>
    <w:rsid w:val="004E36D5"/>
    <w:rsid w:val="004E3A08"/>
    <w:rsid w:val="004E44F4"/>
    <w:rsid w:val="004E4C8D"/>
    <w:rsid w:val="004E4F5B"/>
    <w:rsid w:val="004E4FCE"/>
    <w:rsid w:val="004E5A65"/>
    <w:rsid w:val="004E76A4"/>
    <w:rsid w:val="004F0F4B"/>
    <w:rsid w:val="004F397C"/>
    <w:rsid w:val="004F464A"/>
    <w:rsid w:val="004F5D9F"/>
    <w:rsid w:val="004F5F25"/>
    <w:rsid w:val="004F6F8A"/>
    <w:rsid w:val="004F7E8B"/>
    <w:rsid w:val="005005D8"/>
    <w:rsid w:val="00500ADE"/>
    <w:rsid w:val="00501274"/>
    <w:rsid w:val="0050189D"/>
    <w:rsid w:val="00503C80"/>
    <w:rsid w:val="00504078"/>
    <w:rsid w:val="00504BFF"/>
    <w:rsid w:val="00510D8A"/>
    <w:rsid w:val="00511AA3"/>
    <w:rsid w:val="0051204D"/>
    <w:rsid w:val="005128F5"/>
    <w:rsid w:val="00512921"/>
    <w:rsid w:val="00512A3C"/>
    <w:rsid w:val="00513A0B"/>
    <w:rsid w:val="00514A29"/>
    <w:rsid w:val="005151E3"/>
    <w:rsid w:val="00516485"/>
    <w:rsid w:val="00516545"/>
    <w:rsid w:val="005207D1"/>
    <w:rsid w:val="00520C68"/>
    <w:rsid w:val="00520DE6"/>
    <w:rsid w:val="00520E21"/>
    <w:rsid w:val="00520FE2"/>
    <w:rsid w:val="00521C72"/>
    <w:rsid w:val="005222DB"/>
    <w:rsid w:val="005226A9"/>
    <w:rsid w:val="00522C00"/>
    <w:rsid w:val="00522CEC"/>
    <w:rsid w:val="00523CE9"/>
    <w:rsid w:val="005249A3"/>
    <w:rsid w:val="0052566D"/>
    <w:rsid w:val="00526019"/>
    <w:rsid w:val="00526411"/>
    <w:rsid w:val="0052646B"/>
    <w:rsid w:val="0052737D"/>
    <w:rsid w:val="005302FE"/>
    <w:rsid w:val="00530EE9"/>
    <w:rsid w:val="00531507"/>
    <w:rsid w:val="005315B6"/>
    <w:rsid w:val="00532068"/>
    <w:rsid w:val="005328F4"/>
    <w:rsid w:val="00532F98"/>
    <w:rsid w:val="0053390F"/>
    <w:rsid w:val="00533AF0"/>
    <w:rsid w:val="005346B3"/>
    <w:rsid w:val="00535253"/>
    <w:rsid w:val="00535FD0"/>
    <w:rsid w:val="005366C5"/>
    <w:rsid w:val="005371D8"/>
    <w:rsid w:val="00537B45"/>
    <w:rsid w:val="0054000E"/>
    <w:rsid w:val="0054073E"/>
    <w:rsid w:val="00543A1E"/>
    <w:rsid w:val="00543AE8"/>
    <w:rsid w:val="00543BF2"/>
    <w:rsid w:val="005440DF"/>
    <w:rsid w:val="005442D8"/>
    <w:rsid w:val="00544F97"/>
    <w:rsid w:val="0054614D"/>
    <w:rsid w:val="005466FB"/>
    <w:rsid w:val="00546A70"/>
    <w:rsid w:val="00547F13"/>
    <w:rsid w:val="00550438"/>
    <w:rsid w:val="00551B35"/>
    <w:rsid w:val="005523D8"/>
    <w:rsid w:val="00552C2C"/>
    <w:rsid w:val="00555232"/>
    <w:rsid w:val="005556A1"/>
    <w:rsid w:val="005564BE"/>
    <w:rsid w:val="00556529"/>
    <w:rsid w:val="00556EE0"/>
    <w:rsid w:val="005573AF"/>
    <w:rsid w:val="00557E06"/>
    <w:rsid w:val="005621F0"/>
    <w:rsid w:val="00562933"/>
    <w:rsid w:val="00562B5A"/>
    <w:rsid w:val="005636C7"/>
    <w:rsid w:val="00563788"/>
    <w:rsid w:val="00563F5A"/>
    <w:rsid w:val="0056434C"/>
    <w:rsid w:val="00564C48"/>
    <w:rsid w:val="00564FAA"/>
    <w:rsid w:val="0056606F"/>
    <w:rsid w:val="00567389"/>
    <w:rsid w:val="0057133C"/>
    <w:rsid w:val="005715B3"/>
    <w:rsid w:val="00573ED1"/>
    <w:rsid w:val="00575BD5"/>
    <w:rsid w:val="005766FE"/>
    <w:rsid w:val="00576B62"/>
    <w:rsid w:val="0057736F"/>
    <w:rsid w:val="005800EF"/>
    <w:rsid w:val="00582B8C"/>
    <w:rsid w:val="00582F6B"/>
    <w:rsid w:val="00582FC3"/>
    <w:rsid w:val="005830C8"/>
    <w:rsid w:val="00583C8D"/>
    <w:rsid w:val="005850D9"/>
    <w:rsid w:val="00585306"/>
    <w:rsid w:val="00585BD2"/>
    <w:rsid w:val="0058621E"/>
    <w:rsid w:val="005864DE"/>
    <w:rsid w:val="0058675E"/>
    <w:rsid w:val="00587CE5"/>
    <w:rsid w:val="00587CEE"/>
    <w:rsid w:val="00587F29"/>
    <w:rsid w:val="005916DA"/>
    <w:rsid w:val="005919FC"/>
    <w:rsid w:val="00592195"/>
    <w:rsid w:val="005921CA"/>
    <w:rsid w:val="00594364"/>
    <w:rsid w:val="00594866"/>
    <w:rsid w:val="00595688"/>
    <w:rsid w:val="00595917"/>
    <w:rsid w:val="00595EF7"/>
    <w:rsid w:val="005967EC"/>
    <w:rsid w:val="00596BB6"/>
    <w:rsid w:val="005972AC"/>
    <w:rsid w:val="00597D7D"/>
    <w:rsid w:val="005A2924"/>
    <w:rsid w:val="005A30EB"/>
    <w:rsid w:val="005A40AF"/>
    <w:rsid w:val="005A482B"/>
    <w:rsid w:val="005A4E6A"/>
    <w:rsid w:val="005A506C"/>
    <w:rsid w:val="005A6724"/>
    <w:rsid w:val="005B07CF"/>
    <w:rsid w:val="005B0E72"/>
    <w:rsid w:val="005B1C2F"/>
    <w:rsid w:val="005B1D3D"/>
    <w:rsid w:val="005B1E90"/>
    <w:rsid w:val="005B3F41"/>
    <w:rsid w:val="005B4C8C"/>
    <w:rsid w:val="005B4DBA"/>
    <w:rsid w:val="005B666F"/>
    <w:rsid w:val="005B6C8B"/>
    <w:rsid w:val="005B7AB3"/>
    <w:rsid w:val="005C2425"/>
    <w:rsid w:val="005C2FFF"/>
    <w:rsid w:val="005C3214"/>
    <w:rsid w:val="005C4471"/>
    <w:rsid w:val="005C4F65"/>
    <w:rsid w:val="005C6303"/>
    <w:rsid w:val="005C6EB2"/>
    <w:rsid w:val="005D05C0"/>
    <w:rsid w:val="005D0D5F"/>
    <w:rsid w:val="005D0EBF"/>
    <w:rsid w:val="005D11D7"/>
    <w:rsid w:val="005D33BA"/>
    <w:rsid w:val="005D33EE"/>
    <w:rsid w:val="005D3BFE"/>
    <w:rsid w:val="005D43B4"/>
    <w:rsid w:val="005D4775"/>
    <w:rsid w:val="005D62EE"/>
    <w:rsid w:val="005D6D6D"/>
    <w:rsid w:val="005D7A54"/>
    <w:rsid w:val="005D7B60"/>
    <w:rsid w:val="005E020D"/>
    <w:rsid w:val="005E11E4"/>
    <w:rsid w:val="005E11FF"/>
    <w:rsid w:val="005E1BBB"/>
    <w:rsid w:val="005E2E69"/>
    <w:rsid w:val="005E3546"/>
    <w:rsid w:val="005E42A6"/>
    <w:rsid w:val="005E4453"/>
    <w:rsid w:val="005E59F0"/>
    <w:rsid w:val="005E62AA"/>
    <w:rsid w:val="005E6FB8"/>
    <w:rsid w:val="005E720A"/>
    <w:rsid w:val="005E7DE1"/>
    <w:rsid w:val="005F0FDA"/>
    <w:rsid w:val="005F200E"/>
    <w:rsid w:val="005F28BA"/>
    <w:rsid w:val="005F32CD"/>
    <w:rsid w:val="005F33D5"/>
    <w:rsid w:val="005F79D6"/>
    <w:rsid w:val="005F7A61"/>
    <w:rsid w:val="006000F0"/>
    <w:rsid w:val="006010BA"/>
    <w:rsid w:val="006023E4"/>
    <w:rsid w:val="00602AF7"/>
    <w:rsid w:val="00603070"/>
    <w:rsid w:val="0060519A"/>
    <w:rsid w:val="006055CA"/>
    <w:rsid w:val="00605CE8"/>
    <w:rsid w:val="00605E4C"/>
    <w:rsid w:val="00605E77"/>
    <w:rsid w:val="006113E5"/>
    <w:rsid w:val="006119A7"/>
    <w:rsid w:val="00611AF7"/>
    <w:rsid w:val="00611BF0"/>
    <w:rsid w:val="00612932"/>
    <w:rsid w:val="00612AAA"/>
    <w:rsid w:val="0061316A"/>
    <w:rsid w:val="00613E9C"/>
    <w:rsid w:val="0061429B"/>
    <w:rsid w:val="00615170"/>
    <w:rsid w:val="00615B2C"/>
    <w:rsid w:val="0061615D"/>
    <w:rsid w:val="00616AF2"/>
    <w:rsid w:val="00617183"/>
    <w:rsid w:val="006174A6"/>
    <w:rsid w:val="00621001"/>
    <w:rsid w:val="006213A4"/>
    <w:rsid w:val="00621B27"/>
    <w:rsid w:val="00621B90"/>
    <w:rsid w:val="00623304"/>
    <w:rsid w:val="0062436A"/>
    <w:rsid w:val="00624C2C"/>
    <w:rsid w:val="00627E78"/>
    <w:rsid w:val="00630532"/>
    <w:rsid w:val="006309D5"/>
    <w:rsid w:val="00631466"/>
    <w:rsid w:val="00632123"/>
    <w:rsid w:val="00632AB9"/>
    <w:rsid w:val="00632ADD"/>
    <w:rsid w:val="00632C69"/>
    <w:rsid w:val="00633F0F"/>
    <w:rsid w:val="006347F1"/>
    <w:rsid w:val="006349C6"/>
    <w:rsid w:val="006358D9"/>
    <w:rsid w:val="00635AD1"/>
    <w:rsid w:val="006361F8"/>
    <w:rsid w:val="0063650E"/>
    <w:rsid w:val="0063658A"/>
    <w:rsid w:val="00636755"/>
    <w:rsid w:val="006374BE"/>
    <w:rsid w:val="00637953"/>
    <w:rsid w:val="006409DF"/>
    <w:rsid w:val="00640C1A"/>
    <w:rsid w:val="0064101F"/>
    <w:rsid w:val="00641443"/>
    <w:rsid w:val="0064168C"/>
    <w:rsid w:val="00641F80"/>
    <w:rsid w:val="006446E7"/>
    <w:rsid w:val="0064495C"/>
    <w:rsid w:val="00645CA0"/>
    <w:rsid w:val="006477E4"/>
    <w:rsid w:val="006502E6"/>
    <w:rsid w:val="0065098A"/>
    <w:rsid w:val="0065110A"/>
    <w:rsid w:val="00651161"/>
    <w:rsid w:val="006524BB"/>
    <w:rsid w:val="006524F9"/>
    <w:rsid w:val="00654928"/>
    <w:rsid w:val="0065555C"/>
    <w:rsid w:val="006559F1"/>
    <w:rsid w:val="00655A35"/>
    <w:rsid w:val="00657622"/>
    <w:rsid w:val="00657B77"/>
    <w:rsid w:val="006602E5"/>
    <w:rsid w:val="00660CE0"/>
    <w:rsid w:val="00661DED"/>
    <w:rsid w:val="00662804"/>
    <w:rsid w:val="006645DA"/>
    <w:rsid w:val="00664EB8"/>
    <w:rsid w:val="006651C5"/>
    <w:rsid w:val="0066568D"/>
    <w:rsid w:val="00665F09"/>
    <w:rsid w:val="0066655C"/>
    <w:rsid w:val="00666F0C"/>
    <w:rsid w:val="00667D06"/>
    <w:rsid w:val="00667E4E"/>
    <w:rsid w:val="0067001A"/>
    <w:rsid w:val="00670487"/>
    <w:rsid w:val="0067098E"/>
    <w:rsid w:val="00671B36"/>
    <w:rsid w:val="00671D8E"/>
    <w:rsid w:val="00671E3B"/>
    <w:rsid w:val="00671F92"/>
    <w:rsid w:val="00672403"/>
    <w:rsid w:val="0067254D"/>
    <w:rsid w:val="006726F6"/>
    <w:rsid w:val="006729A7"/>
    <w:rsid w:val="00672D74"/>
    <w:rsid w:val="00673BF0"/>
    <w:rsid w:val="006741F2"/>
    <w:rsid w:val="0067438D"/>
    <w:rsid w:val="006749C4"/>
    <w:rsid w:val="006758D4"/>
    <w:rsid w:val="0067600F"/>
    <w:rsid w:val="0067683B"/>
    <w:rsid w:val="00677A87"/>
    <w:rsid w:val="00677DA6"/>
    <w:rsid w:val="00680505"/>
    <w:rsid w:val="0068078A"/>
    <w:rsid w:val="00680F26"/>
    <w:rsid w:val="006810B3"/>
    <w:rsid w:val="00681BED"/>
    <w:rsid w:val="00682C5B"/>
    <w:rsid w:val="0068426D"/>
    <w:rsid w:val="00685B0D"/>
    <w:rsid w:val="00686227"/>
    <w:rsid w:val="00686870"/>
    <w:rsid w:val="00686C26"/>
    <w:rsid w:val="0068759C"/>
    <w:rsid w:val="006877DF"/>
    <w:rsid w:val="006922D0"/>
    <w:rsid w:val="0069309B"/>
    <w:rsid w:val="00693798"/>
    <w:rsid w:val="00693927"/>
    <w:rsid w:val="00694133"/>
    <w:rsid w:val="0069429D"/>
    <w:rsid w:val="006943F5"/>
    <w:rsid w:val="0069548C"/>
    <w:rsid w:val="00695D8B"/>
    <w:rsid w:val="00696521"/>
    <w:rsid w:val="0069671C"/>
    <w:rsid w:val="00696C41"/>
    <w:rsid w:val="00696E60"/>
    <w:rsid w:val="00696EFB"/>
    <w:rsid w:val="006976B9"/>
    <w:rsid w:val="006977D6"/>
    <w:rsid w:val="006A0488"/>
    <w:rsid w:val="006A13FF"/>
    <w:rsid w:val="006A1BA9"/>
    <w:rsid w:val="006A3714"/>
    <w:rsid w:val="006A39DD"/>
    <w:rsid w:val="006A497C"/>
    <w:rsid w:val="006A56A1"/>
    <w:rsid w:val="006A5885"/>
    <w:rsid w:val="006A592E"/>
    <w:rsid w:val="006A61B0"/>
    <w:rsid w:val="006A6B0D"/>
    <w:rsid w:val="006A6C52"/>
    <w:rsid w:val="006A6D31"/>
    <w:rsid w:val="006A70E6"/>
    <w:rsid w:val="006A79C4"/>
    <w:rsid w:val="006B0D11"/>
    <w:rsid w:val="006B10A1"/>
    <w:rsid w:val="006B17F2"/>
    <w:rsid w:val="006B41DC"/>
    <w:rsid w:val="006B65F1"/>
    <w:rsid w:val="006B7A53"/>
    <w:rsid w:val="006B7A9F"/>
    <w:rsid w:val="006C048A"/>
    <w:rsid w:val="006C0598"/>
    <w:rsid w:val="006C18EB"/>
    <w:rsid w:val="006C1B94"/>
    <w:rsid w:val="006C1FCD"/>
    <w:rsid w:val="006C21BB"/>
    <w:rsid w:val="006C2525"/>
    <w:rsid w:val="006C2EE4"/>
    <w:rsid w:val="006C374D"/>
    <w:rsid w:val="006C43D4"/>
    <w:rsid w:val="006C4B38"/>
    <w:rsid w:val="006C4E00"/>
    <w:rsid w:val="006C5104"/>
    <w:rsid w:val="006C53AD"/>
    <w:rsid w:val="006C544F"/>
    <w:rsid w:val="006C59EB"/>
    <w:rsid w:val="006C5C33"/>
    <w:rsid w:val="006C5D30"/>
    <w:rsid w:val="006C76B8"/>
    <w:rsid w:val="006C7F34"/>
    <w:rsid w:val="006D0296"/>
    <w:rsid w:val="006D0979"/>
    <w:rsid w:val="006D0FA1"/>
    <w:rsid w:val="006D1296"/>
    <w:rsid w:val="006D19CA"/>
    <w:rsid w:val="006D2142"/>
    <w:rsid w:val="006D2799"/>
    <w:rsid w:val="006D2B28"/>
    <w:rsid w:val="006D2F78"/>
    <w:rsid w:val="006D3035"/>
    <w:rsid w:val="006D334A"/>
    <w:rsid w:val="006D4D72"/>
    <w:rsid w:val="006D526B"/>
    <w:rsid w:val="006D5E20"/>
    <w:rsid w:val="006D693B"/>
    <w:rsid w:val="006D727E"/>
    <w:rsid w:val="006E02B4"/>
    <w:rsid w:val="006E089C"/>
    <w:rsid w:val="006E0BBC"/>
    <w:rsid w:val="006E1015"/>
    <w:rsid w:val="006E33A1"/>
    <w:rsid w:val="006E4310"/>
    <w:rsid w:val="006E4489"/>
    <w:rsid w:val="006E451A"/>
    <w:rsid w:val="006E4F08"/>
    <w:rsid w:val="006E5697"/>
    <w:rsid w:val="006E5F9A"/>
    <w:rsid w:val="006E6BE2"/>
    <w:rsid w:val="006E7256"/>
    <w:rsid w:val="006F06B2"/>
    <w:rsid w:val="006F1580"/>
    <w:rsid w:val="006F1660"/>
    <w:rsid w:val="006F173B"/>
    <w:rsid w:val="006F258D"/>
    <w:rsid w:val="006F2820"/>
    <w:rsid w:val="006F2ACD"/>
    <w:rsid w:val="006F3130"/>
    <w:rsid w:val="006F33AE"/>
    <w:rsid w:val="006F3907"/>
    <w:rsid w:val="006F4516"/>
    <w:rsid w:val="006F48ED"/>
    <w:rsid w:val="006F4B36"/>
    <w:rsid w:val="006F6798"/>
    <w:rsid w:val="006F6BFE"/>
    <w:rsid w:val="006F7E0E"/>
    <w:rsid w:val="0070012C"/>
    <w:rsid w:val="007004C4"/>
    <w:rsid w:val="007008DB"/>
    <w:rsid w:val="007026BC"/>
    <w:rsid w:val="007037BA"/>
    <w:rsid w:val="007038CB"/>
    <w:rsid w:val="0070477F"/>
    <w:rsid w:val="00704ABE"/>
    <w:rsid w:val="007058B1"/>
    <w:rsid w:val="007069A3"/>
    <w:rsid w:val="00707AB2"/>
    <w:rsid w:val="00710752"/>
    <w:rsid w:val="0071147B"/>
    <w:rsid w:val="00712982"/>
    <w:rsid w:val="00712CAD"/>
    <w:rsid w:val="00714390"/>
    <w:rsid w:val="00715624"/>
    <w:rsid w:val="00715BE2"/>
    <w:rsid w:val="00715F81"/>
    <w:rsid w:val="00716201"/>
    <w:rsid w:val="00716D77"/>
    <w:rsid w:val="00717B7D"/>
    <w:rsid w:val="00721026"/>
    <w:rsid w:val="00721441"/>
    <w:rsid w:val="00721F51"/>
    <w:rsid w:val="0072311C"/>
    <w:rsid w:val="00724AAF"/>
    <w:rsid w:val="007255D2"/>
    <w:rsid w:val="0072625A"/>
    <w:rsid w:val="00726689"/>
    <w:rsid w:val="007269FB"/>
    <w:rsid w:val="00726A16"/>
    <w:rsid w:val="00726E5B"/>
    <w:rsid w:val="00727485"/>
    <w:rsid w:val="0073080D"/>
    <w:rsid w:val="00730920"/>
    <w:rsid w:val="00730D0A"/>
    <w:rsid w:val="00730F37"/>
    <w:rsid w:val="007316E0"/>
    <w:rsid w:val="00733F43"/>
    <w:rsid w:val="00734569"/>
    <w:rsid w:val="00735700"/>
    <w:rsid w:val="00735D31"/>
    <w:rsid w:val="0073612E"/>
    <w:rsid w:val="007409DC"/>
    <w:rsid w:val="00742762"/>
    <w:rsid w:val="00742E07"/>
    <w:rsid w:val="007432DD"/>
    <w:rsid w:val="0074413E"/>
    <w:rsid w:val="007447BD"/>
    <w:rsid w:val="007458C1"/>
    <w:rsid w:val="00746085"/>
    <w:rsid w:val="007462C9"/>
    <w:rsid w:val="007470B2"/>
    <w:rsid w:val="00747F92"/>
    <w:rsid w:val="007509A1"/>
    <w:rsid w:val="00751180"/>
    <w:rsid w:val="007516FB"/>
    <w:rsid w:val="00752640"/>
    <w:rsid w:val="00752BFF"/>
    <w:rsid w:val="0075381D"/>
    <w:rsid w:val="0075593D"/>
    <w:rsid w:val="00755D00"/>
    <w:rsid w:val="00755DC0"/>
    <w:rsid w:val="00755FC4"/>
    <w:rsid w:val="00757E7E"/>
    <w:rsid w:val="00760033"/>
    <w:rsid w:val="0076013E"/>
    <w:rsid w:val="00760451"/>
    <w:rsid w:val="0076093F"/>
    <w:rsid w:val="007610AB"/>
    <w:rsid w:val="0076147E"/>
    <w:rsid w:val="007619F4"/>
    <w:rsid w:val="00761F54"/>
    <w:rsid w:val="0076235B"/>
    <w:rsid w:val="0076293E"/>
    <w:rsid w:val="0076303E"/>
    <w:rsid w:val="007634B3"/>
    <w:rsid w:val="007653C2"/>
    <w:rsid w:val="007655F7"/>
    <w:rsid w:val="007655FB"/>
    <w:rsid w:val="00767493"/>
    <w:rsid w:val="007707EB"/>
    <w:rsid w:val="007711CF"/>
    <w:rsid w:val="00771A6C"/>
    <w:rsid w:val="00771F09"/>
    <w:rsid w:val="007727FB"/>
    <w:rsid w:val="007742F1"/>
    <w:rsid w:val="007746D5"/>
    <w:rsid w:val="00774CB9"/>
    <w:rsid w:val="00774E59"/>
    <w:rsid w:val="00775697"/>
    <w:rsid w:val="00775795"/>
    <w:rsid w:val="00775F84"/>
    <w:rsid w:val="007767C0"/>
    <w:rsid w:val="00777000"/>
    <w:rsid w:val="0077785A"/>
    <w:rsid w:val="00780168"/>
    <w:rsid w:val="00780E8D"/>
    <w:rsid w:val="0078117D"/>
    <w:rsid w:val="007811DB"/>
    <w:rsid w:val="00782953"/>
    <w:rsid w:val="0078382D"/>
    <w:rsid w:val="00784C44"/>
    <w:rsid w:val="0078544A"/>
    <w:rsid w:val="00786334"/>
    <w:rsid w:val="007864A4"/>
    <w:rsid w:val="0078655F"/>
    <w:rsid w:val="00787E0D"/>
    <w:rsid w:val="00790977"/>
    <w:rsid w:val="007922C9"/>
    <w:rsid w:val="00792827"/>
    <w:rsid w:val="007936A6"/>
    <w:rsid w:val="007937CF"/>
    <w:rsid w:val="0079404F"/>
    <w:rsid w:val="0079407F"/>
    <w:rsid w:val="007947B3"/>
    <w:rsid w:val="00795E85"/>
    <w:rsid w:val="0079626A"/>
    <w:rsid w:val="00796CA0"/>
    <w:rsid w:val="00797921"/>
    <w:rsid w:val="007A0716"/>
    <w:rsid w:val="007A0A76"/>
    <w:rsid w:val="007A0EFE"/>
    <w:rsid w:val="007A2CF4"/>
    <w:rsid w:val="007A32BB"/>
    <w:rsid w:val="007A3ED6"/>
    <w:rsid w:val="007A4C94"/>
    <w:rsid w:val="007A4CBC"/>
    <w:rsid w:val="007A55A3"/>
    <w:rsid w:val="007A5CD8"/>
    <w:rsid w:val="007A6BF7"/>
    <w:rsid w:val="007A6CE7"/>
    <w:rsid w:val="007B4766"/>
    <w:rsid w:val="007B49B8"/>
    <w:rsid w:val="007B6A67"/>
    <w:rsid w:val="007B6EED"/>
    <w:rsid w:val="007B7100"/>
    <w:rsid w:val="007B7AF5"/>
    <w:rsid w:val="007B7ED7"/>
    <w:rsid w:val="007C09D4"/>
    <w:rsid w:val="007C1165"/>
    <w:rsid w:val="007C1897"/>
    <w:rsid w:val="007C2000"/>
    <w:rsid w:val="007C30BF"/>
    <w:rsid w:val="007C369B"/>
    <w:rsid w:val="007C3B97"/>
    <w:rsid w:val="007C487C"/>
    <w:rsid w:val="007C4D4D"/>
    <w:rsid w:val="007C4D69"/>
    <w:rsid w:val="007C590C"/>
    <w:rsid w:val="007C6540"/>
    <w:rsid w:val="007C781E"/>
    <w:rsid w:val="007D03FA"/>
    <w:rsid w:val="007D0BBF"/>
    <w:rsid w:val="007D0C1D"/>
    <w:rsid w:val="007D11D1"/>
    <w:rsid w:val="007D184C"/>
    <w:rsid w:val="007D1992"/>
    <w:rsid w:val="007D1DB1"/>
    <w:rsid w:val="007D292C"/>
    <w:rsid w:val="007D34C6"/>
    <w:rsid w:val="007D4D09"/>
    <w:rsid w:val="007D64D1"/>
    <w:rsid w:val="007D7B10"/>
    <w:rsid w:val="007D7D9F"/>
    <w:rsid w:val="007E0219"/>
    <w:rsid w:val="007E45B9"/>
    <w:rsid w:val="007F0E37"/>
    <w:rsid w:val="007F3B6F"/>
    <w:rsid w:val="007F455E"/>
    <w:rsid w:val="007F49FE"/>
    <w:rsid w:val="007F4E39"/>
    <w:rsid w:val="007F5302"/>
    <w:rsid w:val="007F5794"/>
    <w:rsid w:val="008000B6"/>
    <w:rsid w:val="0080070B"/>
    <w:rsid w:val="00801157"/>
    <w:rsid w:val="00801601"/>
    <w:rsid w:val="00801B59"/>
    <w:rsid w:val="00802137"/>
    <w:rsid w:val="00804676"/>
    <w:rsid w:val="008049A1"/>
    <w:rsid w:val="00805CCB"/>
    <w:rsid w:val="00806470"/>
    <w:rsid w:val="00806682"/>
    <w:rsid w:val="00810810"/>
    <w:rsid w:val="00810A1D"/>
    <w:rsid w:val="00811402"/>
    <w:rsid w:val="008133CD"/>
    <w:rsid w:val="00813EEC"/>
    <w:rsid w:val="0081420E"/>
    <w:rsid w:val="00814582"/>
    <w:rsid w:val="00814888"/>
    <w:rsid w:val="00817999"/>
    <w:rsid w:val="0082262C"/>
    <w:rsid w:val="00822DE7"/>
    <w:rsid w:val="00823A97"/>
    <w:rsid w:val="00824B6D"/>
    <w:rsid w:val="00825DF5"/>
    <w:rsid w:val="0082679A"/>
    <w:rsid w:val="00827C12"/>
    <w:rsid w:val="00830AAE"/>
    <w:rsid w:val="00831387"/>
    <w:rsid w:val="00833416"/>
    <w:rsid w:val="00833432"/>
    <w:rsid w:val="0083503D"/>
    <w:rsid w:val="0083516A"/>
    <w:rsid w:val="00835241"/>
    <w:rsid w:val="00835DE7"/>
    <w:rsid w:val="00835DE9"/>
    <w:rsid w:val="00836289"/>
    <w:rsid w:val="0084107E"/>
    <w:rsid w:val="0084295C"/>
    <w:rsid w:val="00842DEC"/>
    <w:rsid w:val="0084525F"/>
    <w:rsid w:val="00845ADD"/>
    <w:rsid w:val="00845D1F"/>
    <w:rsid w:val="008466A7"/>
    <w:rsid w:val="00846992"/>
    <w:rsid w:val="00847792"/>
    <w:rsid w:val="00847A7E"/>
    <w:rsid w:val="00847EE3"/>
    <w:rsid w:val="00850181"/>
    <w:rsid w:val="0085064E"/>
    <w:rsid w:val="00850C93"/>
    <w:rsid w:val="00851084"/>
    <w:rsid w:val="00852467"/>
    <w:rsid w:val="008524B0"/>
    <w:rsid w:val="0085291D"/>
    <w:rsid w:val="00852C7B"/>
    <w:rsid w:val="00853095"/>
    <w:rsid w:val="00853349"/>
    <w:rsid w:val="00853401"/>
    <w:rsid w:val="00853DBC"/>
    <w:rsid w:val="008544F8"/>
    <w:rsid w:val="00855831"/>
    <w:rsid w:val="00855DC9"/>
    <w:rsid w:val="008568B1"/>
    <w:rsid w:val="00857556"/>
    <w:rsid w:val="00857F85"/>
    <w:rsid w:val="00860A14"/>
    <w:rsid w:val="00860ECD"/>
    <w:rsid w:val="00861662"/>
    <w:rsid w:val="008617D4"/>
    <w:rsid w:val="00861BF3"/>
    <w:rsid w:val="00861D0D"/>
    <w:rsid w:val="008621A2"/>
    <w:rsid w:val="00863218"/>
    <w:rsid w:val="008648CA"/>
    <w:rsid w:val="0086507D"/>
    <w:rsid w:val="00865819"/>
    <w:rsid w:val="00867B93"/>
    <w:rsid w:val="008707E6"/>
    <w:rsid w:val="00870A56"/>
    <w:rsid w:val="00870C7D"/>
    <w:rsid w:val="0087106B"/>
    <w:rsid w:val="008714B9"/>
    <w:rsid w:val="00873DAF"/>
    <w:rsid w:val="008744B7"/>
    <w:rsid w:val="00874848"/>
    <w:rsid w:val="00874BC3"/>
    <w:rsid w:val="00874CE4"/>
    <w:rsid w:val="008752DD"/>
    <w:rsid w:val="008766A3"/>
    <w:rsid w:val="00876D46"/>
    <w:rsid w:val="008772EE"/>
    <w:rsid w:val="008776E9"/>
    <w:rsid w:val="00880D1D"/>
    <w:rsid w:val="0088167B"/>
    <w:rsid w:val="00882509"/>
    <w:rsid w:val="0088254F"/>
    <w:rsid w:val="008825E7"/>
    <w:rsid w:val="00882B54"/>
    <w:rsid w:val="00883351"/>
    <w:rsid w:val="00883458"/>
    <w:rsid w:val="00883511"/>
    <w:rsid w:val="00883868"/>
    <w:rsid w:val="00883C6C"/>
    <w:rsid w:val="00883D79"/>
    <w:rsid w:val="0088579E"/>
    <w:rsid w:val="00885AB6"/>
    <w:rsid w:val="00887071"/>
    <w:rsid w:val="0088756F"/>
    <w:rsid w:val="008876F0"/>
    <w:rsid w:val="008908E7"/>
    <w:rsid w:val="00890CE4"/>
    <w:rsid w:val="008910D6"/>
    <w:rsid w:val="00891D9D"/>
    <w:rsid w:val="00892356"/>
    <w:rsid w:val="00892A62"/>
    <w:rsid w:val="0089314E"/>
    <w:rsid w:val="00893FD9"/>
    <w:rsid w:val="00895473"/>
    <w:rsid w:val="0089666C"/>
    <w:rsid w:val="008968A1"/>
    <w:rsid w:val="0089714E"/>
    <w:rsid w:val="00897BEC"/>
    <w:rsid w:val="008A20DA"/>
    <w:rsid w:val="008A2B28"/>
    <w:rsid w:val="008A2EA6"/>
    <w:rsid w:val="008A33D1"/>
    <w:rsid w:val="008A3CC5"/>
    <w:rsid w:val="008A46FB"/>
    <w:rsid w:val="008A5B17"/>
    <w:rsid w:val="008A6145"/>
    <w:rsid w:val="008A6188"/>
    <w:rsid w:val="008A623B"/>
    <w:rsid w:val="008A6FB3"/>
    <w:rsid w:val="008A730C"/>
    <w:rsid w:val="008A75A4"/>
    <w:rsid w:val="008B02CF"/>
    <w:rsid w:val="008B087F"/>
    <w:rsid w:val="008B2039"/>
    <w:rsid w:val="008B357E"/>
    <w:rsid w:val="008B3E6D"/>
    <w:rsid w:val="008B453E"/>
    <w:rsid w:val="008B64B6"/>
    <w:rsid w:val="008B662B"/>
    <w:rsid w:val="008B6CCD"/>
    <w:rsid w:val="008C204F"/>
    <w:rsid w:val="008C5003"/>
    <w:rsid w:val="008C50DF"/>
    <w:rsid w:val="008C69F8"/>
    <w:rsid w:val="008C7006"/>
    <w:rsid w:val="008C72AF"/>
    <w:rsid w:val="008C73BA"/>
    <w:rsid w:val="008D0AC4"/>
    <w:rsid w:val="008D1442"/>
    <w:rsid w:val="008D146C"/>
    <w:rsid w:val="008D1C74"/>
    <w:rsid w:val="008D1EF2"/>
    <w:rsid w:val="008D27DB"/>
    <w:rsid w:val="008D3084"/>
    <w:rsid w:val="008D4DF7"/>
    <w:rsid w:val="008D63B5"/>
    <w:rsid w:val="008D7B9D"/>
    <w:rsid w:val="008D7C56"/>
    <w:rsid w:val="008E08E6"/>
    <w:rsid w:val="008E2C5C"/>
    <w:rsid w:val="008E37C7"/>
    <w:rsid w:val="008E3AE9"/>
    <w:rsid w:val="008E481E"/>
    <w:rsid w:val="008E4B54"/>
    <w:rsid w:val="008E56BC"/>
    <w:rsid w:val="008E5D0C"/>
    <w:rsid w:val="008E6F54"/>
    <w:rsid w:val="008E7515"/>
    <w:rsid w:val="008F00C6"/>
    <w:rsid w:val="008F00CF"/>
    <w:rsid w:val="008F047E"/>
    <w:rsid w:val="008F04FE"/>
    <w:rsid w:val="008F07A8"/>
    <w:rsid w:val="008F1052"/>
    <w:rsid w:val="008F17E4"/>
    <w:rsid w:val="008F1B42"/>
    <w:rsid w:val="008F1FDA"/>
    <w:rsid w:val="008F23B8"/>
    <w:rsid w:val="008F2498"/>
    <w:rsid w:val="008F2C0B"/>
    <w:rsid w:val="008F3726"/>
    <w:rsid w:val="008F508C"/>
    <w:rsid w:val="008F5DEC"/>
    <w:rsid w:val="008F5E1A"/>
    <w:rsid w:val="008F5E48"/>
    <w:rsid w:val="008F6E31"/>
    <w:rsid w:val="008F7A4A"/>
    <w:rsid w:val="00900722"/>
    <w:rsid w:val="00901364"/>
    <w:rsid w:val="009027CB"/>
    <w:rsid w:val="00903317"/>
    <w:rsid w:val="00903750"/>
    <w:rsid w:val="009041EB"/>
    <w:rsid w:val="00904880"/>
    <w:rsid w:val="009049A9"/>
    <w:rsid w:val="00905363"/>
    <w:rsid w:val="0090548A"/>
    <w:rsid w:val="009056B3"/>
    <w:rsid w:val="00905B0C"/>
    <w:rsid w:val="0090623E"/>
    <w:rsid w:val="00906395"/>
    <w:rsid w:val="00906405"/>
    <w:rsid w:val="00906969"/>
    <w:rsid w:val="00907FA7"/>
    <w:rsid w:val="0091043A"/>
    <w:rsid w:val="009104F6"/>
    <w:rsid w:val="00910F98"/>
    <w:rsid w:val="009119C7"/>
    <w:rsid w:val="00911F62"/>
    <w:rsid w:val="009122DB"/>
    <w:rsid w:val="0091275D"/>
    <w:rsid w:val="00912B35"/>
    <w:rsid w:val="009136DB"/>
    <w:rsid w:val="0091443D"/>
    <w:rsid w:val="00914DF9"/>
    <w:rsid w:val="00915D74"/>
    <w:rsid w:val="009160E2"/>
    <w:rsid w:val="00916364"/>
    <w:rsid w:val="009166DC"/>
    <w:rsid w:val="0091745D"/>
    <w:rsid w:val="009174A4"/>
    <w:rsid w:val="00920648"/>
    <w:rsid w:val="00921425"/>
    <w:rsid w:val="00922995"/>
    <w:rsid w:val="009233D9"/>
    <w:rsid w:val="009239CD"/>
    <w:rsid w:val="009245CA"/>
    <w:rsid w:val="00924D44"/>
    <w:rsid w:val="0092553B"/>
    <w:rsid w:val="00925A98"/>
    <w:rsid w:val="0092685D"/>
    <w:rsid w:val="00926BFF"/>
    <w:rsid w:val="00926D6F"/>
    <w:rsid w:val="009271F8"/>
    <w:rsid w:val="00927A3D"/>
    <w:rsid w:val="009302A5"/>
    <w:rsid w:val="009302CE"/>
    <w:rsid w:val="00930D40"/>
    <w:rsid w:val="00931BBF"/>
    <w:rsid w:val="00931E6B"/>
    <w:rsid w:val="009325FF"/>
    <w:rsid w:val="00933EF0"/>
    <w:rsid w:val="009343EC"/>
    <w:rsid w:val="00934971"/>
    <w:rsid w:val="009367A4"/>
    <w:rsid w:val="00936A6C"/>
    <w:rsid w:val="00936C09"/>
    <w:rsid w:val="00937758"/>
    <w:rsid w:val="00937FA6"/>
    <w:rsid w:val="00941498"/>
    <w:rsid w:val="00941733"/>
    <w:rsid w:val="00941ECB"/>
    <w:rsid w:val="00942197"/>
    <w:rsid w:val="009421F1"/>
    <w:rsid w:val="009427D1"/>
    <w:rsid w:val="00942E8D"/>
    <w:rsid w:val="00942F6A"/>
    <w:rsid w:val="00943144"/>
    <w:rsid w:val="0094382D"/>
    <w:rsid w:val="0094436C"/>
    <w:rsid w:val="009443B6"/>
    <w:rsid w:val="009444E1"/>
    <w:rsid w:val="009446B5"/>
    <w:rsid w:val="00944EC1"/>
    <w:rsid w:val="00945A5B"/>
    <w:rsid w:val="0094706C"/>
    <w:rsid w:val="0094750C"/>
    <w:rsid w:val="00950127"/>
    <w:rsid w:val="00952A80"/>
    <w:rsid w:val="00952C13"/>
    <w:rsid w:val="009542FA"/>
    <w:rsid w:val="009566A9"/>
    <w:rsid w:val="00956E64"/>
    <w:rsid w:val="0095727D"/>
    <w:rsid w:val="0096012D"/>
    <w:rsid w:val="00961C99"/>
    <w:rsid w:val="009637A5"/>
    <w:rsid w:val="009637BC"/>
    <w:rsid w:val="00963826"/>
    <w:rsid w:val="00963FA7"/>
    <w:rsid w:val="009643D0"/>
    <w:rsid w:val="00964A92"/>
    <w:rsid w:val="00964E68"/>
    <w:rsid w:val="00966A52"/>
    <w:rsid w:val="0096713A"/>
    <w:rsid w:val="00971020"/>
    <w:rsid w:val="00971335"/>
    <w:rsid w:val="009714C2"/>
    <w:rsid w:val="009718AE"/>
    <w:rsid w:val="00971FA7"/>
    <w:rsid w:val="00973F7C"/>
    <w:rsid w:val="0097410B"/>
    <w:rsid w:val="0097427F"/>
    <w:rsid w:val="00974431"/>
    <w:rsid w:val="00974D9C"/>
    <w:rsid w:val="00974E8B"/>
    <w:rsid w:val="00975EE3"/>
    <w:rsid w:val="009766AC"/>
    <w:rsid w:val="00977C0A"/>
    <w:rsid w:val="00981787"/>
    <w:rsid w:val="00981BD6"/>
    <w:rsid w:val="0098474F"/>
    <w:rsid w:val="00984F31"/>
    <w:rsid w:val="009858E0"/>
    <w:rsid w:val="00985DA2"/>
    <w:rsid w:val="009865E9"/>
    <w:rsid w:val="00986FCC"/>
    <w:rsid w:val="009870BE"/>
    <w:rsid w:val="009902FE"/>
    <w:rsid w:val="00990CCB"/>
    <w:rsid w:val="00990F27"/>
    <w:rsid w:val="00990F90"/>
    <w:rsid w:val="009925D1"/>
    <w:rsid w:val="00994078"/>
    <w:rsid w:val="0099440F"/>
    <w:rsid w:val="00994D99"/>
    <w:rsid w:val="009964AD"/>
    <w:rsid w:val="00996AFD"/>
    <w:rsid w:val="00997CAB"/>
    <w:rsid w:val="009A0715"/>
    <w:rsid w:val="009A1FDA"/>
    <w:rsid w:val="009A2107"/>
    <w:rsid w:val="009A33A8"/>
    <w:rsid w:val="009A36F8"/>
    <w:rsid w:val="009A4B13"/>
    <w:rsid w:val="009A4E39"/>
    <w:rsid w:val="009A5D06"/>
    <w:rsid w:val="009A62EF"/>
    <w:rsid w:val="009A7152"/>
    <w:rsid w:val="009A77DA"/>
    <w:rsid w:val="009A7A59"/>
    <w:rsid w:val="009A7A94"/>
    <w:rsid w:val="009B0290"/>
    <w:rsid w:val="009B1063"/>
    <w:rsid w:val="009B33E8"/>
    <w:rsid w:val="009B3581"/>
    <w:rsid w:val="009B45C9"/>
    <w:rsid w:val="009B48EA"/>
    <w:rsid w:val="009B5B79"/>
    <w:rsid w:val="009C015D"/>
    <w:rsid w:val="009C2CA6"/>
    <w:rsid w:val="009C3177"/>
    <w:rsid w:val="009C3E46"/>
    <w:rsid w:val="009C4288"/>
    <w:rsid w:val="009C4DBE"/>
    <w:rsid w:val="009C4E6C"/>
    <w:rsid w:val="009C5B52"/>
    <w:rsid w:val="009C6A9C"/>
    <w:rsid w:val="009C6EE1"/>
    <w:rsid w:val="009D0770"/>
    <w:rsid w:val="009D0D35"/>
    <w:rsid w:val="009D0DDE"/>
    <w:rsid w:val="009D201F"/>
    <w:rsid w:val="009D281B"/>
    <w:rsid w:val="009D2CD7"/>
    <w:rsid w:val="009D3270"/>
    <w:rsid w:val="009D3A0F"/>
    <w:rsid w:val="009D4030"/>
    <w:rsid w:val="009D4078"/>
    <w:rsid w:val="009D42D9"/>
    <w:rsid w:val="009D5BE1"/>
    <w:rsid w:val="009D780B"/>
    <w:rsid w:val="009D7FA8"/>
    <w:rsid w:val="009E0537"/>
    <w:rsid w:val="009E14FB"/>
    <w:rsid w:val="009E15E4"/>
    <w:rsid w:val="009E1A69"/>
    <w:rsid w:val="009E1AFA"/>
    <w:rsid w:val="009E328F"/>
    <w:rsid w:val="009E3A79"/>
    <w:rsid w:val="009E5B20"/>
    <w:rsid w:val="009E649F"/>
    <w:rsid w:val="009E66FB"/>
    <w:rsid w:val="009E7DCF"/>
    <w:rsid w:val="009F00FD"/>
    <w:rsid w:val="009F0F4E"/>
    <w:rsid w:val="009F1610"/>
    <w:rsid w:val="009F18DF"/>
    <w:rsid w:val="009F2D05"/>
    <w:rsid w:val="009F2F56"/>
    <w:rsid w:val="009F31EE"/>
    <w:rsid w:val="009F332D"/>
    <w:rsid w:val="009F38C5"/>
    <w:rsid w:val="009F41B6"/>
    <w:rsid w:val="009F4EE4"/>
    <w:rsid w:val="009F5448"/>
    <w:rsid w:val="009F58AA"/>
    <w:rsid w:val="009F5F9D"/>
    <w:rsid w:val="009F6C79"/>
    <w:rsid w:val="009F6F3B"/>
    <w:rsid w:val="009F7602"/>
    <w:rsid w:val="009F7BFB"/>
    <w:rsid w:val="00A0075D"/>
    <w:rsid w:val="00A00768"/>
    <w:rsid w:val="00A010B8"/>
    <w:rsid w:val="00A015B1"/>
    <w:rsid w:val="00A01D3D"/>
    <w:rsid w:val="00A01D43"/>
    <w:rsid w:val="00A026A2"/>
    <w:rsid w:val="00A0378C"/>
    <w:rsid w:val="00A0452C"/>
    <w:rsid w:val="00A06302"/>
    <w:rsid w:val="00A06544"/>
    <w:rsid w:val="00A065DC"/>
    <w:rsid w:val="00A06634"/>
    <w:rsid w:val="00A06848"/>
    <w:rsid w:val="00A06E75"/>
    <w:rsid w:val="00A1074B"/>
    <w:rsid w:val="00A108DE"/>
    <w:rsid w:val="00A12711"/>
    <w:rsid w:val="00A12E07"/>
    <w:rsid w:val="00A130D3"/>
    <w:rsid w:val="00A1348F"/>
    <w:rsid w:val="00A14412"/>
    <w:rsid w:val="00A14663"/>
    <w:rsid w:val="00A14BE7"/>
    <w:rsid w:val="00A14D7D"/>
    <w:rsid w:val="00A14DCC"/>
    <w:rsid w:val="00A14F6D"/>
    <w:rsid w:val="00A15161"/>
    <w:rsid w:val="00A16223"/>
    <w:rsid w:val="00A1684E"/>
    <w:rsid w:val="00A168C8"/>
    <w:rsid w:val="00A16B69"/>
    <w:rsid w:val="00A17F4E"/>
    <w:rsid w:val="00A17FE8"/>
    <w:rsid w:val="00A204C2"/>
    <w:rsid w:val="00A225FF"/>
    <w:rsid w:val="00A23F42"/>
    <w:rsid w:val="00A24FBE"/>
    <w:rsid w:val="00A25C98"/>
    <w:rsid w:val="00A268C3"/>
    <w:rsid w:val="00A270D1"/>
    <w:rsid w:val="00A30033"/>
    <w:rsid w:val="00A308FA"/>
    <w:rsid w:val="00A30AD8"/>
    <w:rsid w:val="00A316D6"/>
    <w:rsid w:val="00A32682"/>
    <w:rsid w:val="00A327B0"/>
    <w:rsid w:val="00A345AD"/>
    <w:rsid w:val="00A34894"/>
    <w:rsid w:val="00A35019"/>
    <w:rsid w:val="00A3533F"/>
    <w:rsid w:val="00A362CB"/>
    <w:rsid w:val="00A36314"/>
    <w:rsid w:val="00A3756F"/>
    <w:rsid w:val="00A3786E"/>
    <w:rsid w:val="00A37E04"/>
    <w:rsid w:val="00A40221"/>
    <w:rsid w:val="00A408F8"/>
    <w:rsid w:val="00A40CE3"/>
    <w:rsid w:val="00A40DB0"/>
    <w:rsid w:val="00A4202B"/>
    <w:rsid w:val="00A424DF"/>
    <w:rsid w:val="00A42AF9"/>
    <w:rsid w:val="00A43020"/>
    <w:rsid w:val="00A43895"/>
    <w:rsid w:val="00A4389E"/>
    <w:rsid w:val="00A445D8"/>
    <w:rsid w:val="00A44A68"/>
    <w:rsid w:val="00A45A7F"/>
    <w:rsid w:val="00A45DA4"/>
    <w:rsid w:val="00A45DBD"/>
    <w:rsid w:val="00A4626B"/>
    <w:rsid w:val="00A46413"/>
    <w:rsid w:val="00A465E2"/>
    <w:rsid w:val="00A46E28"/>
    <w:rsid w:val="00A47FC2"/>
    <w:rsid w:val="00A50C3A"/>
    <w:rsid w:val="00A51654"/>
    <w:rsid w:val="00A51B45"/>
    <w:rsid w:val="00A51BDE"/>
    <w:rsid w:val="00A52795"/>
    <w:rsid w:val="00A53450"/>
    <w:rsid w:val="00A53FD6"/>
    <w:rsid w:val="00A545D4"/>
    <w:rsid w:val="00A54CA0"/>
    <w:rsid w:val="00A55864"/>
    <w:rsid w:val="00A55DFE"/>
    <w:rsid w:val="00A6006D"/>
    <w:rsid w:val="00A60797"/>
    <w:rsid w:val="00A614FD"/>
    <w:rsid w:val="00A61864"/>
    <w:rsid w:val="00A61BFA"/>
    <w:rsid w:val="00A627A4"/>
    <w:rsid w:val="00A636B3"/>
    <w:rsid w:val="00A64097"/>
    <w:rsid w:val="00A648B2"/>
    <w:rsid w:val="00A6639D"/>
    <w:rsid w:val="00A66AD4"/>
    <w:rsid w:val="00A67A0F"/>
    <w:rsid w:val="00A71E03"/>
    <w:rsid w:val="00A721D3"/>
    <w:rsid w:val="00A72A40"/>
    <w:rsid w:val="00A73088"/>
    <w:rsid w:val="00A73F1B"/>
    <w:rsid w:val="00A74AE4"/>
    <w:rsid w:val="00A750EA"/>
    <w:rsid w:val="00A75501"/>
    <w:rsid w:val="00A7639F"/>
    <w:rsid w:val="00A76791"/>
    <w:rsid w:val="00A76D4F"/>
    <w:rsid w:val="00A7777E"/>
    <w:rsid w:val="00A77BD3"/>
    <w:rsid w:val="00A80BF7"/>
    <w:rsid w:val="00A81E74"/>
    <w:rsid w:val="00A8204D"/>
    <w:rsid w:val="00A839C2"/>
    <w:rsid w:val="00A83CBD"/>
    <w:rsid w:val="00A84353"/>
    <w:rsid w:val="00A84437"/>
    <w:rsid w:val="00A84A52"/>
    <w:rsid w:val="00A84E65"/>
    <w:rsid w:val="00A850B5"/>
    <w:rsid w:val="00A85245"/>
    <w:rsid w:val="00A853C5"/>
    <w:rsid w:val="00A86D99"/>
    <w:rsid w:val="00A87149"/>
    <w:rsid w:val="00A8731E"/>
    <w:rsid w:val="00A87BD0"/>
    <w:rsid w:val="00A90461"/>
    <w:rsid w:val="00A907AA"/>
    <w:rsid w:val="00A916AD"/>
    <w:rsid w:val="00A92610"/>
    <w:rsid w:val="00A92772"/>
    <w:rsid w:val="00A93480"/>
    <w:rsid w:val="00A934D7"/>
    <w:rsid w:val="00A93711"/>
    <w:rsid w:val="00A93AE3"/>
    <w:rsid w:val="00A94335"/>
    <w:rsid w:val="00A95100"/>
    <w:rsid w:val="00A9563C"/>
    <w:rsid w:val="00A97141"/>
    <w:rsid w:val="00A97792"/>
    <w:rsid w:val="00A979D7"/>
    <w:rsid w:val="00A97EF1"/>
    <w:rsid w:val="00AA0ED2"/>
    <w:rsid w:val="00AA12C5"/>
    <w:rsid w:val="00AA13E6"/>
    <w:rsid w:val="00AA151D"/>
    <w:rsid w:val="00AA1A31"/>
    <w:rsid w:val="00AA289D"/>
    <w:rsid w:val="00AA3194"/>
    <w:rsid w:val="00AA421F"/>
    <w:rsid w:val="00AA43FA"/>
    <w:rsid w:val="00AA55C8"/>
    <w:rsid w:val="00AA5EFF"/>
    <w:rsid w:val="00AA7EFB"/>
    <w:rsid w:val="00AB07E0"/>
    <w:rsid w:val="00AB2FAE"/>
    <w:rsid w:val="00AB33A0"/>
    <w:rsid w:val="00AB3A83"/>
    <w:rsid w:val="00AB4EE2"/>
    <w:rsid w:val="00AB5E77"/>
    <w:rsid w:val="00AB72D2"/>
    <w:rsid w:val="00AB7D7F"/>
    <w:rsid w:val="00AC2090"/>
    <w:rsid w:val="00AC21BA"/>
    <w:rsid w:val="00AC229C"/>
    <w:rsid w:val="00AC2473"/>
    <w:rsid w:val="00AC2DAE"/>
    <w:rsid w:val="00AC4816"/>
    <w:rsid w:val="00AC484B"/>
    <w:rsid w:val="00AC4B75"/>
    <w:rsid w:val="00AC508A"/>
    <w:rsid w:val="00AC5353"/>
    <w:rsid w:val="00AC5BC7"/>
    <w:rsid w:val="00AC5E87"/>
    <w:rsid w:val="00AC67D9"/>
    <w:rsid w:val="00AC67FC"/>
    <w:rsid w:val="00AD03C8"/>
    <w:rsid w:val="00AD1356"/>
    <w:rsid w:val="00AD153D"/>
    <w:rsid w:val="00AD2203"/>
    <w:rsid w:val="00AD2374"/>
    <w:rsid w:val="00AD2408"/>
    <w:rsid w:val="00AD2725"/>
    <w:rsid w:val="00AD38AD"/>
    <w:rsid w:val="00AD4A2F"/>
    <w:rsid w:val="00AD4CA5"/>
    <w:rsid w:val="00AD5149"/>
    <w:rsid w:val="00AD5271"/>
    <w:rsid w:val="00AD66E8"/>
    <w:rsid w:val="00AD6B6A"/>
    <w:rsid w:val="00AD6E28"/>
    <w:rsid w:val="00AD721D"/>
    <w:rsid w:val="00AD73A9"/>
    <w:rsid w:val="00AE01A0"/>
    <w:rsid w:val="00AE06BB"/>
    <w:rsid w:val="00AE1019"/>
    <w:rsid w:val="00AE1237"/>
    <w:rsid w:val="00AE15FA"/>
    <w:rsid w:val="00AE162B"/>
    <w:rsid w:val="00AE1874"/>
    <w:rsid w:val="00AE3143"/>
    <w:rsid w:val="00AE3169"/>
    <w:rsid w:val="00AE3309"/>
    <w:rsid w:val="00AE35BF"/>
    <w:rsid w:val="00AE3E4D"/>
    <w:rsid w:val="00AE43FF"/>
    <w:rsid w:val="00AE5032"/>
    <w:rsid w:val="00AE589A"/>
    <w:rsid w:val="00AE61BA"/>
    <w:rsid w:val="00AE65B0"/>
    <w:rsid w:val="00AE7006"/>
    <w:rsid w:val="00AE7091"/>
    <w:rsid w:val="00AE75B4"/>
    <w:rsid w:val="00AF2010"/>
    <w:rsid w:val="00AF2141"/>
    <w:rsid w:val="00AF2361"/>
    <w:rsid w:val="00AF2436"/>
    <w:rsid w:val="00AF290C"/>
    <w:rsid w:val="00AF34BC"/>
    <w:rsid w:val="00AF4208"/>
    <w:rsid w:val="00AF45A6"/>
    <w:rsid w:val="00AF4ABF"/>
    <w:rsid w:val="00AF5DAC"/>
    <w:rsid w:val="00AF6000"/>
    <w:rsid w:val="00AF6CD1"/>
    <w:rsid w:val="00AF735B"/>
    <w:rsid w:val="00AF7603"/>
    <w:rsid w:val="00AF77A3"/>
    <w:rsid w:val="00B00FC9"/>
    <w:rsid w:val="00B02ED9"/>
    <w:rsid w:val="00B0355A"/>
    <w:rsid w:val="00B035F7"/>
    <w:rsid w:val="00B04BF0"/>
    <w:rsid w:val="00B054BF"/>
    <w:rsid w:val="00B057E1"/>
    <w:rsid w:val="00B06C06"/>
    <w:rsid w:val="00B07220"/>
    <w:rsid w:val="00B0776B"/>
    <w:rsid w:val="00B07A6B"/>
    <w:rsid w:val="00B11B96"/>
    <w:rsid w:val="00B11F5E"/>
    <w:rsid w:val="00B12D24"/>
    <w:rsid w:val="00B13302"/>
    <w:rsid w:val="00B13683"/>
    <w:rsid w:val="00B139CA"/>
    <w:rsid w:val="00B13F03"/>
    <w:rsid w:val="00B15456"/>
    <w:rsid w:val="00B1545C"/>
    <w:rsid w:val="00B15985"/>
    <w:rsid w:val="00B15E08"/>
    <w:rsid w:val="00B17115"/>
    <w:rsid w:val="00B176E9"/>
    <w:rsid w:val="00B17968"/>
    <w:rsid w:val="00B17A4B"/>
    <w:rsid w:val="00B17DA1"/>
    <w:rsid w:val="00B2022D"/>
    <w:rsid w:val="00B2040D"/>
    <w:rsid w:val="00B204B8"/>
    <w:rsid w:val="00B206B1"/>
    <w:rsid w:val="00B20718"/>
    <w:rsid w:val="00B2074F"/>
    <w:rsid w:val="00B211B4"/>
    <w:rsid w:val="00B21235"/>
    <w:rsid w:val="00B21255"/>
    <w:rsid w:val="00B22967"/>
    <w:rsid w:val="00B23C7A"/>
    <w:rsid w:val="00B2487A"/>
    <w:rsid w:val="00B24EA8"/>
    <w:rsid w:val="00B2637D"/>
    <w:rsid w:val="00B2681B"/>
    <w:rsid w:val="00B26D3F"/>
    <w:rsid w:val="00B27792"/>
    <w:rsid w:val="00B27CF0"/>
    <w:rsid w:val="00B308DB"/>
    <w:rsid w:val="00B30DC3"/>
    <w:rsid w:val="00B31359"/>
    <w:rsid w:val="00B31F5B"/>
    <w:rsid w:val="00B32014"/>
    <w:rsid w:val="00B320A6"/>
    <w:rsid w:val="00B32594"/>
    <w:rsid w:val="00B332AC"/>
    <w:rsid w:val="00B33773"/>
    <w:rsid w:val="00B34726"/>
    <w:rsid w:val="00B34799"/>
    <w:rsid w:val="00B34955"/>
    <w:rsid w:val="00B357AB"/>
    <w:rsid w:val="00B35AE8"/>
    <w:rsid w:val="00B364EE"/>
    <w:rsid w:val="00B3679D"/>
    <w:rsid w:val="00B368CA"/>
    <w:rsid w:val="00B36D65"/>
    <w:rsid w:val="00B379A6"/>
    <w:rsid w:val="00B40A1E"/>
    <w:rsid w:val="00B410F1"/>
    <w:rsid w:val="00B41471"/>
    <w:rsid w:val="00B4168C"/>
    <w:rsid w:val="00B41740"/>
    <w:rsid w:val="00B41F29"/>
    <w:rsid w:val="00B42D98"/>
    <w:rsid w:val="00B4347F"/>
    <w:rsid w:val="00B43A33"/>
    <w:rsid w:val="00B44D1F"/>
    <w:rsid w:val="00B46CF3"/>
    <w:rsid w:val="00B46FDE"/>
    <w:rsid w:val="00B47560"/>
    <w:rsid w:val="00B47B10"/>
    <w:rsid w:val="00B47D52"/>
    <w:rsid w:val="00B505CC"/>
    <w:rsid w:val="00B516F1"/>
    <w:rsid w:val="00B517AC"/>
    <w:rsid w:val="00B5280D"/>
    <w:rsid w:val="00B52B75"/>
    <w:rsid w:val="00B536C9"/>
    <w:rsid w:val="00B540C9"/>
    <w:rsid w:val="00B54552"/>
    <w:rsid w:val="00B56237"/>
    <w:rsid w:val="00B57C76"/>
    <w:rsid w:val="00B619D6"/>
    <w:rsid w:val="00B629B0"/>
    <w:rsid w:val="00B62C43"/>
    <w:rsid w:val="00B62E4E"/>
    <w:rsid w:val="00B63354"/>
    <w:rsid w:val="00B63584"/>
    <w:rsid w:val="00B6440E"/>
    <w:rsid w:val="00B64418"/>
    <w:rsid w:val="00B6457E"/>
    <w:rsid w:val="00B64D76"/>
    <w:rsid w:val="00B66023"/>
    <w:rsid w:val="00B667B3"/>
    <w:rsid w:val="00B66B42"/>
    <w:rsid w:val="00B66BC6"/>
    <w:rsid w:val="00B670BA"/>
    <w:rsid w:val="00B67C80"/>
    <w:rsid w:val="00B67E80"/>
    <w:rsid w:val="00B701FD"/>
    <w:rsid w:val="00B70473"/>
    <w:rsid w:val="00B710A1"/>
    <w:rsid w:val="00B711B1"/>
    <w:rsid w:val="00B717A9"/>
    <w:rsid w:val="00B71820"/>
    <w:rsid w:val="00B7184E"/>
    <w:rsid w:val="00B71DD2"/>
    <w:rsid w:val="00B728BE"/>
    <w:rsid w:val="00B732F3"/>
    <w:rsid w:val="00B7393F"/>
    <w:rsid w:val="00B7425F"/>
    <w:rsid w:val="00B76029"/>
    <w:rsid w:val="00B7643E"/>
    <w:rsid w:val="00B8058F"/>
    <w:rsid w:val="00B80ACA"/>
    <w:rsid w:val="00B80FD0"/>
    <w:rsid w:val="00B823FC"/>
    <w:rsid w:val="00B82506"/>
    <w:rsid w:val="00B82602"/>
    <w:rsid w:val="00B83954"/>
    <w:rsid w:val="00B844EB"/>
    <w:rsid w:val="00B859ED"/>
    <w:rsid w:val="00B86162"/>
    <w:rsid w:val="00B862E8"/>
    <w:rsid w:val="00B86AD5"/>
    <w:rsid w:val="00B8788D"/>
    <w:rsid w:val="00B90F92"/>
    <w:rsid w:val="00B9122D"/>
    <w:rsid w:val="00B91247"/>
    <w:rsid w:val="00B91B26"/>
    <w:rsid w:val="00B92156"/>
    <w:rsid w:val="00B93931"/>
    <w:rsid w:val="00B9451A"/>
    <w:rsid w:val="00B94521"/>
    <w:rsid w:val="00B945A8"/>
    <w:rsid w:val="00B9586A"/>
    <w:rsid w:val="00B972C4"/>
    <w:rsid w:val="00B97754"/>
    <w:rsid w:val="00BA08F8"/>
    <w:rsid w:val="00BA0DBC"/>
    <w:rsid w:val="00BA17B8"/>
    <w:rsid w:val="00BA1EFD"/>
    <w:rsid w:val="00BA214B"/>
    <w:rsid w:val="00BA2433"/>
    <w:rsid w:val="00BA3858"/>
    <w:rsid w:val="00BA3A98"/>
    <w:rsid w:val="00BA43CF"/>
    <w:rsid w:val="00BA53F8"/>
    <w:rsid w:val="00BA6180"/>
    <w:rsid w:val="00BA6BC0"/>
    <w:rsid w:val="00BA6E8D"/>
    <w:rsid w:val="00BA7177"/>
    <w:rsid w:val="00BA7364"/>
    <w:rsid w:val="00BA782E"/>
    <w:rsid w:val="00BA7D8D"/>
    <w:rsid w:val="00BB0BBC"/>
    <w:rsid w:val="00BB1076"/>
    <w:rsid w:val="00BB1691"/>
    <w:rsid w:val="00BB1875"/>
    <w:rsid w:val="00BB21E4"/>
    <w:rsid w:val="00BB33A8"/>
    <w:rsid w:val="00BB3485"/>
    <w:rsid w:val="00BB3573"/>
    <w:rsid w:val="00BB417E"/>
    <w:rsid w:val="00BB43EB"/>
    <w:rsid w:val="00BB4C74"/>
    <w:rsid w:val="00BB4D4A"/>
    <w:rsid w:val="00BB50F3"/>
    <w:rsid w:val="00BB5F41"/>
    <w:rsid w:val="00BB633B"/>
    <w:rsid w:val="00BB7080"/>
    <w:rsid w:val="00BB75FA"/>
    <w:rsid w:val="00BB7948"/>
    <w:rsid w:val="00BB798F"/>
    <w:rsid w:val="00BC0047"/>
    <w:rsid w:val="00BC06A3"/>
    <w:rsid w:val="00BC4645"/>
    <w:rsid w:val="00BC514F"/>
    <w:rsid w:val="00BC56A7"/>
    <w:rsid w:val="00BC5A60"/>
    <w:rsid w:val="00BC5E92"/>
    <w:rsid w:val="00BC60F9"/>
    <w:rsid w:val="00BC6112"/>
    <w:rsid w:val="00BC613E"/>
    <w:rsid w:val="00BC66F7"/>
    <w:rsid w:val="00BC6C11"/>
    <w:rsid w:val="00BD0028"/>
    <w:rsid w:val="00BD218A"/>
    <w:rsid w:val="00BD28A8"/>
    <w:rsid w:val="00BD5575"/>
    <w:rsid w:val="00BD62F4"/>
    <w:rsid w:val="00BD669C"/>
    <w:rsid w:val="00BD6941"/>
    <w:rsid w:val="00BD7826"/>
    <w:rsid w:val="00BD7A73"/>
    <w:rsid w:val="00BD7ABB"/>
    <w:rsid w:val="00BD7C3B"/>
    <w:rsid w:val="00BE205C"/>
    <w:rsid w:val="00BE2A46"/>
    <w:rsid w:val="00BE36E0"/>
    <w:rsid w:val="00BE3A6F"/>
    <w:rsid w:val="00BE4AFF"/>
    <w:rsid w:val="00BE6133"/>
    <w:rsid w:val="00BE61D4"/>
    <w:rsid w:val="00BE6F06"/>
    <w:rsid w:val="00BE70ED"/>
    <w:rsid w:val="00BF011A"/>
    <w:rsid w:val="00BF1D36"/>
    <w:rsid w:val="00BF2848"/>
    <w:rsid w:val="00BF3EF2"/>
    <w:rsid w:val="00BF4604"/>
    <w:rsid w:val="00BF57D4"/>
    <w:rsid w:val="00BF5FB2"/>
    <w:rsid w:val="00BF661A"/>
    <w:rsid w:val="00BF6CCD"/>
    <w:rsid w:val="00BF7313"/>
    <w:rsid w:val="00BF78BF"/>
    <w:rsid w:val="00C001E9"/>
    <w:rsid w:val="00C00B9A"/>
    <w:rsid w:val="00C00EBB"/>
    <w:rsid w:val="00C01D96"/>
    <w:rsid w:val="00C01F2B"/>
    <w:rsid w:val="00C0299E"/>
    <w:rsid w:val="00C0368F"/>
    <w:rsid w:val="00C038E8"/>
    <w:rsid w:val="00C03EC2"/>
    <w:rsid w:val="00C066BB"/>
    <w:rsid w:val="00C06FFD"/>
    <w:rsid w:val="00C07AC0"/>
    <w:rsid w:val="00C07F42"/>
    <w:rsid w:val="00C10434"/>
    <w:rsid w:val="00C10F89"/>
    <w:rsid w:val="00C110D8"/>
    <w:rsid w:val="00C1130D"/>
    <w:rsid w:val="00C11996"/>
    <w:rsid w:val="00C11C26"/>
    <w:rsid w:val="00C125D1"/>
    <w:rsid w:val="00C12C30"/>
    <w:rsid w:val="00C12FA3"/>
    <w:rsid w:val="00C131AC"/>
    <w:rsid w:val="00C142A1"/>
    <w:rsid w:val="00C149F4"/>
    <w:rsid w:val="00C1646C"/>
    <w:rsid w:val="00C16529"/>
    <w:rsid w:val="00C17273"/>
    <w:rsid w:val="00C20E2A"/>
    <w:rsid w:val="00C20EF6"/>
    <w:rsid w:val="00C21889"/>
    <w:rsid w:val="00C22143"/>
    <w:rsid w:val="00C23D8F"/>
    <w:rsid w:val="00C2447A"/>
    <w:rsid w:val="00C245E2"/>
    <w:rsid w:val="00C24692"/>
    <w:rsid w:val="00C24888"/>
    <w:rsid w:val="00C24BA8"/>
    <w:rsid w:val="00C25B23"/>
    <w:rsid w:val="00C27435"/>
    <w:rsid w:val="00C310BE"/>
    <w:rsid w:val="00C31378"/>
    <w:rsid w:val="00C323AF"/>
    <w:rsid w:val="00C32B95"/>
    <w:rsid w:val="00C33661"/>
    <w:rsid w:val="00C339D0"/>
    <w:rsid w:val="00C3547B"/>
    <w:rsid w:val="00C374DB"/>
    <w:rsid w:val="00C407F7"/>
    <w:rsid w:val="00C40D6C"/>
    <w:rsid w:val="00C40D6D"/>
    <w:rsid w:val="00C41C3D"/>
    <w:rsid w:val="00C42D5B"/>
    <w:rsid w:val="00C434C2"/>
    <w:rsid w:val="00C43C4D"/>
    <w:rsid w:val="00C44185"/>
    <w:rsid w:val="00C44FCD"/>
    <w:rsid w:val="00C46C35"/>
    <w:rsid w:val="00C4719F"/>
    <w:rsid w:val="00C472B5"/>
    <w:rsid w:val="00C4771B"/>
    <w:rsid w:val="00C5073B"/>
    <w:rsid w:val="00C50F3C"/>
    <w:rsid w:val="00C518B5"/>
    <w:rsid w:val="00C51DCC"/>
    <w:rsid w:val="00C52BDF"/>
    <w:rsid w:val="00C52D9A"/>
    <w:rsid w:val="00C53470"/>
    <w:rsid w:val="00C535E4"/>
    <w:rsid w:val="00C53A6D"/>
    <w:rsid w:val="00C5402C"/>
    <w:rsid w:val="00C570D1"/>
    <w:rsid w:val="00C603CF"/>
    <w:rsid w:val="00C603FA"/>
    <w:rsid w:val="00C60DC5"/>
    <w:rsid w:val="00C62014"/>
    <w:rsid w:val="00C62A1F"/>
    <w:rsid w:val="00C62C37"/>
    <w:rsid w:val="00C646B4"/>
    <w:rsid w:val="00C664F7"/>
    <w:rsid w:val="00C666B5"/>
    <w:rsid w:val="00C66881"/>
    <w:rsid w:val="00C66A2F"/>
    <w:rsid w:val="00C70BC1"/>
    <w:rsid w:val="00C711F5"/>
    <w:rsid w:val="00C71C7E"/>
    <w:rsid w:val="00C7255B"/>
    <w:rsid w:val="00C72973"/>
    <w:rsid w:val="00C73423"/>
    <w:rsid w:val="00C743EE"/>
    <w:rsid w:val="00C75121"/>
    <w:rsid w:val="00C757E9"/>
    <w:rsid w:val="00C7739D"/>
    <w:rsid w:val="00C775F2"/>
    <w:rsid w:val="00C77C18"/>
    <w:rsid w:val="00C80B06"/>
    <w:rsid w:val="00C80E66"/>
    <w:rsid w:val="00C81452"/>
    <w:rsid w:val="00C83E0A"/>
    <w:rsid w:val="00C8584A"/>
    <w:rsid w:val="00C8633B"/>
    <w:rsid w:val="00C87950"/>
    <w:rsid w:val="00C87A07"/>
    <w:rsid w:val="00C90368"/>
    <w:rsid w:val="00C91808"/>
    <w:rsid w:val="00C92609"/>
    <w:rsid w:val="00C94773"/>
    <w:rsid w:val="00C95BB2"/>
    <w:rsid w:val="00C95E68"/>
    <w:rsid w:val="00CA0450"/>
    <w:rsid w:val="00CA3ACF"/>
    <w:rsid w:val="00CA4C74"/>
    <w:rsid w:val="00CA4F48"/>
    <w:rsid w:val="00CA68A4"/>
    <w:rsid w:val="00CA700E"/>
    <w:rsid w:val="00CB04EB"/>
    <w:rsid w:val="00CB0BC0"/>
    <w:rsid w:val="00CB0C50"/>
    <w:rsid w:val="00CB0D43"/>
    <w:rsid w:val="00CB0D5F"/>
    <w:rsid w:val="00CB1458"/>
    <w:rsid w:val="00CB1C22"/>
    <w:rsid w:val="00CB2CB1"/>
    <w:rsid w:val="00CB305D"/>
    <w:rsid w:val="00CB364A"/>
    <w:rsid w:val="00CB3E08"/>
    <w:rsid w:val="00CB5351"/>
    <w:rsid w:val="00CB7084"/>
    <w:rsid w:val="00CB7443"/>
    <w:rsid w:val="00CC05A6"/>
    <w:rsid w:val="00CC0791"/>
    <w:rsid w:val="00CC0D5F"/>
    <w:rsid w:val="00CC1ECC"/>
    <w:rsid w:val="00CC33ED"/>
    <w:rsid w:val="00CC5142"/>
    <w:rsid w:val="00CC6002"/>
    <w:rsid w:val="00CC66E0"/>
    <w:rsid w:val="00CC6853"/>
    <w:rsid w:val="00CC7003"/>
    <w:rsid w:val="00CC7A49"/>
    <w:rsid w:val="00CC7BB3"/>
    <w:rsid w:val="00CD0B70"/>
    <w:rsid w:val="00CD0F69"/>
    <w:rsid w:val="00CD10AC"/>
    <w:rsid w:val="00CD22C0"/>
    <w:rsid w:val="00CD34DE"/>
    <w:rsid w:val="00CD3600"/>
    <w:rsid w:val="00CD4287"/>
    <w:rsid w:val="00CD45A5"/>
    <w:rsid w:val="00CD45F1"/>
    <w:rsid w:val="00CD4F21"/>
    <w:rsid w:val="00CD5D86"/>
    <w:rsid w:val="00CD698E"/>
    <w:rsid w:val="00CD7A44"/>
    <w:rsid w:val="00CD7B33"/>
    <w:rsid w:val="00CE10A5"/>
    <w:rsid w:val="00CE144F"/>
    <w:rsid w:val="00CE1756"/>
    <w:rsid w:val="00CE1887"/>
    <w:rsid w:val="00CE282A"/>
    <w:rsid w:val="00CE4AC6"/>
    <w:rsid w:val="00CE55D2"/>
    <w:rsid w:val="00CE56D1"/>
    <w:rsid w:val="00CE6B1D"/>
    <w:rsid w:val="00CE780B"/>
    <w:rsid w:val="00CE7B07"/>
    <w:rsid w:val="00CF179C"/>
    <w:rsid w:val="00CF1B92"/>
    <w:rsid w:val="00CF1FD6"/>
    <w:rsid w:val="00CF2D04"/>
    <w:rsid w:val="00CF33BA"/>
    <w:rsid w:val="00CF35A9"/>
    <w:rsid w:val="00CF470B"/>
    <w:rsid w:val="00CF487F"/>
    <w:rsid w:val="00CF5907"/>
    <w:rsid w:val="00CF7DF9"/>
    <w:rsid w:val="00D006EE"/>
    <w:rsid w:val="00D00736"/>
    <w:rsid w:val="00D0096F"/>
    <w:rsid w:val="00D00AB7"/>
    <w:rsid w:val="00D01170"/>
    <w:rsid w:val="00D01DBA"/>
    <w:rsid w:val="00D02A37"/>
    <w:rsid w:val="00D0327C"/>
    <w:rsid w:val="00D04304"/>
    <w:rsid w:val="00D04CA5"/>
    <w:rsid w:val="00D04FCD"/>
    <w:rsid w:val="00D0523C"/>
    <w:rsid w:val="00D056E2"/>
    <w:rsid w:val="00D120FE"/>
    <w:rsid w:val="00D12239"/>
    <w:rsid w:val="00D123C4"/>
    <w:rsid w:val="00D1334A"/>
    <w:rsid w:val="00D1335A"/>
    <w:rsid w:val="00D134EB"/>
    <w:rsid w:val="00D14976"/>
    <w:rsid w:val="00D14C1B"/>
    <w:rsid w:val="00D15537"/>
    <w:rsid w:val="00D17151"/>
    <w:rsid w:val="00D178F6"/>
    <w:rsid w:val="00D17B46"/>
    <w:rsid w:val="00D17B84"/>
    <w:rsid w:val="00D204EA"/>
    <w:rsid w:val="00D20B25"/>
    <w:rsid w:val="00D214FC"/>
    <w:rsid w:val="00D220A9"/>
    <w:rsid w:val="00D222B8"/>
    <w:rsid w:val="00D23035"/>
    <w:rsid w:val="00D233C5"/>
    <w:rsid w:val="00D23403"/>
    <w:rsid w:val="00D234E8"/>
    <w:rsid w:val="00D23970"/>
    <w:rsid w:val="00D244D0"/>
    <w:rsid w:val="00D24B82"/>
    <w:rsid w:val="00D24F05"/>
    <w:rsid w:val="00D25FC2"/>
    <w:rsid w:val="00D264E8"/>
    <w:rsid w:val="00D26EF1"/>
    <w:rsid w:val="00D3100A"/>
    <w:rsid w:val="00D31991"/>
    <w:rsid w:val="00D32186"/>
    <w:rsid w:val="00D32DF9"/>
    <w:rsid w:val="00D33212"/>
    <w:rsid w:val="00D33448"/>
    <w:rsid w:val="00D3351E"/>
    <w:rsid w:val="00D33B76"/>
    <w:rsid w:val="00D3436E"/>
    <w:rsid w:val="00D348BE"/>
    <w:rsid w:val="00D351D4"/>
    <w:rsid w:val="00D35D57"/>
    <w:rsid w:val="00D36E0B"/>
    <w:rsid w:val="00D37FAD"/>
    <w:rsid w:val="00D40944"/>
    <w:rsid w:val="00D4098B"/>
    <w:rsid w:val="00D40B3F"/>
    <w:rsid w:val="00D4219F"/>
    <w:rsid w:val="00D4247B"/>
    <w:rsid w:val="00D4331F"/>
    <w:rsid w:val="00D43C93"/>
    <w:rsid w:val="00D444CB"/>
    <w:rsid w:val="00D4475B"/>
    <w:rsid w:val="00D462A8"/>
    <w:rsid w:val="00D468C0"/>
    <w:rsid w:val="00D46C5C"/>
    <w:rsid w:val="00D47675"/>
    <w:rsid w:val="00D47A3B"/>
    <w:rsid w:val="00D47E32"/>
    <w:rsid w:val="00D47E9B"/>
    <w:rsid w:val="00D51F0F"/>
    <w:rsid w:val="00D54066"/>
    <w:rsid w:val="00D56084"/>
    <w:rsid w:val="00D5728F"/>
    <w:rsid w:val="00D5731D"/>
    <w:rsid w:val="00D61EDB"/>
    <w:rsid w:val="00D620F9"/>
    <w:rsid w:val="00D632D6"/>
    <w:rsid w:val="00D6342E"/>
    <w:rsid w:val="00D63869"/>
    <w:rsid w:val="00D638F2"/>
    <w:rsid w:val="00D64A1D"/>
    <w:rsid w:val="00D6534A"/>
    <w:rsid w:val="00D65C5D"/>
    <w:rsid w:val="00D65F4E"/>
    <w:rsid w:val="00D6607D"/>
    <w:rsid w:val="00D665C4"/>
    <w:rsid w:val="00D67508"/>
    <w:rsid w:val="00D7000E"/>
    <w:rsid w:val="00D702FD"/>
    <w:rsid w:val="00D7088E"/>
    <w:rsid w:val="00D70A78"/>
    <w:rsid w:val="00D71107"/>
    <w:rsid w:val="00D7181C"/>
    <w:rsid w:val="00D71F82"/>
    <w:rsid w:val="00D72047"/>
    <w:rsid w:val="00D7206A"/>
    <w:rsid w:val="00D72AB7"/>
    <w:rsid w:val="00D73BF8"/>
    <w:rsid w:val="00D74C7B"/>
    <w:rsid w:val="00D74FE8"/>
    <w:rsid w:val="00D750F1"/>
    <w:rsid w:val="00D7606F"/>
    <w:rsid w:val="00D760BC"/>
    <w:rsid w:val="00D77725"/>
    <w:rsid w:val="00D7789B"/>
    <w:rsid w:val="00D8015D"/>
    <w:rsid w:val="00D810A2"/>
    <w:rsid w:val="00D8276F"/>
    <w:rsid w:val="00D82DF5"/>
    <w:rsid w:val="00D83A61"/>
    <w:rsid w:val="00D84C94"/>
    <w:rsid w:val="00D85009"/>
    <w:rsid w:val="00D85F45"/>
    <w:rsid w:val="00D86768"/>
    <w:rsid w:val="00D870D8"/>
    <w:rsid w:val="00D87565"/>
    <w:rsid w:val="00D87CA0"/>
    <w:rsid w:val="00D9048F"/>
    <w:rsid w:val="00D90B6D"/>
    <w:rsid w:val="00D91542"/>
    <w:rsid w:val="00D915C1"/>
    <w:rsid w:val="00D91B9E"/>
    <w:rsid w:val="00D92057"/>
    <w:rsid w:val="00D9231B"/>
    <w:rsid w:val="00D9305A"/>
    <w:rsid w:val="00D937C7"/>
    <w:rsid w:val="00D946EF"/>
    <w:rsid w:val="00D949D3"/>
    <w:rsid w:val="00D95F53"/>
    <w:rsid w:val="00DA147D"/>
    <w:rsid w:val="00DA1C98"/>
    <w:rsid w:val="00DA24E1"/>
    <w:rsid w:val="00DA2E30"/>
    <w:rsid w:val="00DA3F8A"/>
    <w:rsid w:val="00DA4658"/>
    <w:rsid w:val="00DA57DA"/>
    <w:rsid w:val="00DA598D"/>
    <w:rsid w:val="00DA6880"/>
    <w:rsid w:val="00DA74AD"/>
    <w:rsid w:val="00DB136A"/>
    <w:rsid w:val="00DB3C39"/>
    <w:rsid w:val="00DB44E9"/>
    <w:rsid w:val="00DB5BA5"/>
    <w:rsid w:val="00DB657B"/>
    <w:rsid w:val="00DB6F09"/>
    <w:rsid w:val="00DC014C"/>
    <w:rsid w:val="00DC077B"/>
    <w:rsid w:val="00DC0EA9"/>
    <w:rsid w:val="00DC0F05"/>
    <w:rsid w:val="00DC125C"/>
    <w:rsid w:val="00DC13C4"/>
    <w:rsid w:val="00DC1F36"/>
    <w:rsid w:val="00DC3E63"/>
    <w:rsid w:val="00DC3FF5"/>
    <w:rsid w:val="00DC4F63"/>
    <w:rsid w:val="00DC7574"/>
    <w:rsid w:val="00DC75C1"/>
    <w:rsid w:val="00DD1EE2"/>
    <w:rsid w:val="00DD2216"/>
    <w:rsid w:val="00DD26EE"/>
    <w:rsid w:val="00DD2CA0"/>
    <w:rsid w:val="00DD2E5D"/>
    <w:rsid w:val="00DD30A7"/>
    <w:rsid w:val="00DD3E44"/>
    <w:rsid w:val="00DD6252"/>
    <w:rsid w:val="00DD79E9"/>
    <w:rsid w:val="00DD7A38"/>
    <w:rsid w:val="00DE19FD"/>
    <w:rsid w:val="00DE2260"/>
    <w:rsid w:val="00DE23DA"/>
    <w:rsid w:val="00DE2748"/>
    <w:rsid w:val="00DE3663"/>
    <w:rsid w:val="00DE413D"/>
    <w:rsid w:val="00DE5079"/>
    <w:rsid w:val="00DE52D8"/>
    <w:rsid w:val="00DE53DC"/>
    <w:rsid w:val="00DE7071"/>
    <w:rsid w:val="00DE773E"/>
    <w:rsid w:val="00DE7761"/>
    <w:rsid w:val="00DF0B81"/>
    <w:rsid w:val="00DF0B9B"/>
    <w:rsid w:val="00DF1607"/>
    <w:rsid w:val="00DF197D"/>
    <w:rsid w:val="00DF2889"/>
    <w:rsid w:val="00DF2904"/>
    <w:rsid w:val="00DF3090"/>
    <w:rsid w:val="00DF3540"/>
    <w:rsid w:val="00DF4C3D"/>
    <w:rsid w:val="00DF4CBC"/>
    <w:rsid w:val="00DF4F25"/>
    <w:rsid w:val="00DF51EE"/>
    <w:rsid w:val="00DF5D32"/>
    <w:rsid w:val="00DF611E"/>
    <w:rsid w:val="00DF6922"/>
    <w:rsid w:val="00DF6928"/>
    <w:rsid w:val="00DF6A97"/>
    <w:rsid w:val="00DF6E68"/>
    <w:rsid w:val="00DF77A4"/>
    <w:rsid w:val="00E020E3"/>
    <w:rsid w:val="00E03792"/>
    <w:rsid w:val="00E03ECF"/>
    <w:rsid w:val="00E043A5"/>
    <w:rsid w:val="00E0456F"/>
    <w:rsid w:val="00E04C58"/>
    <w:rsid w:val="00E050C8"/>
    <w:rsid w:val="00E05D4D"/>
    <w:rsid w:val="00E05EBC"/>
    <w:rsid w:val="00E07079"/>
    <w:rsid w:val="00E101EB"/>
    <w:rsid w:val="00E102AF"/>
    <w:rsid w:val="00E107E1"/>
    <w:rsid w:val="00E120FC"/>
    <w:rsid w:val="00E1216F"/>
    <w:rsid w:val="00E12CE7"/>
    <w:rsid w:val="00E12D1D"/>
    <w:rsid w:val="00E1314E"/>
    <w:rsid w:val="00E13EA9"/>
    <w:rsid w:val="00E15EB3"/>
    <w:rsid w:val="00E16D89"/>
    <w:rsid w:val="00E17861"/>
    <w:rsid w:val="00E17E53"/>
    <w:rsid w:val="00E210DE"/>
    <w:rsid w:val="00E219B3"/>
    <w:rsid w:val="00E22074"/>
    <w:rsid w:val="00E221C4"/>
    <w:rsid w:val="00E23651"/>
    <w:rsid w:val="00E2367C"/>
    <w:rsid w:val="00E25A94"/>
    <w:rsid w:val="00E25DB3"/>
    <w:rsid w:val="00E2631A"/>
    <w:rsid w:val="00E264CC"/>
    <w:rsid w:val="00E301F3"/>
    <w:rsid w:val="00E3036D"/>
    <w:rsid w:val="00E3064A"/>
    <w:rsid w:val="00E30C57"/>
    <w:rsid w:val="00E30D42"/>
    <w:rsid w:val="00E32053"/>
    <w:rsid w:val="00E32E5B"/>
    <w:rsid w:val="00E33755"/>
    <w:rsid w:val="00E342E0"/>
    <w:rsid w:val="00E360DB"/>
    <w:rsid w:val="00E3734F"/>
    <w:rsid w:val="00E37703"/>
    <w:rsid w:val="00E40DD9"/>
    <w:rsid w:val="00E4169F"/>
    <w:rsid w:val="00E42646"/>
    <w:rsid w:val="00E42DB8"/>
    <w:rsid w:val="00E44507"/>
    <w:rsid w:val="00E4493A"/>
    <w:rsid w:val="00E456A5"/>
    <w:rsid w:val="00E45BBD"/>
    <w:rsid w:val="00E45DE5"/>
    <w:rsid w:val="00E46782"/>
    <w:rsid w:val="00E47C75"/>
    <w:rsid w:val="00E500EC"/>
    <w:rsid w:val="00E50572"/>
    <w:rsid w:val="00E5065B"/>
    <w:rsid w:val="00E52C1A"/>
    <w:rsid w:val="00E52D24"/>
    <w:rsid w:val="00E537E1"/>
    <w:rsid w:val="00E56507"/>
    <w:rsid w:val="00E566D5"/>
    <w:rsid w:val="00E5790F"/>
    <w:rsid w:val="00E57AFB"/>
    <w:rsid w:val="00E602BB"/>
    <w:rsid w:val="00E602CA"/>
    <w:rsid w:val="00E60A26"/>
    <w:rsid w:val="00E612F0"/>
    <w:rsid w:val="00E62E53"/>
    <w:rsid w:val="00E63734"/>
    <w:rsid w:val="00E643B8"/>
    <w:rsid w:val="00E64460"/>
    <w:rsid w:val="00E644FD"/>
    <w:rsid w:val="00E64929"/>
    <w:rsid w:val="00E64967"/>
    <w:rsid w:val="00E6613E"/>
    <w:rsid w:val="00E6670D"/>
    <w:rsid w:val="00E667A6"/>
    <w:rsid w:val="00E66F97"/>
    <w:rsid w:val="00E67665"/>
    <w:rsid w:val="00E67740"/>
    <w:rsid w:val="00E7162C"/>
    <w:rsid w:val="00E725D5"/>
    <w:rsid w:val="00E73274"/>
    <w:rsid w:val="00E735B0"/>
    <w:rsid w:val="00E74453"/>
    <w:rsid w:val="00E74BC7"/>
    <w:rsid w:val="00E7553C"/>
    <w:rsid w:val="00E755A1"/>
    <w:rsid w:val="00E75604"/>
    <w:rsid w:val="00E759A9"/>
    <w:rsid w:val="00E76964"/>
    <w:rsid w:val="00E76FA1"/>
    <w:rsid w:val="00E77D17"/>
    <w:rsid w:val="00E80643"/>
    <w:rsid w:val="00E80E46"/>
    <w:rsid w:val="00E81121"/>
    <w:rsid w:val="00E81913"/>
    <w:rsid w:val="00E82203"/>
    <w:rsid w:val="00E8374B"/>
    <w:rsid w:val="00E844CC"/>
    <w:rsid w:val="00E84FEB"/>
    <w:rsid w:val="00E87BE0"/>
    <w:rsid w:val="00E92033"/>
    <w:rsid w:val="00E923CC"/>
    <w:rsid w:val="00E924DF"/>
    <w:rsid w:val="00E93AA2"/>
    <w:rsid w:val="00E95138"/>
    <w:rsid w:val="00E953F6"/>
    <w:rsid w:val="00E97892"/>
    <w:rsid w:val="00EA1985"/>
    <w:rsid w:val="00EA291B"/>
    <w:rsid w:val="00EA3A8F"/>
    <w:rsid w:val="00EA3BA7"/>
    <w:rsid w:val="00EA3D19"/>
    <w:rsid w:val="00EA475A"/>
    <w:rsid w:val="00EA5681"/>
    <w:rsid w:val="00EA5869"/>
    <w:rsid w:val="00EA602A"/>
    <w:rsid w:val="00EA616D"/>
    <w:rsid w:val="00EA69A6"/>
    <w:rsid w:val="00EB1839"/>
    <w:rsid w:val="00EB1A47"/>
    <w:rsid w:val="00EB2297"/>
    <w:rsid w:val="00EB2642"/>
    <w:rsid w:val="00EB2E48"/>
    <w:rsid w:val="00EB4B1B"/>
    <w:rsid w:val="00EB4F22"/>
    <w:rsid w:val="00EB56F0"/>
    <w:rsid w:val="00EB63C5"/>
    <w:rsid w:val="00EC0CF0"/>
    <w:rsid w:val="00EC33F1"/>
    <w:rsid w:val="00EC4E57"/>
    <w:rsid w:val="00EC533F"/>
    <w:rsid w:val="00ED0CA2"/>
    <w:rsid w:val="00ED1BCE"/>
    <w:rsid w:val="00ED2760"/>
    <w:rsid w:val="00ED31C8"/>
    <w:rsid w:val="00ED38E6"/>
    <w:rsid w:val="00ED3907"/>
    <w:rsid w:val="00ED3E8F"/>
    <w:rsid w:val="00ED412B"/>
    <w:rsid w:val="00ED4A30"/>
    <w:rsid w:val="00ED55C2"/>
    <w:rsid w:val="00ED5857"/>
    <w:rsid w:val="00ED5DE4"/>
    <w:rsid w:val="00ED748D"/>
    <w:rsid w:val="00ED75EB"/>
    <w:rsid w:val="00EE03CA"/>
    <w:rsid w:val="00EE04E6"/>
    <w:rsid w:val="00EE07ED"/>
    <w:rsid w:val="00EE09A0"/>
    <w:rsid w:val="00EE114D"/>
    <w:rsid w:val="00EE268F"/>
    <w:rsid w:val="00EE26F9"/>
    <w:rsid w:val="00EE2DCE"/>
    <w:rsid w:val="00EE3230"/>
    <w:rsid w:val="00EE42BD"/>
    <w:rsid w:val="00EE471D"/>
    <w:rsid w:val="00EE55A4"/>
    <w:rsid w:val="00EE608D"/>
    <w:rsid w:val="00EE7714"/>
    <w:rsid w:val="00EF00AE"/>
    <w:rsid w:val="00EF06E3"/>
    <w:rsid w:val="00EF0754"/>
    <w:rsid w:val="00EF0EEA"/>
    <w:rsid w:val="00EF1BD3"/>
    <w:rsid w:val="00EF2041"/>
    <w:rsid w:val="00EF21B2"/>
    <w:rsid w:val="00EF2BD3"/>
    <w:rsid w:val="00EF2CC3"/>
    <w:rsid w:val="00EF32B5"/>
    <w:rsid w:val="00EF3434"/>
    <w:rsid w:val="00EF4887"/>
    <w:rsid w:val="00EF4CC9"/>
    <w:rsid w:val="00EF6021"/>
    <w:rsid w:val="00EF61DD"/>
    <w:rsid w:val="00EF6349"/>
    <w:rsid w:val="00EF7C8A"/>
    <w:rsid w:val="00F001D2"/>
    <w:rsid w:val="00F00498"/>
    <w:rsid w:val="00F00654"/>
    <w:rsid w:val="00F0094A"/>
    <w:rsid w:val="00F00DF9"/>
    <w:rsid w:val="00F01D51"/>
    <w:rsid w:val="00F025CA"/>
    <w:rsid w:val="00F029D4"/>
    <w:rsid w:val="00F0418F"/>
    <w:rsid w:val="00F0507C"/>
    <w:rsid w:val="00F05A38"/>
    <w:rsid w:val="00F05C11"/>
    <w:rsid w:val="00F05D2A"/>
    <w:rsid w:val="00F06321"/>
    <w:rsid w:val="00F10EA5"/>
    <w:rsid w:val="00F116C5"/>
    <w:rsid w:val="00F11C18"/>
    <w:rsid w:val="00F121D7"/>
    <w:rsid w:val="00F126D6"/>
    <w:rsid w:val="00F12CC7"/>
    <w:rsid w:val="00F12CD1"/>
    <w:rsid w:val="00F13E52"/>
    <w:rsid w:val="00F160D2"/>
    <w:rsid w:val="00F170BF"/>
    <w:rsid w:val="00F21B63"/>
    <w:rsid w:val="00F221E5"/>
    <w:rsid w:val="00F23018"/>
    <w:rsid w:val="00F234B2"/>
    <w:rsid w:val="00F24451"/>
    <w:rsid w:val="00F25344"/>
    <w:rsid w:val="00F25DF6"/>
    <w:rsid w:val="00F26ADA"/>
    <w:rsid w:val="00F27028"/>
    <w:rsid w:val="00F27303"/>
    <w:rsid w:val="00F2761F"/>
    <w:rsid w:val="00F27B7F"/>
    <w:rsid w:val="00F27C4A"/>
    <w:rsid w:val="00F30088"/>
    <w:rsid w:val="00F300D9"/>
    <w:rsid w:val="00F304C8"/>
    <w:rsid w:val="00F3078B"/>
    <w:rsid w:val="00F310C9"/>
    <w:rsid w:val="00F319EA"/>
    <w:rsid w:val="00F31DD3"/>
    <w:rsid w:val="00F32096"/>
    <w:rsid w:val="00F327C4"/>
    <w:rsid w:val="00F3355D"/>
    <w:rsid w:val="00F34D84"/>
    <w:rsid w:val="00F35CCC"/>
    <w:rsid w:val="00F4026E"/>
    <w:rsid w:val="00F41761"/>
    <w:rsid w:val="00F41802"/>
    <w:rsid w:val="00F41D89"/>
    <w:rsid w:val="00F422FC"/>
    <w:rsid w:val="00F4292F"/>
    <w:rsid w:val="00F439D3"/>
    <w:rsid w:val="00F43E73"/>
    <w:rsid w:val="00F44047"/>
    <w:rsid w:val="00F446E0"/>
    <w:rsid w:val="00F449F6"/>
    <w:rsid w:val="00F44D58"/>
    <w:rsid w:val="00F470DC"/>
    <w:rsid w:val="00F47A74"/>
    <w:rsid w:val="00F47DB9"/>
    <w:rsid w:val="00F50493"/>
    <w:rsid w:val="00F51623"/>
    <w:rsid w:val="00F52C29"/>
    <w:rsid w:val="00F52D20"/>
    <w:rsid w:val="00F5384C"/>
    <w:rsid w:val="00F5453D"/>
    <w:rsid w:val="00F548F4"/>
    <w:rsid w:val="00F549D3"/>
    <w:rsid w:val="00F54A66"/>
    <w:rsid w:val="00F56380"/>
    <w:rsid w:val="00F56C8D"/>
    <w:rsid w:val="00F60372"/>
    <w:rsid w:val="00F6063A"/>
    <w:rsid w:val="00F61096"/>
    <w:rsid w:val="00F61F74"/>
    <w:rsid w:val="00F620EB"/>
    <w:rsid w:val="00F62260"/>
    <w:rsid w:val="00F62293"/>
    <w:rsid w:val="00F62F4B"/>
    <w:rsid w:val="00F63EE2"/>
    <w:rsid w:val="00F6493B"/>
    <w:rsid w:val="00F64ABC"/>
    <w:rsid w:val="00F650C6"/>
    <w:rsid w:val="00F65581"/>
    <w:rsid w:val="00F65BBB"/>
    <w:rsid w:val="00F66BA8"/>
    <w:rsid w:val="00F66E90"/>
    <w:rsid w:val="00F66F20"/>
    <w:rsid w:val="00F705A5"/>
    <w:rsid w:val="00F70A4F"/>
    <w:rsid w:val="00F71B4F"/>
    <w:rsid w:val="00F71B62"/>
    <w:rsid w:val="00F72C4A"/>
    <w:rsid w:val="00F7464D"/>
    <w:rsid w:val="00F74D48"/>
    <w:rsid w:val="00F75760"/>
    <w:rsid w:val="00F800FD"/>
    <w:rsid w:val="00F8106D"/>
    <w:rsid w:val="00F824A3"/>
    <w:rsid w:val="00F835CE"/>
    <w:rsid w:val="00F837F0"/>
    <w:rsid w:val="00F8526E"/>
    <w:rsid w:val="00F85772"/>
    <w:rsid w:val="00F85782"/>
    <w:rsid w:val="00F908DC"/>
    <w:rsid w:val="00F915D0"/>
    <w:rsid w:val="00F91A5B"/>
    <w:rsid w:val="00F91E59"/>
    <w:rsid w:val="00F9211F"/>
    <w:rsid w:val="00F9232D"/>
    <w:rsid w:val="00F92342"/>
    <w:rsid w:val="00F92E3E"/>
    <w:rsid w:val="00F92EFF"/>
    <w:rsid w:val="00F93B92"/>
    <w:rsid w:val="00F93E4A"/>
    <w:rsid w:val="00F95C53"/>
    <w:rsid w:val="00F95EA7"/>
    <w:rsid w:val="00F96B69"/>
    <w:rsid w:val="00F976D3"/>
    <w:rsid w:val="00F97818"/>
    <w:rsid w:val="00F979E7"/>
    <w:rsid w:val="00FA22CC"/>
    <w:rsid w:val="00FA25D7"/>
    <w:rsid w:val="00FA3407"/>
    <w:rsid w:val="00FA3CE6"/>
    <w:rsid w:val="00FA4C1F"/>
    <w:rsid w:val="00FA59EE"/>
    <w:rsid w:val="00FA5D64"/>
    <w:rsid w:val="00FA6F96"/>
    <w:rsid w:val="00FA7696"/>
    <w:rsid w:val="00FA7C66"/>
    <w:rsid w:val="00FA7D80"/>
    <w:rsid w:val="00FB047B"/>
    <w:rsid w:val="00FB3BEF"/>
    <w:rsid w:val="00FB46E8"/>
    <w:rsid w:val="00FB5E83"/>
    <w:rsid w:val="00FB6642"/>
    <w:rsid w:val="00FC096B"/>
    <w:rsid w:val="00FC12B6"/>
    <w:rsid w:val="00FC1413"/>
    <w:rsid w:val="00FC1DD7"/>
    <w:rsid w:val="00FC1DF6"/>
    <w:rsid w:val="00FC549A"/>
    <w:rsid w:val="00FC57F9"/>
    <w:rsid w:val="00FC5850"/>
    <w:rsid w:val="00FC5A73"/>
    <w:rsid w:val="00FC6B08"/>
    <w:rsid w:val="00FC7187"/>
    <w:rsid w:val="00FC7A2E"/>
    <w:rsid w:val="00FC7A99"/>
    <w:rsid w:val="00FC7C29"/>
    <w:rsid w:val="00FD0279"/>
    <w:rsid w:val="00FD0C6B"/>
    <w:rsid w:val="00FD1310"/>
    <w:rsid w:val="00FD2386"/>
    <w:rsid w:val="00FD2DBB"/>
    <w:rsid w:val="00FD373E"/>
    <w:rsid w:val="00FD4904"/>
    <w:rsid w:val="00FD5680"/>
    <w:rsid w:val="00FD63F3"/>
    <w:rsid w:val="00FD674C"/>
    <w:rsid w:val="00FD6FF9"/>
    <w:rsid w:val="00FD7BAA"/>
    <w:rsid w:val="00FE0E92"/>
    <w:rsid w:val="00FE12B1"/>
    <w:rsid w:val="00FE243A"/>
    <w:rsid w:val="00FE2D4F"/>
    <w:rsid w:val="00FE32FE"/>
    <w:rsid w:val="00FE3776"/>
    <w:rsid w:val="00FE3F1D"/>
    <w:rsid w:val="00FE4818"/>
    <w:rsid w:val="00FE4B2A"/>
    <w:rsid w:val="00FE637D"/>
    <w:rsid w:val="00FE6E8A"/>
    <w:rsid w:val="00FE7266"/>
    <w:rsid w:val="00FF12EC"/>
    <w:rsid w:val="00FF18B6"/>
    <w:rsid w:val="00FF2979"/>
    <w:rsid w:val="00FF2B9B"/>
    <w:rsid w:val="00FF34C9"/>
    <w:rsid w:val="00FF3893"/>
    <w:rsid w:val="00FF470E"/>
    <w:rsid w:val="00FF5C0F"/>
    <w:rsid w:val="00FF6194"/>
    <w:rsid w:val="00FF6705"/>
    <w:rsid w:val="00FF6CE7"/>
    <w:rsid w:val="00FF6E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efaultImageDpi w14:val="0"/>
  <w15:docId w15:val="{8517AB61-B529-4229-9CC5-808FB8809E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index 1" w:locked="1" w:semiHidden="1" w:unhideWhenUsed="1"/>
    <w:lsdException w:name="index 2" w:locked="1" w:semiHidden="1" w:unhideWhenUsed="1"/>
    <w:lsdException w:name="index 3" w:locked="1" w:semiHidden="1" w:unhideWhenUsed="1"/>
    <w:lsdException w:name="index 4" w:locked="1" w:semiHidden="1" w:unhideWhenUsed="1"/>
    <w:lsdException w:name="index 5" w:locked="1" w:semiHidden="1" w:unhideWhenUsed="1"/>
    <w:lsdException w:name="index 6" w:locked="1" w:semiHidden="1" w:unhideWhenUsed="1"/>
    <w:lsdException w:name="index 7" w:locked="1" w:semiHidden="1" w:unhideWhenUsed="1"/>
    <w:lsdException w:name="index 8" w:locked="1" w:semiHidden="1" w:unhideWhenUsed="1"/>
    <w:lsdException w:name="index 9" w:locked="1" w:semiHidden="1" w:unhideWhenUsed="1"/>
    <w:lsdException w:name="toc 1" w:uiPriority="39"/>
    <w:lsdException w:name="toc 2" w:uiPriority="39"/>
    <w:lsdException w:name="toc 3" w:uiPriority="39"/>
    <w:lsdException w:name="toc 4" w:uiPriority="39"/>
    <w:lsdException w:name="toc 5" w:uiPriority="0"/>
    <w:lsdException w:name="toc 6" w:uiPriority="0"/>
    <w:lsdException w:name="toc 7" w:uiPriority="0"/>
    <w:lsdException w:name="toc 8" w:uiPriority="0"/>
    <w:lsdException w:name="toc 9" w:uiPriority="0"/>
    <w:lsdException w:name="Normal Indent" w:locked="1" w:semiHidden="1" w:unhideWhenUsed="1"/>
    <w:lsdException w:name="footnote text" w:locked="1" w:semiHidden="1" w:unhideWhenUsed="1"/>
    <w:lsdException w:name="annotation text" w:locked="1" w:semiHidden="1" w:uiPriority="0" w:unhideWhenUsed="1"/>
    <w:lsdException w:name="header" w:locked="1" w:semiHidden="1" w:uiPriority="0" w:unhideWhenUsed="1"/>
    <w:lsdException w:name="footer" w:locked="1" w:semiHidden="1" w:uiPriority="0" w:unhideWhenUsed="1"/>
    <w:lsdException w:name="index heading" w:locked="1" w:semiHidden="1" w:unhideWhenUsed="1"/>
    <w:lsdException w:name="caption" w:semiHidden="1" w:uiPriority="0" w:unhideWhenUsed="1" w:qFormat="1"/>
    <w:lsdException w:name="table of figures" w:locked="1" w:semiHidden="1" w:unhideWhenUsed="1"/>
    <w:lsdException w:name="envelope address" w:locked="1" w:semiHidden="1" w:unhideWhenUsed="1"/>
    <w:lsdException w:name="envelope return" w:locked="1" w:semiHidden="1" w:unhideWhenUsed="1"/>
    <w:lsdException w:name="footnote reference" w:locked="1" w:semiHidden="1" w:unhideWhenUsed="1"/>
    <w:lsdException w:name="annotation reference" w:locked="1" w:semiHidden="1" w:uiPriority="0" w:unhideWhenUsed="1"/>
    <w:lsdException w:name="line number" w:locked="1" w:semiHidden="1" w:unhideWhenUsed="1"/>
    <w:lsdException w:name="page number" w:locked="1" w:semiHidden="1" w:uiPriority="0" w:unhideWhenUsed="1"/>
    <w:lsdException w:name="endnote reference" w:locked="1" w:semiHidden="1" w:unhideWhenUsed="1"/>
    <w:lsdException w:name="endnote text" w:locked="1" w:semiHidden="1" w:unhideWhenUsed="1"/>
    <w:lsdException w:name="table of authorities" w:locked="1" w:semiHidden="1" w:unhideWhenUsed="1"/>
    <w:lsdException w:name="macro" w:locked="1" w:semiHidden="1" w:unhideWhenUsed="1"/>
    <w:lsdException w:name="toa heading" w:locked="1" w:semiHidden="1" w:unhideWhenUsed="1"/>
    <w:lsdException w:name="List" w:locked="1" w:semiHidden="1" w:unhideWhenUsed="1"/>
    <w:lsdException w:name="List Bullet" w:locked="1" w:semiHidden="1" w:unhideWhenUsed="1"/>
    <w:lsdException w:name="List Number" w:locked="1" w:semiHidden="1" w:unhideWhenUsed="1"/>
    <w:lsdException w:name="List 2" w:locked="1" w:semiHidden="1" w:unhideWhenUsed="1"/>
    <w:lsdException w:name="List 3" w:locked="1" w:semiHidden="1" w:unhideWhenUsed="1"/>
    <w:lsdException w:name="List 4" w:locked="1" w:semiHidden="1" w:unhideWhenUsed="1"/>
    <w:lsdException w:name="List 5" w:locked="1" w:semiHidden="1" w:unhideWhenUsed="1"/>
    <w:lsdException w:name="List Bullet 2" w:locked="1" w:semiHidden="1" w:unhideWhenUsed="1"/>
    <w:lsdException w:name="List Bullet 3" w:locked="1" w:semiHidden="1" w:unhideWhenUsed="1"/>
    <w:lsdException w:name="List Bullet 4" w:locked="1" w:semiHidden="1" w:unhideWhenUsed="1"/>
    <w:lsdException w:name="List Bullet 5" w:locked="1" w:semiHidden="1" w:unhideWhenUsed="1"/>
    <w:lsdException w:name="List Number 2" w:locked="1" w:semiHidden="1" w:unhideWhenUsed="1"/>
    <w:lsdException w:name="List Number 3" w:locked="1" w:semiHidden="1" w:unhideWhenUsed="1"/>
    <w:lsdException w:name="List Number 4" w:locked="1" w:semiHidden="1" w:unhideWhenUsed="1"/>
    <w:lsdException w:name="List Number 5" w:locked="1" w:semiHidden="1" w:unhideWhenUsed="1"/>
    <w:lsdException w:name="Title" w:uiPriority="0" w:qFormat="1"/>
    <w:lsdException w:name="Closing" w:locked="1" w:semiHidden="1" w:unhideWhenUsed="1"/>
    <w:lsdException w:name="Signature" w:locked="1" w:semiHidden="1" w:unhideWhenUsed="1"/>
    <w:lsdException w:name="Default Paragraph Font" w:uiPriority="0"/>
    <w:lsdException w:name="Body Text" w:locked="1" w:semiHidden="1" w:uiPriority="0" w:unhideWhenUsed="1"/>
    <w:lsdException w:name="Body Text Indent" w:locked="1" w:semiHidden="1" w:uiPriority="0" w:unhideWhenUsed="1"/>
    <w:lsdException w:name="List Continue" w:locked="1" w:semiHidden="1" w:unhideWhenUsed="1"/>
    <w:lsdException w:name="List Continue 2" w:locked="1" w:semiHidden="1" w:unhideWhenUsed="1"/>
    <w:lsdException w:name="List Continue 3" w:locked="1" w:semiHidden="1" w:unhideWhenUsed="1"/>
    <w:lsdException w:name="List Continue 4" w:locked="1" w:semiHidden="1" w:unhideWhenUsed="1"/>
    <w:lsdException w:name="List Continue 5" w:locked="1" w:semiHidden="1" w:unhideWhenUsed="1"/>
    <w:lsdException w:name="Message Header" w:locked="1" w:semiHidden="1" w:unhideWhenUsed="1"/>
    <w:lsdException w:name="Subtitle" w:uiPriority="0" w:qFormat="1"/>
    <w:lsdException w:name="Salutation" w:locked="1" w:semiHidden="1" w:unhideWhenUsed="1"/>
    <w:lsdException w:name="Date" w:locked="1" w:semiHidden="1" w:unhideWhenUsed="1"/>
    <w:lsdException w:name="Body Text First Indent" w:locked="1" w:semiHidden="1" w:unhideWhenUsed="1"/>
    <w:lsdException w:name="Body Text First Indent 2" w:locked="1" w:semiHidden="1" w:unhideWhenUsed="1"/>
    <w:lsdException w:name="Note Heading" w:locked="1" w:semiHidden="1" w:unhideWhenUsed="1"/>
    <w:lsdException w:name="Body Text 2" w:locked="1" w:semiHidden="1" w:unhideWhenUsed="1"/>
    <w:lsdException w:name="Body Text 3" w:locked="1" w:semiHidden="1" w:unhideWhenUsed="1"/>
    <w:lsdException w:name="Body Text Indent 2" w:locked="1" w:semiHidden="1" w:unhideWhenUsed="1"/>
    <w:lsdException w:name="Body Text Indent 3" w:locked="1" w:semiHidden="1" w:unhideWhenUsed="1"/>
    <w:lsdException w:name="Block Text" w:locked="1" w:semiHidden="1" w:unhideWhenUsed="1"/>
    <w:lsdException w:name="Hyperlink" w:locked="1" w:semiHidden="1" w:unhideWhenUsed="1"/>
    <w:lsdException w:name="FollowedHyperlink" w:locked="1" w:semiHidden="1" w:uiPriority="0" w:unhideWhenUsed="1"/>
    <w:lsdException w:name="Strong" w:uiPriority="0" w:qFormat="1"/>
    <w:lsdException w:name="Emphasis" w:uiPriority="0" w:qFormat="1"/>
    <w:lsdException w:name="Document Map" w:locked="1" w:semiHidden="1" w:unhideWhenUsed="1"/>
    <w:lsdException w:name="Plain Text" w:locked="1" w:semiHidden="1" w:unhideWhenUsed="1"/>
    <w:lsdException w:name="E-mail Signature" w:locked="1" w:semiHidden="1" w:unhideWhenUsed="1"/>
    <w:lsdException w:name="HTML Top of Form" w:locked="1" w:semiHidden="1" w:unhideWhenUsed="1"/>
    <w:lsdException w:name="HTML Bottom of Form" w:locked="1" w:semiHidden="1" w:unhideWhenUsed="1"/>
    <w:lsdException w:name="Normal (Web)" w:locked="1" w:semiHidden="1" w:uiPriority="0" w:unhideWhenUsed="1"/>
    <w:lsdException w:name="HTML Acronym" w:locked="1" w:semiHidden="1" w:unhideWhenUsed="1"/>
    <w:lsdException w:name="HTML Address" w:locked="1" w:semiHidden="1" w:unhideWhenUsed="1"/>
    <w:lsdException w:name="HTML Cite" w:locked="1" w:semiHidden="1" w:unhideWhenUsed="1"/>
    <w:lsdException w:name="HTML Code" w:locked="1" w:semiHidden="1" w:unhideWhenUsed="1"/>
    <w:lsdException w:name="HTML Definition" w:locked="1" w:semiHidden="1" w:unhideWhenUsed="1"/>
    <w:lsdException w:name="HTML Keyboard" w:locked="1" w:semiHidden="1" w:unhideWhenUsed="1"/>
    <w:lsdException w:name="HTML Preformatted" w:locked="1" w:semiHidden="1" w:unhideWhenUsed="1"/>
    <w:lsdException w:name="HTML Sample" w:locked="1" w:semiHidden="1" w:unhideWhenUsed="1"/>
    <w:lsdException w:name="HTML Typewriter" w:locked="1" w:semiHidden="1" w:unhideWhenUsed="1"/>
    <w:lsdException w:name="HTML Variable" w:locked="1" w:semiHidden="1" w:unhideWhenUsed="1"/>
    <w:lsdException w:name="Normal Table" w:locked="1"/>
    <w:lsdException w:name="annotation subject" w:locked="1" w:semiHidden="1" w:uiPriority="0" w:unhideWhenUsed="1"/>
    <w:lsdException w:name="No List" w:locked="1" w:semiHidden="1" w:unhideWhenUsed="1"/>
    <w:lsdException w:name="Outline List 1" w:locked="1" w:semiHidden="1" w:unhideWhenUsed="1"/>
    <w:lsdException w:name="Outline List 2" w:locked="1" w:semiHidden="1" w:unhideWhenUsed="1"/>
    <w:lsdException w:name="Outline List 3" w:locked="1" w:semiHidden="1" w:unhideWhenUsed="1"/>
    <w:lsdException w:name="Table Simple 1" w:locked="1"/>
    <w:lsdException w:name="Table Simple 2" w:locked="1"/>
    <w:lsdException w:name="Table Simple 3" w:locked="1"/>
    <w:lsdException w:name="Table Classic 1" w:locked="1"/>
    <w:lsdException w:name="Table Classic 2" w:locked="1"/>
    <w:lsdException w:name="Table Classic 3" w:locked="1"/>
    <w:lsdException w:name="Table Classic 4" w:locked="1"/>
    <w:lsdException w:name="Table Colorful 1" w:locked="1"/>
    <w:lsdException w:name="Table Colorful 2" w:locked="1"/>
    <w:lsdException w:name="Table Colorful 3" w:locked="1"/>
    <w:lsdException w:name="Table Columns 1" w:locked="1"/>
    <w:lsdException w:name="Table Columns 2" w:locked="1"/>
    <w:lsdException w:name="Table Columns 3" w:locked="1"/>
    <w:lsdException w:name="Table Columns 4" w:locked="1"/>
    <w:lsdException w:name="Table Columns 5" w:locked="1"/>
    <w:lsdException w:name="Table Grid 1" w:locked="1"/>
    <w:lsdException w:name="Table Grid 2" w:locked="1"/>
    <w:lsdException w:name="Table Grid 3" w:locked="1"/>
    <w:lsdException w:name="Table Grid 4" w:locked="1"/>
    <w:lsdException w:name="Table Grid 5" w:locked="1"/>
    <w:lsdException w:name="Table Grid 6" w:locked="1"/>
    <w:lsdException w:name="Table Grid 7" w:locked="1"/>
    <w:lsdException w:name="Table Grid 8" w:locked="1"/>
    <w:lsdException w:name="Table List 1" w:locked="1"/>
    <w:lsdException w:name="Table List 2" w:locked="1"/>
    <w:lsdException w:name="Table List 3" w:locked="1"/>
    <w:lsdException w:name="Table List 4" w:locked="1"/>
    <w:lsdException w:name="Table List 5" w:locked="1"/>
    <w:lsdException w:name="Table List 6" w:locked="1"/>
    <w:lsdException w:name="Table List 7" w:locked="1"/>
    <w:lsdException w:name="Table List 8" w:locked="1"/>
    <w:lsdException w:name="Table 3D effects 1" w:locked="1"/>
    <w:lsdException w:name="Table 3D effects 2" w:locked="1"/>
    <w:lsdException w:name="Table 3D effects 3" w:locked="1"/>
    <w:lsdException w:name="Table Contemporary" w:locked="1"/>
    <w:lsdException w:name="Table Elegant" w:locked="1"/>
    <w:lsdException w:name="Table Professional" w:locked="1"/>
    <w:lsdException w:name="Table Subtle 1" w:locked="1"/>
    <w:lsdException w:name="Table Subtle 2" w:locked="1"/>
    <w:lsdException w:name="Table Web 1" w:locked="1"/>
    <w:lsdException w:name="Table Web 2" w:locked="1"/>
    <w:lsdException w:name="Table Web 3" w:locked="1"/>
    <w:lsdException w:name="Balloon Text" w:locked="1" w:semiHidden="1" w:uiPriority="0" w:unhideWhenUsed="1"/>
    <w:lsdException w:name="Table Grid" w:uiPriority="0"/>
    <w:lsdException w:name="Table Theme" w:lock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C25B23"/>
    <w:rPr>
      <w:sz w:val="24"/>
      <w:szCs w:val="24"/>
    </w:rPr>
  </w:style>
  <w:style w:type="paragraph" w:styleId="Ttulo1">
    <w:name w:val="heading 1"/>
    <w:basedOn w:val="Normal"/>
    <w:next w:val="Normal"/>
    <w:link w:val="Ttulo1Char"/>
    <w:uiPriority w:val="99"/>
    <w:qFormat/>
    <w:rsid w:val="00D32DF9"/>
    <w:pPr>
      <w:keepNext/>
      <w:jc w:val="center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9"/>
    <w:qFormat/>
    <w:rsid w:val="00D32DF9"/>
    <w:pPr>
      <w:keepNext/>
      <w:jc w:val="center"/>
      <w:outlineLvl w:val="1"/>
    </w:pPr>
    <w:rPr>
      <w:rFonts w:ascii="Cambria" w:hAnsi="Cambria"/>
      <w:b/>
      <w:bCs/>
      <w:i/>
      <w:iCs/>
      <w:sz w:val="28"/>
      <w:szCs w:val="28"/>
    </w:rPr>
  </w:style>
  <w:style w:type="paragraph" w:styleId="Ttulo3">
    <w:name w:val="heading 3"/>
    <w:basedOn w:val="Normal"/>
    <w:next w:val="Normal"/>
    <w:link w:val="Ttulo3Char"/>
    <w:uiPriority w:val="9"/>
    <w:qFormat/>
    <w:rsid w:val="00D32DF9"/>
    <w:pPr>
      <w:keepNext/>
      <w:jc w:val="center"/>
      <w:outlineLvl w:val="2"/>
    </w:pPr>
    <w:rPr>
      <w:b/>
      <w:sz w:val="26"/>
      <w:szCs w:val="20"/>
    </w:rPr>
  </w:style>
  <w:style w:type="paragraph" w:styleId="Ttulo4">
    <w:name w:val="heading 4"/>
    <w:basedOn w:val="Normal"/>
    <w:next w:val="Normal"/>
    <w:link w:val="Ttulo4Char"/>
    <w:uiPriority w:val="9"/>
    <w:qFormat/>
    <w:rsid w:val="00D32DF9"/>
    <w:pPr>
      <w:keepNext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link w:val="Ttulo5Char"/>
    <w:uiPriority w:val="9"/>
    <w:qFormat/>
    <w:rsid w:val="00D32DF9"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link w:val="Ttulo6Char"/>
    <w:uiPriority w:val="9"/>
    <w:qFormat/>
    <w:rsid w:val="00D32DF9"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link w:val="Ttulo7Char"/>
    <w:uiPriority w:val="9"/>
    <w:qFormat/>
    <w:rsid w:val="00D32DF9"/>
    <w:pPr>
      <w:numPr>
        <w:ilvl w:val="6"/>
        <w:numId w:val="1"/>
      </w:numPr>
      <w:spacing w:before="240" w:after="60"/>
      <w:outlineLvl w:val="6"/>
    </w:pPr>
  </w:style>
  <w:style w:type="paragraph" w:styleId="Ttulo8">
    <w:name w:val="heading 8"/>
    <w:basedOn w:val="Normal"/>
    <w:next w:val="Normal"/>
    <w:link w:val="Ttulo8Char"/>
    <w:uiPriority w:val="9"/>
    <w:qFormat/>
    <w:rsid w:val="00D32DF9"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link w:val="Ttulo9Char"/>
    <w:uiPriority w:val="9"/>
    <w:qFormat/>
    <w:rsid w:val="00D32DF9"/>
    <w:pPr>
      <w:numPr>
        <w:ilvl w:val="8"/>
        <w:numId w:val="1"/>
      </w:numPr>
      <w:spacing w:before="240" w:after="60"/>
      <w:outlineLvl w:val="8"/>
    </w:pPr>
    <w:rPr>
      <w:rFonts w:ascii="Arial" w:hAnsi="Arial"/>
      <w:sz w:val="22"/>
      <w:szCs w:val="22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9"/>
    <w:locked/>
    <w:rsid w:val="00B54552"/>
    <w:rPr>
      <w:rFonts w:ascii="Cambria" w:hAnsi="Cambria" w:cs="Times New Roman"/>
      <w:b/>
      <w:kern w:val="32"/>
      <w:sz w:val="32"/>
    </w:rPr>
  </w:style>
  <w:style w:type="character" w:customStyle="1" w:styleId="Ttulo2Char">
    <w:name w:val="Título 2 Char"/>
    <w:basedOn w:val="Fontepargpadro"/>
    <w:link w:val="Ttulo2"/>
    <w:uiPriority w:val="99"/>
    <w:semiHidden/>
    <w:locked/>
    <w:rsid w:val="00B54552"/>
    <w:rPr>
      <w:rFonts w:ascii="Cambria" w:hAnsi="Cambria" w:cs="Times New Roman"/>
      <w:b/>
      <w:i/>
      <w:sz w:val="28"/>
    </w:rPr>
  </w:style>
  <w:style w:type="character" w:customStyle="1" w:styleId="Ttulo3Char">
    <w:name w:val="Título 3 Char"/>
    <w:basedOn w:val="Fontepargpadro"/>
    <w:link w:val="Ttulo3"/>
    <w:uiPriority w:val="9"/>
    <w:locked/>
    <w:rsid w:val="003775E1"/>
    <w:rPr>
      <w:rFonts w:cs="Times New Roman"/>
      <w:b/>
      <w:sz w:val="26"/>
      <w:lang w:val="pt-BR" w:eastAsia="pt-BR"/>
    </w:rPr>
  </w:style>
  <w:style w:type="character" w:customStyle="1" w:styleId="Ttulo4Char">
    <w:name w:val="Título 4 Char"/>
    <w:basedOn w:val="Fontepargpadro"/>
    <w:link w:val="Ttulo4"/>
    <w:uiPriority w:val="9"/>
    <w:locked/>
    <w:rsid w:val="00B54552"/>
    <w:rPr>
      <w:rFonts w:cs="Times New Roman"/>
      <w:b/>
      <w:sz w:val="28"/>
    </w:rPr>
  </w:style>
  <w:style w:type="character" w:customStyle="1" w:styleId="Ttulo5Char">
    <w:name w:val="Título 5 Char"/>
    <w:basedOn w:val="Fontepargpadro"/>
    <w:link w:val="Ttulo5"/>
    <w:uiPriority w:val="9"/>
    <w:locked/>
    <w:rsid w:val="00B54552"/>
    <w:rPr>
      <w:rFonts w:cs="Times New Roman"/>
      <w:b/>
      <w:i/>
      <w:sz w:val="26"/>
    </w:rPr>
  </w:style>
  <w:style w:type="character" w:customStyle="1" w:styleId="Ttulo6Char">
    <w:name w:val="Título 6 Char"/>
    <w:basedOn w:val="Fontepargpadro"/>
    <w:link w:val="Ttulo6"/>
    <w:uiPriority w:val="9"/>
    <w:locked/>
    <w:rsid w:val="00B54552"/>
    <w:rPr>
      <w:rFonts w:cs="Times New Roman"/>
      <w:b/>
      <w:sz w:val="22"/>
    </w:rPr>
  </w:style>
  <w:style w:type="character" w:customStyle="1" w:styleId="Ttulo7Char">
    <w:name w:val="Título 7 Char"/>
    <w:basedOn w:val="Fontepargpadro"/>
    <w:link w:val="Ttulo7"/>
    <w:uiPriority w:val="9"/>
    <w:locked/>
    <w:rsid w:val="00B54552"/>
    <w:rPr>
      <w:rFonts w:cs="Times New Roman"/>
      <w:sz w:val="24"/>
    </w:rPr>
  </w:style>
  <w:style w:type="character" w:customStyle="1" w:styleId="Ttulo8Char">
    <w:name w:val="Título 8 Char"/>
    <w:basedOn w:val="Fontepargpadro"/>
    <w:link w:val="Ttulo8"/>
    <w:uiPriority w:val="9"/>
    <w:locked/>
    <w:rsid w:val="00B54552"/>
    <w:rPr>
      <w:rFonts w:cs="Times New Roman"/>
      <w:i/>
      <w:sz w:val="24"/>
    </w:rPr>
  </w:style>
  <w:style w:type="character" w:customStyle="1" w:styleId="Ttulo9Char">
    <w:name w:val="Título 9 Char"/>
    <w:basedOn w:val="Fontepargpadro"/>
    <w:link w:val="Ttulo9"/>
    <w:uiPriority w:val="9"/>
    <w:locked/>
    <w:rsid w:val="00B54552"/>
    <w:rPr>
      <w:rFonts w:ascii="Arial" w:hAnsi="Arial" w:cs="Times New Roman"/>
      <w:sz w:val="22"/>
    </w:rPr>
  </w:style>
  <w:style w:type="paragraph" w:styleId="Corpodetexto">
    <w:name w:val="Body Text"/>
    <w:basedOn w:val="Normal"/>
    <w:link w:val="CorpodetextoChar"/>
    <w:uiPriority w:val="99"/>
    <w:rsid w:val="00D32DF9"/>
    <w:rPr>
      <w:sz w:val="28"/>
      <w:szCs w:val="20"/>
    </w:rPr>
  </w:style>
  <w:style w:type="character" w:customStyle="1" w:styleId="CorpodetextoChar">
    <w:name w:val="Corpo de texto Char"/>
    <w:basedOn w:val="Fontepargpadro"/>
    <w:link w:val="Corpodetexto"/>
    <w:uiPriority w:val="99"/>
    <w:locked/>
    <w:rsid w:val="00D32DF9"/>
    <w:rPr>
      <w:rFonts w:cs="Times New Roman"/>
      <w:sz w:val="28"/>
      <w:lang w:val="pt-BR" w:eastAsia="pt-BR"/>
    </w:rPr>
  </w:style>
  <w:style w:type="paragraph" w:styleId="NormalWeb">
    <w:name w:val="Normal (Web)"/>
    <w:basedOn w:val="Normal"/>
    <w:uiPriority w:val="99"/>
    <w:rsid w:val="00D32DF9"/>
    <w:pPr>
      <w:spacing w:before="100" w:beforeAutospacing="1" w:after="100" w:afterAutospacing="1"/>
    </w:pPr>
    <w:rPr>
      <w:rFonts w:ascii="Tahoma" w:hAnsi="Tahoma" w:cs="Tahoma"/>
      <w:color w:val="000000"/>
      <w:sz w:val="16"/>
      <w:szCs w:val="16"/>
    </w:rPr>
  </w:style>
  <w:style w:type="character" w:styleId="Hyperlink">
    <w:name w:val="Hyperlink"/>
    <w:basedOn w:val="Fontepargpadro"/>
    <w:uiPriority w:val="99"/>
    <w:rsid w:val="00D32DF9"/>
    <w:rPr>
      <w:rFonts w:cs="Times New Roman"/>
      <w:color w:val="0000FF"/>
      <w:u w:val="single"/>
    </w:rPr>
  </w:style>
  <w:style w:type="character" w:customStyle="1" w:styleId="karenbrisolla">
    <w:name w:val="karen.brisolla"/>
    <w:semiHidden/>
    <w:rsid w:val="00D32DF9"/>
    <w:rPr>
      <w:rFonts w:ascii="Arial" w:hAnsi="Arial"/>
      <w:color w:val="000080"/>
      <w:sz w:val="20"/>
    </w:rPr>
  </w:style>
  <w:style w:type="character" w:styleId="Forte">
    <w:name w:val="Strong"/>
    <w:basedOn w:val="Fontepargpadro"/>
    <w:uiPriority w:val="22"/>
    <w:qFormat/>
    <w:rsid w:val="00D32DF9"/>
    <w:rPr>
      <w:rFonts w:cs="Times New Roman"/>
      <w:b/>
    </w:rPr>
  </w:style>
  <w:style w:type="character" w:styleId="Refdecomentrio">
    <w:name w:val="annotation reference"/>
    <w:basedOn w:val="Fontepargpadro"/>
    <w:uiPriority w:val="99"/>
    <w:semiHidden/>
    <w:rsid w:val="00D32DF9"/>
    <w:rPr>
      <w:rFonts w:cs="Times New Roman"/>
      <w:sz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D32DF9"/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locked/>
    <w:rsid w:val="00B54552"/>
    <w:rPr>
      <w:rFonts w:cs="Times New Roman"/>
      <w:sz w:val="20"/>
    </w:rPr>
  </w:style>
  <w:style w:type="paragraph" w:styleId="Textodebalo">
    <w:name w:val="Balloon Text"/>
    <w:basedOn w:val="Normal"/>
    <w:link w:val="TextodebaloChar"/>
    <w:uiPriority w:val="99"/>
    <w:semiHidden/>
    <w:rsid w:val="00D32DF9"/>
    <w:rPr>
      <w:sz w:val="2"/>
      <w:szCs w:val="20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locked/>
    <w:rsid w:val="00B54552"/>
    <w:rPr>
      <w:rFonts w:cs="Times New Roman"/>
      <w:sz w:val="2"/>
    </w:rPr>
  </w:style>
  <w:style w:type="table" w:styleId="Tabelacomgrade">
    <w:name w:val="Table Grid"/>
    <w:basedOn w:val="Tabelanormal"/>
    <w:uiPriority w:val="39"/>
    <w:rsid w:val="00D32DF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mrio1">
    <w:name w:val="toc 1"/>
    <w:basedOn w:val="Normal"/>
    <w:next w:val="Normal"/>
    <w:autoRedefine/>
    <w:uiPriority w:val="39"/>
    <w:rsid w:val="00D32DF9"/>
    <w:pPr>
      <w:jc w:val="both"/>
    </w:pPr>
    <w:rPr>
      <w:sz w:val="20"/>
    </w:rPr>
  </w:style>
  <w:style w:type="paragraph" w:styleId="Sumrio2">
    <w:name w:val="toc 2"/>
    <w:basedOn w:val="Normal"/>
    <w:next w:val="Normal"/>
    <w:autoRedefine/>
    <w:uiPriority w:val="39"/>
    <w:rsid w:val="00D32DF9"/>
    <w:pPr>
      <w:ind w:left="238"/>
      <w:jc w:val="both"/>
    </w:pPr>
    <w:rPr>
      <w:sz w:val="18"/>
    </w:rPr>
  </w:style>
  <w:style w:type="paragraph" w:styleId="Cabealho">
    <w:name w:val="header"/>
    <w:basedOn w:val="Normal"/>
    <w:link w:val="CabealhoChar"/>
    <w:uiPriority w:val="99"/>
    <w:rsid w:val="00D32DF9"/>
    <w:pPr>
      <w:tabs>
        <w:tab w:val="center" w:pos="4419"/>
        <w:tab w:val="right" w:pos="8838"/>
      </w:tabs>
    </w:pPr>
  </w:style>
  <w:style w:type="character" w:customStyle="1" w:styleId="CabealhoChar">
    <w:name w:val="Cabeçalho Char"/>
    <w:basedOn w:val="Fontepargpadro"/>
    <w:link w:val="Cabealho"/>
    <w:uiPriority w:val="99"/>
    <w:semiHidden/>
    <w:locked/>
    <w:rsid w:val="00B54552"/>
    <w:rPr>
      <w:rFonts w:cs="Times New Roman"/>
      <w:sz w:val="24"/>
    </w:rPr>
  </w:style>
  <w:style w:type="paragraph" w:styleId="Sumrio3">
    <w:name w:val="toc 3"/>
    <w:basedOn w:val="Normal"/>
    <w:next w:val="Normal"/>
    <w:autoRedefine/>
    <w:uiPriority w:val="39"/>
    <w:rsid w:val="00D32DF9"/>
    <w:pPr>
      <w:ind w:left="480"/>
    </w:pPr>
    <w:rPr>
      <w:sz w:val="16"/>
    </w:rPr>
  </w:style>
  <w:style w:type="character" w:customStyle="1" w:styleId="varleysousa">
    <w:name w:val="varley.sousa"/>
    <w:uiPriority w:val="99"/>
    <w:semiHidden/>
    <w:rsid w:val="00D32DF9"/>
    <w:rPr>
      <w:rFonts w:ascii="Arial" w:hAnsi="Arial"/>
      <w:color w:val="auto"/>
      <w:sz w:val="20"/>
    </w:rPr>
  </w:style>
  <w:style w:type="paragraph" w:styleId="Rodap">
    <w:name w:val="footer"/>
    <w:basedOn w:val="Normal"/>
    <w:link w:val="RodapChar"/>
    <w:uiPriority w:val="99"/>
    <w:rsid w:val="00B24EA8"/>
    <w:pPr>
      <w:tabs>
        <w:tab w:val="center" w:pos="4252"/>
        <w:tab w:val="right" w:pos="8504"/>
      </w:tabs>
    </w:pPr>
  </w:style>
  <w:style w:type="character" w:customStyle="1" w:styleId="RodapChar">
    <w:name w:val="Rodapé Char"/>
    <w:basedOn w:val="Fontepargpadro"/>
    <w:link w:val="Rodap"/>
    <w:uiPriority w:val="99"/>
    <w:locked/>
    <w:rsid w:val="00B54552"/>
    <w:rPr>
      <w:rFonts w:cs="Times New Roman"/>
      <w:sz w:val="24"/>
    </w:rPr>
  </w:style>
  <w:style w:type="character" w:styleId="Nmerodepgina">
    <w:name w:val="page number"/>
    <w:basedOn w:val="Fontepargpadro"/>
    <w:uiPriority w:val="99"/>
    <w:rsid w:val="00B24EA8"/>
    <w:rPr>
      <w:rFonts w:cs="Times New Roman"/>
    </w:rPr>
  </w:style>
  <w:style w:type="paragraph" w:customStyle="1" w:styleId="Default">
    <w:name w:val="Default"/>
    <w:rsid w:val="00BF57D4"/>
    <w:pPr>
      <w:autoSpaceDE w:val="0"/>
      <w:autoSpaceDN w:val="0"/>
      <w:adjustRightInd w:val="0"/>
    </w:pPr>
    <w:rPr>
      <w:rFonts w:ascii="Cordia New" w:hAnsi="Cordia New" w:cs="Cordia New"/>
      <w:color w:val="000000"/>
      <w:sz w:val="24"/>
      <w:szCs w:val="24"/>
      <w:lang w:bidi="th-TH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FF47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locked/>
    <w:rsid w:val="00B54552"/>
    <w:rPr>
      <w:rFonts w:cs="Times New Roman"/>
      <w:b/>
      <w:sz w:val="20"/>
    </w:rPr>
  </w:style>
  <w:style w:type="character" w:customStyle="1" w:styleId="spelle">
    <w:name w:val="spelle"/>
    <w:uiPriority w:val="99"/>
    <w:rsid w:val="00E67740"/>
  </w:style>
  <w:style w:type="character" w:styleId="HiperlinkVisitado">
    <w:name w:val="FollowedHyperlink"/>
    <w:basedOn w:val="Fontepargpadro"/>
    <w:uiPriority w:val="99"/>
    <w:rsid w:val="006B17F2"/>
    <w:rPr>
      <w:rFonts w:cs="Times New Roman"/>
      <w:color w:val="800080"/>
      <w:u w:val="single"/>
    </w:rPr>
  </w:style>
  <w:style w:type="character" w:customStyle="1" w:styleId="VarleySousa0">
    <w:name w:val="Varley.Sousa"/>
    <w:uiPriority w:val="99"/>
    <w:semiHidden/>
    <w:rsid w:val="002B679E"/>
    <w:rPr>
      <w:rFonts w:ascii="Arial" w:hAnsi="Arial"/>
      <w:color w:val="auto"/>
      <w:sz w:val="20"/>
    </w:rPr>
  </w:style>
  <w:style w:type="paragraph" w:styleId="Sumrio4">
    <w:name w:val="toc 4"/>
    <w:basedOn w:val="Normal"/>
    <w:next w:val="Normal"/>
    <w:autoRedefine/>
    <w:uiPriority w:val="39"/>
    <w:rsid w:val="00E87BE0"/>
    <w:pPr>
      <w:ind w:left="720"/>
    </w:pPr>
  </w:style>
  <w:style w:type="paragraph" w:styleId="Sumrio5">
    <w:name w:val="toc 5"/>
    <w:basedOn w:val="Normal"/>
    <w:next w:val="Normal"/>
    <w:autoRedefine/>
    <w:uiPriority w:val="39"/>
    <w:semiHidden/>
    <w:rsid w:val="00E87BE0"/>
    <w:pPr>
      <w:ind w:left="960"/>
    </w:pPr>
  </w:style>
  <w:style w:type="paragraph" w:styleId="Sumrio6">
    <w:name w:val="toc 6"/>
    <w:basedOn w:val="Normal"/>
    <w:next w:val="Normal"/>
    <w:autoRedefine/>
    <w:uiPriority w:val="39"/>
    <w:semiHidden/>
    <w:rsid w:val="00E87BE0"/>
    <w:pPr>
      <w:ind w:left="1200"/>
    </w:pPr>
  </w:style>
  <w:style w:type="paragraph" w:styleId="Sumrio7">
    <w:name w:val="toc 7"/>
    <w:basedOn w:val="Normal"/>
    <w:next w:val="Normal"/>
    <w:autoRedefine/>
    <w:uiPriority w:val="39"/>
    <w:semiHidden/>
    <w:rsid w:val="00E87BE0"/>
    <w:pPr>
      <w:ind w:left="1440"/>
    </w:pPr>
  </w:style>
  <w:style w:type="paragraph" w:styleId="Sumrio8">
    <w:name w:val="toc 8"/>
    <w:basedOn w:val="Normal"/>
    <w:next w:val="Normal"/>
    <w:autoRedefine/>
    <w:uiPriority w:val="39"/>
    <w:semiHidden/>
    <w:rsid w:val="00E87BE0"/>
    <w:pPr>
      <w:ind w:left="1680"/>
    </w:pPr>
  </w:style>
  <w:style w:type="paragraph" w:styleId="Sumrio9">
    <w:name w:val="toc 9"/>
    <w:basedOn w:val="Normal"/>
    <w:next w:val="Normal"/>
    <w:autoRedefine/>
    <w:uiPriority w:val="39"/>
    <w:semiHidden/>
    <w:rsid w:val="00E87BE0"/>
    <w:pPr>
      <w:ind w:left="1920"/>
    </w:pPr>
  </w:style>
  <w:style w:type="paragraph" w:styleId="PargrafodaLista">
    <w:name w:val="List Paragraph"/>
    <w:basedOn w:val="Normal"/>
    <w:uiPriority w:val="34"/>
    <w:qFormat/>
    <w:rsid w:val="00472C75"/>
    <w:pPr>
      <w:ind w:left="708"/>
    </w:pPr>
  </w:style>
  <w:style w:type="paragraph" w:styleId="Reviso">
    <w:name w:val="Revision"/>
    <w:hidden/>
    <w:uiPriority w:val="99"/>
    <w:semiHidden/>
    <w:rsid w:val="009902FE"/>
    <w:rPr>
      <w:sz w:val="24"/>
      <w:szCs w:val="24"/>
    </w:rPr>
  </w:style>
  <w:style w:type="paragraph" w:customStyle="1" w:styleId="MMTopic1">
    <w:name w:val="MM Topic 1"/>
    <w:basedOn w:val="Ttulo1"/>
    <w:rsid w:val="00B710A1"/>
    <w:pPr>
      <w:numPr>
        <w:numId w:val="8"/>
      </w:numPr>
      <w:tabs>
        <w:tab w:val="clear" w:pos="360"/>
      </w:tabs>
      <w:spacing w:before="240" w:after="60" w:line="360" w:lineRule="auto"/>
      <w:jc w:val="left"/>
    </w:pPr>
    <w:rPr>
      <w:rFonts w:ascii="Arial" w:hAnsi="Arial"/>
      <w:caps/>
    </w:rPr>
  </w:style>
  <w:style w:type="paragraph" w:customStyle="1" w:styleId="MMTopic2">
    <w:name w:val="MM Topic 2"/>
    <w:basedOn w:val="Ttulo2"/>
    <w:rsid w:val="00B710A1"/>
    <w:pPr>
      <w:numPr>
        <w:ilvl w:val="1"/>
        <w:numId w:val="8"/>
      </w:numPr>
      <w:spacing w:before="240" w:after="60" w:line="360" w:lineRule="auto"/>
      <w:jc w:val="left"/>
    </w:pPr>
    <w:rPr>
      <w:rFonts w:ascii="Arial" w:hAnsi="Arial"/>
      <w:i w:val="0"/>
      <w:smallCaps/>
    </w:rPr>
  </w:style>
  <w:style w:type="paragraph" w:customStyle="1" w:styleId="MMTopic3">
    <w:name w:val="MM Topic 3"/>
    <w:basedOn w:val="Ttulo3"/>
    <w:rsid w:val="00B710A1"/>
    <w:pPr>
      <w:numPr>
        <w:ilvl w:val="2"/>
        <w:numId w:val="8"/>
      </w:numPr>
      <w:spacing w:before="240" w:after="60"/>
      <w:jc w:val="left"/>
    </w:pPr>
    <w:rPr>
      <w:rFonts w:ascii="Arial" w:hAnsi="Arial"/>
    </w:rPr>
  </w:style>
  <w:style w:type="paragraph" w:customStyle="1" w:styleId="MMTopic4">
    <w:name w:val="MM Topic 4"/>
    <w:basedOn w:val="Ttulo4"/>
    <w:rsid w:val="00B710A1"/>
    <w:pPr>
      <w:numPr>
        <w:numId w:val="8"/>
      </w:numPr>
      <w:spacing w:before="120" w:after="120"/>
      <w:ind w:left="0"/>
      <w:jc w:val="center"/>
    </w:pPr>
    <w:rPr>
      <w:sz w:val="24"/>
    </w:rPr>
  </w:style>
  <w:style w:type="paragraph" w:customStyle="1" w:styleId="MMTopic5">
    <w:name w:val="MM Topic 5"/>
    <w:basedOn w:val="Ttulo5"/>
    <w:rsid w:val="00B710A1"/>
    <w:pPr>
      <w:numPr>
        <w:numId w:val="8"/>
      </w:numPr>
      <w:ind w:left="0"/>
    </w:pPr>
  </w:style>
  <w:style w:type="paragraph" w:customStyle="1" w:styleId="MMTopic6">
    <w:name w:val="MM Topic 6"/>
    <w:basedOn w:val="Ttulo6"/>
    <w:rsid w:val="00B710A1"/>
    <w:pPr>
      <w:numPr>
        <w:numId w:val="8"/>
      </w:numPr>
      <w:ind w:left="0"/>
    </w:pPr>
  </w:style>
  <w:style w:type="paragraph" w:customStyle="1" w:styleId="MMTopic7">
    <w:name w:val="MM Topic 7"/>
    <w:basedOn w:val="Ttulo7"/>
    <w:rsid w:val="00B710A1"/>
    <w:pPr>
      <w:numPr>
        <w:numId w:val="8"/>
      </w:numPr>
      <w:ind w:left="0"/>
    </w:pPr>
  </w:style>
  <w:style w:type="paragraph" w:customStyle="1" w:styleId="MMTopic8">
    <w:name w:val="MM Topic 8"/>
    <w:basedOn w:val="Ttulo8"/>
    <w:rsid w:val="00B710A1"/>
    <w:pPr>
      <w:numPr>
        <w:numId w:val="8"/>
      </w:numPr>
      <w:ind w:left="0"/>
    </w:pPr>
  </w:style>
  <w:style w:type="paragraph" w:customStyle="1" w:styleId="MMTopic9">
    <w:name w:val="MM Topic 9"/>
    <w:basedOn w:val="Ttulo9"/>
    <w:rsid w:val="00B710A1"/>
    <w:pPr>
      <w:numPr>
        <w:numId w:val="8"/>
      </w:numPr>
      <w:ind w:left="0"/>
    </w:pPr>
  </w:style>
  <w:style w:type="paragraph" w:customStyle="1" w:styleId="forms">
    <w:name w:val="forms"/>
    <w:basedOn w:val="Ttulo2"/>
    <w:rsid w:val="00B710A1"/>
    <w:pPr>
      <w:suppressAutoHyphens/>
      <w:spacing w:before="40" w:after="40" w:line="360" w:lineRule="auto"/>
      <w:jc w:val="left"/>
    </w:pPr>
    <w:rPr>
      <w:rFonts w:ascii="Arial" w:hAnsi="Arial"/>
      <w:bCs w:val="0"/>
      <w:iCs w:val="0"/>
      <w:smallCaps/>
      <w:sz w:val="16"/>
      <w:szCs w:val="20"/>
      <w:lang w:eastAsia="ar-SA"/>
    </w:rPr>
  </w:style>
  <w:style w:type="character" w:styleId="nfase">
    <w:name w:val="Emphasis"/>
    <w:basedOn w:val="Fontepargpadro"/>
    <w:uiPriority w:val="20"/>
    <w:qFormat/>
    <w:rsid w:val="00B710A1"/>
    <w:rPr>
      <w:rFonts w:cs="Times New Roman"/>
      <w:b/>
    </w:rPr>
  </w:style>
  <w:style w:type="paragraph" w:styleId="Recuodecorpodetexto">
    <w:name w:val="Body Text Indent"/>
    <w:basedOn w:val="Normal"/>
    <w:link w:val="RecuodecorpodetextoChar"/>
    <w:uiPriority w:val="99"/>
    <w:locked/>
    <w:rsid w:val="00B710A1"/>
    <w:pPr>
      <w:spacing w:after="120"/>
      <w:ind w:left="283"/>
    </w:pPr>
  </w:style>
  <w:style w:type="character" w:customStyle="1" w:styleId="RecuodecorpodetextoChar">
    <w:name w:val="Recuo de corpo de texto Char"/>
    <w:basedOn w:val="Fontepargpadro"/>
    <w:link w:val="Recuodecorpodetexto"/>
    <w:uiPriority w:val="99"/>
    <w:locked/>
    <w:rsid w:val="00B710A1"/>
    <w:rPr>
      <w:rFonts w:cs="Times New Roman"/>
      <w:sz w:val="24"/>
    </w:rPr>
  </w:style>
  <w:style w:type="character" w:customStyle="1" w:styleId="JackelineTeixeira">
    <w:name w:val="Jackeline.Teixeira"/>
    <w:semiHidden/>
    <w:rsid w:val="00B710A1"/>
    <w:rPr>
      <w:rFonts w:ascii="Arial" w:hAnsi="Arial"/>
      <w:color w:val="000080"/>
      <w:sz w:val="20"/>
    </w:rPr>
  </w:style>
  <w:style w:type="paragraph" w:customStyle="1" w:styleId="textocenter">
    <w:name w:val="texto_center"/>
    <w:basedOn w:val="Normal"/>
    <w:rsid w:val="00B710A1"/>
    <w:pPr>
      <w:spacing w:before="100" w:beforeAutospacing="1" w:after="100" w:afterAutospacing="1"/>
      <w:jc w:val="center"/>
    </w:pPr>
    <w:rPr>
      <w:rFonts w:ascii="Arial" w:hAnsi="Arial" w:cs="Arial"/>
      <w:color w:val="000000"/>
      <w:sz w:val="10"/>
      <w:szCs w:val="10"/>
    </w:rPr>
  </w:style>
  <w:style w:type="character" w:customStyle="1" w:styleId="denisegoncalves">
    <w:name w:val="denise.goncalves"/>
    <w:semiHidden/>
    <w:rsid w:val="00B710A1"/>
    <w:rPr>
      <w:rFonts w:ascii="Arial" w:hAnsi="Arial"/>
      <w:color w:val="000080"/>
      <w:sz w:val="20"/>
    </w:rPr>
  </w:style>
  <w:style w:type="character" w:customStyle="1" w:styleId="apple-style-span">
    <w:name w:val="apple-style-span"/>
    <w:basedOn w:val="Fontepargpadro"/>
    <w:rsid w:val="00B710A1"/>
    <w:rPr>
      <w:rFonts w:cs="Times New Roman"/>
    </w:rPr>
  </w:style>
  <w:style w:type="paragraph" w:customStyle="1" w:styleId="Pa0">
    <w:name w:val="Pa0"/>
    <w:basedOn w:val="Normal"/>
    <w:uiPriority w:val="99"/>
    <w:rsid w:val="004B4B2E"/>
    <w:pPr>
      <w:autoSpaceDE w:val="0"/>
      <w:autoSpaceDN w:val="0"/>
      <w:spacing w:line="201" w:lineRule="atLeast"/>
    </w:pPr>
  </w:style>
  <w:style w:type="character" w:customStyle="1" w:styleId="A0">
    <w:name w:val="A0"/>
    <w:uiPriority w:val="99"/>
    <w:rsid w:val="004B4B2E"/>
    <w:rPr>
      <w:color w:val="000000"/>
    </w:rPr>
  </w:style>
  <w:style w:type="paragraph" w:styleId="Legenda">
    <w:name w:val="caption"/>
    <w:basedOn w:val="Normal"/>
    <w:next w:val="Normal"/>
    <w:uiPriority w:val="35"/>
    <w:unhideWhenUsed/>
    <w:qFormat/>
    <w:rsid w:val="00FA6F96"/>
    <w:rPr>
      <w:b/>
      <w:bCs/>
      <w:sz w:val="20"/>
      <w:szCs w:val="20"/>
    </w:rPr>
  </w:style>
  <w:style w:type="paragraph" w:customStyle="1" w:styleId="Pa24">
    <w:name w:val="Pa24"/>
    <w:basedOn w:val="Normal"/>
    <w:uiPriority w:val="99"/>
    <w:rsid w:val="0030509C"/>
    <w:pPr>
      <w:autoSpaceDE w:val="0"/>
      <w:autoSpaceDN w:val="0"/>
      <w:spacing w:line="201" w:lineRule="atLeast"/>
    </w:pPr>
  </w:style>
  <w:style w:type="paragraph" w:customStyle="1" w:styleId="NormalWeb3">
    <w:name w:val="Normal (Web)3"/>
    <w:basedOn w:val="Normal"/>
    <w:rsid w:val="000B7337"/>
    <w:pPr>
      <w:spacing w:before="100" w:beforeAutospacing="1" w:after="100" w:afterAutospacing="1" w:line="280" w:lineRule="atLeast"/>
      <w:jc w:val="both"/>
    </w:pPr>
    <w:rPr>
      <w:rFonts w:ascii="Tahoma" w:hAnsi="Tahoma" w:cs="Tahoma"/>
      <w:color w:val="000000"/>
      <w:sz w:val="17"/>
      <w:szCs w:val="17"/>
    </w:rPr>
  </w:style>
  <w:style w:type="table" w:styleId="SombreamentoClaro">
    <w:name w:val="Light Shading"/>
    <w:basedOn w:val="Tabelanormal"/>
    <w:uiPriority w:val="60"/>
    <w:rsid w:val="00F319EA"/>
    <w:rPr>
      <w:color w:val="000000"/>
    </w:rPr>
    <w:tblPr>
      <w:tblStyleRowBandSize w:val="1"/>
      <w:tblStyleColBandSize w:val="1"/>
      <w:tblBorders>
        <w:top w:val="single" w:sz="8" w:space="0" w:color="000000"/>
        <w:bottom w:val="single" w:sz="8" w:space="0" w:color="000000"/>
      </w:tblBorders>
    </w:tblPr>
    <w:tblStylePr w:type="fir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lastRow">
      <w:pPr>
        <w:spacing w:before="0" w:after="0"/>
      </w:pPr>
      <w:rPr>
        <w:rFonts w:cs="Times New Roman"/>
        <w:b/>
        <w:bCs/>
      </w:rPr>
      <w:tblPr/>
      <w:tcPr>
        <w:tcBorders>
          <w:top w:val="single" w:sz="8" w:space="0" w:color="000000"/>
          <w:left w:val="nil"/>
          <w:bottom w:val="single" w:sz="8" w:space="0" w:color="000000"/>
          <w:right w:val="nil"/>
          <w:insideH w:val="nil"/>
          <w:insideV w:val="nil"/>
        </w:tcBorders>
      </w:tcPr>
    </w:tblStylePr>
    <w:tblStylePr w:type="firstCol">
      <w:rPr>
        <w:rFonts w:cs="Times New Roman"/>
        <w:b/>
        <w:bCs/>
      </w:rPr>
    </w:tblStylePr>
    <w:tblStylePr w:type="lastCol">
      <w:rPr>
        <w:rFonts w:cs="Times New Roman"/>
        <w:b/>
        <w:bCs/>
      </w:rPr>
    </w:tblStylePr>
    <w:tblStylePr w:type="band1Vert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  <w:tblStylePr w:type="band1Horz">
      <w:rPr>
        <w:rFonts w:cs="Times New Roman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C0C0"/>
      </w:tcPr>
    </w:tblStylePr>
  </w:style>
  <w:style w:type="numbering" w:customStyle="1" w:styleId="Estilo1">
    <w:name w:val="Estilo1"/>
    <w:pPr>
      <w:numPr>
        <w:numId w:val="2"/>
      </w:numPr>
    </w:pPr>
  </w:style>
  <w:style w:type="numbering" w:customStyle="1" w:styleId="Listaatual11">
    <w:name w:val="Lista atual11"/>
    <w:pPr>
      <w:numPr>
        <w:numId w:val="4"/>
      </w:numPr>
    </w:pPr>
  </w:style>
  <w:style w:type="numbering" w:customStyle="1" w:styleId="Estilo11">
    <w:name w:val="Estilo11"/>
    <w:pPr>
      <w:numPr>
        <w:numId w:val="3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02173772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25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2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2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2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4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5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7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77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77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77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3776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7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3777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3775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37760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3775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6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6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7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76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776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173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7377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17377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17377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17377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2173775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1737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217377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217377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02173776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2173773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02173772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3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3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3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4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42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4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4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5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5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6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6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6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71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7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7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78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80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8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85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  <w:div w:id="102173778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21737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8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737740"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1737788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89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90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9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9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173779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0B02A33-08F0-4AEF-A045-10A03412C2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5644</Words>
  <Characters>30478</Characters>
  <Application>Microsoft Office Word</Application>
  <DocSecurity>0</DocSecurity>
  <Lines>253</Lines>
  <Paragraphs>72</Paragraphs>
  <ScaleCrop>false</ScaleCrop>
  <Company>ANVISA</Company>
  <LinksUpToDate>false</LinksUpToDate>
  <CharactersWithSpaces>36050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ÍNDICE</dc:title>
  <dc:subject/>
  <dc:creator>Mayra Miyuki Murakami</dc:creator>
  <cp:keywords/>
  <dc:description/>
  <cp:lastModifiedBy>Julia de Souza Ferreira</cp:lastModifiedBy>
  <cp:revision>2</cp:revision>
  <cp:lastPrinted>2017-08-15T12:38:00Z</cp:lastPrinted>
  <dcterms:created xsi:type="dcterms:W3CDTF">2018-08-16T18:54:00Z</dcterms:created>
  <dcterms:modified xsi:type="dcterms:W3CDTF">2018-08-16T18:54:00Z</dcterms:modified>
</cp:coreProperties>
</file>