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D8" w:rsidRPr="001B4C99" w:rsidRDefault="00370ED8" w:rsidP="001B4C99">
      <w:pPr>
        <w:rPr>
          <w:rFonts w:ascii="Times New Roman" w:hAnsi="Times New Roman" w:cs="Times New Roman"/>
          <w:b/>
          <w:sz w:val="24"/>
          <w:szCs w:val="24"/>
        </w:rPr>
      </w:pPr>
      <w:r w:rsidRPr="001B4C99">
        <w:rPr>
          <w:rFonts w:ascii="Times New Roman" w:hAnsi="Times New Roman" w:cs="Times New Roman"/>
          <w:b/>
          <w:szCs w:val="24"/>
        </w:rPr>
        <w:t>RESOLUÇÃO</w:t>
      </w:r>
      <w:r w:rsidR="001B4C99" w:rsidRPr="001B4C99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1B4C99">
        <w:rPr>
          <w:rFonts w:ascii="Times New Roman" w:hAnsi="Times New Roman" w:cs="Times New Roman"/>
          <w:b/>
          <w:szCs w:val="24"/>
        </w:rPr>
        <w:t xml:space="preserve"> – RDC Nº 197, DE 11 DE AGOSTO DE 2004(*)</w:t>
      </w:r>
    </w:p>
    <w:p w:rsidR="00370ED8" w:rsidRPr="001B4C99" w:rsidRDefault="00370ED8" w:rsidP="00370ED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4C9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155, de 12 de agosto de 2004)</w:t>
      </w:r>
    </w:p>
    <w:p w:rsidR="00370ED8" w:rsidRPr="001B4C99" w:rsidRDefault="00370ED8" w:rsidP="00370ED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4C99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156, de 13 de agosto de 2004)</w:t>
      </w:r>
    </w:p>
    <w:p w:rsidR="0058789F" w:rsidRDefault="0058789F" w:rsidP="00370ED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4C9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96, de 17 de dezembro de 2008)</w:t>
      </w:r>
    </w:p>
    <w:p w:rsidR="00530365" w:rsidRPr="001B4C99" w:rsidRDefault="00530365" w:rsidP="00370ED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30365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ela Resolução – RDC nº 96, de 29</w:t>
      </w:r>
      <w:r w:rsidRPr="0053036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color w:val="0000FF"/>
          <w:sz w:val="24"/>
          <w:szCs w:val="24"/>
        </w:rPr>
        <w:t>julho</w:t>
      </w:r>
      <w:r w:rsidRPr="0053036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592"/>
      </w:tblGrid>
      <w:tr w:rsidR="00370ED8" w:rsidRPr="001B4C99" w:rsidTr="001B4C99">
        <w:trPr>
          <w:trHeight w:val="1740"/>
        </w:trPr>
        <w:tc>
          <w:tcPr>
            <w:tcW w:w="4592" w:type="dxa"/>
          </w:tcPr>
          <w:p w:rsidR="00370ED8" w:rsidRPr="001B4C99" w:rsidRDefault="00370ED8" w:rsidP="00D54C1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592" w:type="dxa"/>
          </w:tcPr>
          <w:p w:rsidR="00370ED8" w:rsidRPr="001B4C99" w:rsidRDefault="00597142" w:rsidP="00D54C1F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B4C99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atualização das medidas de controle e fiscalização das substâncias constantes das Listas da Portaria SVS/MS nº 344/98 e de suas atualizações, bem como os medicamentos que as contenham e dá outras providências.</w:t>
            </w:r>
          </w:p>
        </w:tc>
      </w:tr>
    </w:tbl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B4C9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11 inciso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IV do Regulamento da ANVISA aprovado pelo Decreto nº 3.029, de 16 de abril de 1999, c/c o art. 111, inciso I, alínea b, § 1º do Regimento Interno aprovado pela Portaria nº 593, de 25 de agosto de 2000, republicada no DOU de 22 de dezembro de 2000, em reunião realizada em 9 de agosto de 2004,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a necessidade de aperfeiçoar o controle e a fiscalização das substâncias constantes da Portaria SVS/MS nº 344, de 12 de maio de 1998 e de suas atualizações, e dos medicamentos que as contenham;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a necessidade de estabelecer procedimentos para a aquisição de medicamentos à base de substâncias constantes das Listas da Portaria SVS/MS nº 344, de 1998, e de suas atualizações, destinados exclusivamente para estudos de Biodisponibilidade/Bioequivalência e ensaios de Equivalência Farmacêutica; </w:t>
      </w:r>
    </w:p>
    <w:p w:rsidR="00D621E1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a necessidade de padronizar as ações do Sistema Nacional de Vigilância Sanitária;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eu, Diretor-Presidente, determino a sua publicação.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Art. 1º Alterar o art. 90 da Portaria SVS/MS 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344/98, que passa a vigorar com a seguinte redação: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“Art. 90 A propaganda de substâncias constantes das listas deste Regulamento Técnico e de suas atualizações, e dos medicamentos que as contenham, sujeitos à venda sob prescrição médica com notificação de receita ou retenção de receita, somente poderá ser efetuada em revistas de conteúdo exclusivamente técnico, referentes a patologias e medicamentos, </w:t>
      </w:r>
      <w:r w:rsidRPr="001B4C9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dirigidas direta e unicamente a profissionais de saúde habilitados a prescrever e/ou dispensar medicamentos.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1° A propaganda de medicamentos de que trata o caput deste artigo deverá obedecer aos dizeres que foram aprovados no seu registro junto a Anvisa, não podendo conter figuras, desenhos, ou quaisquer indicações que possam induzir a conduta enganosa, causar interpretação falsa, erro ou confusão quanto à origem, procedência, natureza, composição, qualidade, indicação, aplicação, modo de usar e demais características do produto, que atribuam ao medicamento finalidades ou características diferentes daquelas que realmente possua.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2° Ficam excluídas das revistas mencionadas no caput deste artigo, aquelas que possuam matérias de cunho </w:t>
      </w:r>
      <w:proofErr w:type="spellStart"/>
      <w:r w:rsidRPr="001B4C99">
        <w:rPr>
          <w:rFonts w:ascii="Times New Roman" w:hAnsi="Times New Roman" w:cs="Times New Roman"/>
          <w:strike/>
          <w:sz w:val="24"/>
          <w:szCs w:val="24"/>
        </w:rPr>
        <w:t>sócio-cultural</w:t>
      </w:r>
      <w:proofErr w:type="spell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e outras que não sejam técnico-científicos.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3° É permitida a veiculação de propaganda das substâncias e dos medicamentos constantes nas listas deste Regulamento Técnico e de suas atualizações, em cópia fiel de artigo técnico-científico publicado nas revistas mencionadas no caput deste artigo, especificando a referencia bibliográfica 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completa.”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(NR)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Art. 2º Quando os estudos de Biodisponibilidade/Bioequivalência envolverem medicamentos à base de substâncias constantes das Listas da Portaria SVS/MS nº 344, de 1998, e de suas atualizações, os Centros certificados pela ANVISA devem solicitar à Unidade de Produtos Controlados - UPROC/GGMED/ANVISA, a Autorização Especial Simplificada para a aquisição dos medicamentos.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1º A Autorização de que trata o caput deste artigo deve ser requerida pelo Centro que realizará o estudo, mediante apresentação dos seguintes documentos: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 (anexo);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b) documento firmado pelo Pesquisador Principal informando o nome completo, número de inscrição no Conselho Regional de Farmácia, 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do C.P.F. e n.º do R.G. do Responsável Técnico pelo controle e guarda dos medicamentos a serem utilizados; e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c) resumo do estudo a ser realizado, contendo as seguintes informações: número de voluntários, dose utilizada e número de períodos de administração do medicamento.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2º A Autorização para a aquisição dos medicamentos de que trata o caput deste artigo para realização de estudos de Biodisponibilidade/Bioequivalência em centros certificados fora do âmbito nacional deve ser requerida pela empresa patrocinadora do estudo, mediante apresentação dos documentos relacionados no parágrafo anterior, no que couber;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3º A Autorização de que trata o caput deste artigo, será concedida para cada estudo a ser realizado e destina-se exclusivamente à aquisição dos medicamentos junto às farmácias, drogarias ou distribuidoras.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4º A Autorização Especial Simplificada será expedida em 3 (três) vias, as quais terão a seguinte destinação: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1ª via - ANVISA;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2ª via - Centro ou empresa patrocinadora; e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3ª via - Estabelecimento fornecedor (Farmácia, Drogaria ou Distribuidora).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5º A Autorização de que trata o caput deste artigo, terá a validade de 6 (seis) meses contados a partir da data de sua emissão.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Art. 3º Quando os ensaios de Equivalência Farmacêutica envolverem medicamentos à base de substâncias constantes das Listas da Portaria SVS/MS nº 344, de 1998, e de suas atualizações, os Centros habilitados pela ANVISA devem solicitar à UPROC/GGMED/ANVISA, a Autorização Especial Simplificada para a aquisição dos medicamentos.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1º A Autorização de que trata o caput deste artigo deve ser requerida pelo Centro que realizará os ensaios, mediante apresentação dos seguintes documentos: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a) formulário de petição preenchido, no que couber (anexo);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b) documento firmado pelo Responsável Legal do Centro informando o nome completo, número de inscrição no Conselho Regional de Farmácia, 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do C.P.F. e n.º do R.G. do Responsável Técnico pelo controle e guarda dos medicamentos a serem utilizados; e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c) resumo do ensaio a ser realizado.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2º A Autorização de que trata o caput deste artigo será concedida para cada ensaio a ser realizado e destina-se exclusivamente à aquisição dos medicamentos junto às farmácias, drogarias ou distribuidoras.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3º A Autorização Especial Simplificada será expedida em 3 (três) vias, as quais terão a seguinte destinação: 1ª via - ANVISA; 2ª via - Centro; e 3ª via - Estabelecimento fornecedor (Farmácia, Drogaria ou Distribuidora).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§ 4º A Autorização de que trata o caput deste artigo terá a validade de 6 (seis) meses contados a partir da data de sua emissão.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Art. 4º A aquisição dos medicamentos de que trata os </w:t>
      </w:r>
      <w:proofErr w:type="spellStart"/>
      <w:r w:rsidRPr="001B4C99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. 2º e 3º desta Resolução, em farmácias, drogarias ou distribuidoras deve ser feita mediante a apresentação da Autorização Especial Simplificada expedida pela ANVISA.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Parágrafo único. É vedado parcelar a aquisição de que trata o caput deste artigo.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5º Quando o medicamento teste já estiver registrado junto à ANVISA, a sua aquisição pelo Centro que realizará os estudos de Biodisponibilidade/Bioequivalência ou os ensaios de Equivalência Farmacêutica deve seguir os procedimentos descritos nos </w:t>
      </w:r>
      <w:proofErr w:type="spellStart"/>
      <w:r w:rsidRPr="001B4C99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. 2º ou 3º desta Resolução, de acordo com a finalidade a que se destina. </w:t>
      </w:r>
    </w:p>
    <w:p w:rsidR="00597142" w:rsidRPr="001B4C99" w:rsidRDefault="00597142" w:rsidP="00597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Art. 6º Esta Resolução entra em vigor na data de sua publicação. </w:t>
      </w:r>
    </w:p>
    <w:p w:rsidR="00597142" w:rsidRPr="001B4C99" w:rsidRDefault="00597142" w:rsidP="0059714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p w:rsidR="00597142" w:rsidRPr="001B4C99" w:rsidRDefault="00597142" w:rsidP="0059714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>-------------------------------------------------</w:t>
      </w:r>
    </w:p>
    <w:p w:rsidR="00597142" w:rsidRPr="001B4C99" w:rsidRDefault="00597142" w:rsidP="0059714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4C99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1B4C99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1B4C99">
        <w:rPr>
          <w:rFonts w:ascii="Times New Roman" w:hAnsi="Times New Roman" w:cs="Times New Roman"/>
          <w:strike/>
          <w:sz w:val="24"/>
          <w:szCs w:val="24"/>
        </w:rPr>
        <w:t xml:space="preserve"> por ter saído com omissão do anexo no DOU nº 155, de 12-8-2004, Seção 1, pág. 54.</w:t>
      </w:r>
    </w:p>
    <w:sectPr w:rsidR="00597142" w:rsidRPr="001B4C99" w:rsidSect="001B4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99" w:rsidRDefault="001B4C99" w:rsidP="001B4C99">
      <w:pPr>
        <w:spacing w:after="0" w:line="240" w:lineRule="auto"/>
      </w:pPr>
      <w:r>
        <w:separator/>
      </w:r>
    </w:p>
  </w:endnote>
  <w:endnote w:type="continuationSeparator" w:id="0">
    <w:p w:rsidR="001B4C99" w:rsidRDefault="001B4C99" w:rsidP="001B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Default="001B4C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Pr="008A0471" w:rsidRDefault="001B4C99" w:rsidP="001B4C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1B4C99" w:rsidRDefault="001B4C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Default="001B4C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99" w:rsidRDefault="001B4C99" w:rsidP="001B4C99">
      <w:pPr>
        <w:spacing w:after="0" w:line="240" w:lineRule="auto"/>
      </w:pPr>
      <w:r>
        <w:separator/>
      </w:r>
    </w:p>
  </w:footnote>
  <w:footnote w:type="continuationSeparator" w:id="0">
    <w:p w:rsidR="001B4C99" w:rsidRDefault="001B4C99" w:rsidP="001B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Default="001B4C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Pr="00B517AC" w:rsidRDefault="001B4C99" w:rsidP="001B4C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528D7BF" wp14:editId="4AE98ED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4C99" w:rsidRPr="00B517AC" w:rsidRDefault="001B4C99" w:rsidP="001B4C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B4C99" w:rsidRPr="00B517AC" w:rsidRDefault="001B4C99" w:rsidP="001B4C9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B4C99" w:rsidRDefault="001B4C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C99" w:rsidRDefault="001B4C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D8"/>
    <w:rsid w:val="001B4C99"/>
    <w:rsid w:val="001E708B"/>
    <w:rsid w:val="00370ED8"/>
    <w:rsid w:val="00530365"/>
    <w:rsid w:val="0058789F"/>
    <w:rsid w:val="00597142"/>
    <w:rsid w:val="007441BF"/>
    <w:rsid w:val="00786686"/>
    <w:rsid w:val="00B30817"/>
    <w:rsid w:val="00D621E1"/>
    <w:rsid w:val="00D666F7"/>
    <w:rsid w:val="00E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3ABEA9"/>
  <w15:docId w15:val="{AAEE2FDC-54D1-419B-8F47-9975B382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E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7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B4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C99"/>
  </w:style>
  <w:style w:type="paragraph" w:styleId="Rodap">
    <w:name w:val="footer"/>
    <w:basedOn w:val="Normal"/>
    <w:link w:val="RodapChar"/>
    <w:uiPriority w:val="99"/>
    <w:unhideWhenUsed/>
    <w:rsid w:val="001B4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C8ECA-6207-466A-A0E0-A16EF7627CB7}"/>
</file>

<file path=customXml/itemProps2.xml><?xml version="1.0" encoding="utf-8"?>
<ds:datastoreItem xmlns:ds="http://schemas.openxmlformats.org/officeDocument/2006/customXml" ds:itemID="{7ECF2288-273A-4447-88E6-6CC11EB0DD6D}"/>
</file>

<file path=customXml/itemProps3.xml><?xml version="1.0" encoding="utf-8"?>
<ds:datastoreItem xmlns:ds="http://schemas.openxmlformats.org/officeDocument/2006/customXml" ds:itemID="{C4AE8CC9-AEE5-4775-BFB8-7562383602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1165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5</cp:revision>
  <dcterms:created xsi:type="dcterms:W3CDTF">2015-10-20T20:49:00Z</dcterms:created>
  <dcterms:modified xsi:type="dcterms:W3CDTF">2017-05-09T12:37:00Z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