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533575">
      <w:pPr>
        <w:pStyle w:val="Ttulo6"/>
        <w:ind w:left="0" w:firstLine="567"/>
      </w:pPr>
      <w:bookmarkStart w:id="0" w:name="_GoBack"/>
      <w:bookmarkEnd w:id="0"/>
      <w:r>
        <w:t>Resolução da Diretoria Colegiada - RDC n.º 202, de 18 de julho de 2002.</w:t>
      </w:r>
    </w:p>
    <w:p w:rsidR="00000000" w:rsidRDefault="00533575">
      <w:pPr>
        <w:ind w:firstLine="567"/>
        <w:rPr>
          <w:rFonts w:ascii="Arial" w:hAnsi="Arial" w:cs="Arial"/>
        </w:rPr>
      </w:pPr>
      <w:r>
        <w:rPr>
          <w:rFonts w:ascii="Arial" w:hAnsi="Arial" w:cs="Arial"/>
        </w:rPr>
        <w:t>Publicada em 22 de julho de 2002</w:t>
      </w:r>
    </w:p>
    <w:p w:rsidR="00000000" w:rsidRDefault="00533575">
      <w:pPr>
        <w:ind w:firstLine="567"/>
        <w:rPr>
          <w:rFonts w:ascii="Arial" w:hAnsi="Arial" w:cs="Arial"/>
        </w:rPr>
      </w:pPr>
    </w:p>
    <w:p w:rsidR="00000000" w:rsidRDefault="00533575">
      <w:pPr>
        <w:pStyle w:val="Corpodetexto"/>
        <w:ind w:firstLine="567"/>
      </w:pPr>
      <w:r>
        <w:rPr>
          <w:b/>
          <w:bCs/>
        </w:rPr>
        <w:t>A Diretoria Colegiada da Agência Nacional de Vigilância Sanitária</w:t>
      </w:r>
      <w:r>
        <w:t>, no uso da atribuição que lhe confere o art. 11, inciso IV, do Regulamento da ANVISA aprovado pelo Decreto n.º 3.029, de 16 de abril de 1999, c/c o § 1º do art. 111, do Regimento Interno, ap</w:t>
      </w:r>
      <w:r>
        <w:t>rovado pela Portaria n° 593, de 25 de agosto de 2000, republicada no DOU de 22 de dezembro de 2000, em reunião realizada em 17 de julho de 2002,</w:t>
      </w:r>
    </w:p>
    <w:p w:rsidR="00000000" w:rsidRDefault="00533575">
      <w:pPr>
        <w:pStyle w:val="Corpodetexto"/>
        <w:ind w:firstLine="567"/>
      </w:pPr>
    </w:p>
    <w:p w:rsidR="00000000" w:rsidRDefault="00533575">
      <w:pPr>
        <w:pStyle w:val="Corpodetexto"/>
        <w:ind w:firstLine="567"/>
      </w:pPr>
      <w:r>
        <w:t>Considerando a Portaria nº 273, de 22 de junho de 2001, do Diretor-Presidente;</w:t>
      </w:r>
    </w:p>
    <w:p w:rsidR="00000000" w:rsidRDefault="00533575">
      <w:pPr>
        <w:pStyle w:val="Corpodetexto"/>
        <w:ind w:firstLine="567"/>
      </w:pPr>
    </w:p>
    <w:p w:rsidR="00000000" w:rsidRDefault="00533575">
      <w:pPr>
        <w:pStyle w:val="Corpodetexto2"/>
        <w:widowControl w:val="0"/>
        <w:spacing w:line="240" w:lineRule="exact"/>
        <w:ind w:firstLine="567"/>
        <w:jc w:val="both"/>
      </w:pPr>
      <w:r>
        <w:t>considerando as disposições le</w:t>
      </w:r>
      <w:r>
        <w:t>gais estabelecidas pela Portaria SVS/MS nº 344, de 12 de maio de 1998.</w:t>
      </w:r>
    </w:p>
    <w:p w:rsidR="00000000" w:rsidRDefault="00533575">
      <w:pPr>
        <w:pStyle w:val="Corpodetexto2"/>
        <w:widowControl w:val="0"/>
        <w:spacing w:line="240" w:lineRule="exact"/>
        <w:ind w:firstLine="567"/>
        <w:jc w:val="both"/>
      </w:pPr>
    </w:p>
    <w:p w:rsidR="00000000" w:rsidRDefault="00533575">
      <w:pPr>
        <w:pStyle w:val="Corpodetexto2"/>
        <w:widowControl w:val="0"/>
        <w:spacing w:line="240" w:lineRule="exact"/>
        <w:ind w:firstLine="567"/>
        <w:jc w:val="both"/>
      </w:pPr>
      <w:r>
        <w:t>considerando necessidade de viabilizar o Programa Nacional de Assistência à Dor e Cuidados Paliativos, do Sistema Único de Saúde - SUS, instituído pela Portaria GM/MS nº 19, de 3 de ja</w:t>
      </w:r>
      <w:r>
        <w:t>neiro de 2002.</w:t>
      </w:r>
    </w:p>
    <w:p w:rsidR="00000000" w:rsidRDefault="00533575">
      <w:pPr>
        <w:pStyle w:val="Corpodetexto2"/>
        <w:widowControl w:val="0"/>
        <w:spacing w:line="240" w:lineRule="exact"/>
        <w:ind w:firstLine="567"/>
        <w:jc w:val="both"/>
      </w:pPr>
    </w:p>
    <w:p w:rsidR="00000000" w:rsidRDefault="00533575">
      <w:pPr>
        <w:pStyle w:val="Corpodetexto2"/>
        <w:widowControl w:val="0"/>
        <w:spacing w:line="240" w:lineRule="exact"/>
        <w:ind w:firstLine="567"/>
        <w:jc w:val="both"/>
      </w:pPr>
      <w:r>
        <w:t>considerando a necessidade de viabilizar o Programa Nacional de Assistência à Dor e Cuidados Paliativos, do Sistema Único de Saúde - SUS, instituído pela Portaria GM/MS nº 19, de 3 de janeiro de 2002.</w:t>
      </w:r>
    </w:p>
    <w:p w:rsidR="00000000" w:rsidRDefault="00533575">
      <w:pPr>
        <w:pStyle w:val="Corpodetexto2"/>
        <w:widowControl w:val="0"/>
        <w:spacing w:line="240" w:lineRule="exact"/>
        <w:ind w:firstLine="567"/>
        <w:jc w:val="both"/>
      </w:pPr>
    </w:p>
    <w:p w:rsidR="00000000" w:rsidRDefault="00533575">
      <w:pPr>
        <w:pStyle w:val="Corpodetexto2"/>
        <w:widowControl w:val="0"/>
        <w:spacing w:line="240" w:lineRule="exact"/>
        <w:ind w:firstLine="567"/>
        <w:jc w:val="both"/>
      </w:pPr>
      <w:r>
        <w:t>considerando as recomendações da Junta</w:t>
      </w:r>
      <w:r>
        <w:t xml:space="preserve"> Internacional de Fiscalização de Entorpecentes - JIFE da Organização das Nações Unidas, sobre a necessidade dos Governos examinarem, criticamente, os métodos de avaliação das necessidades nacionais de substâncias opiáceas para fins médico, e principalment</w:t>
      </w:r>
      <w:r>
        <w:t>e revisarem as legislações sanitárias, no sentido de identificar os obstáculos e facilitar a disponibilidade das referidas substâncias para tratamento da dor crônica, nas aplicações apropriadas.</w:t>
      </w:r>
    </w:p>
    <w:p w:rsidR="00000000" w:rsidRDefault="00533575">
      <w:pPr>
        <w:pStyle w:val="Corpodetexto2"/>
        <w:widowControl w:val="0"/>
        <w:spacing w:line="240" w:lineRule="exact"/>
        <w:ind w:firstLine="567"/>
        <w:jc w:val="both"/>
      </w:pPr>
    </w:p>
    <w:p w:rsidR="00000000" w:rsidRDefault="00533575">
      <w:pPr>
        <w:pStyle w:val="Corpodetexto2"/>
        <w:widowControl w:val="0"/>
        <w:spacing w:line="240" w:lineRule="exact"/>
        <w:ind w:firstLine="567"/>
        <w:jc w:val="both"/>
      </w:pPr>
      <w:r>
        <w:t>considerando que a Organização Mundial de saúde alerta que a</w:t>
      </w:r>
      <w:r>
        <w:t xml:space="preserve"> dor crônica acomete uma grande parcela da humanidade e sendo a mesma uma das principais causas da incapacitação física para o trabalho e redução da produtividade e qualidade vida do homem moderno.</w:t>
      </w:r>
    </w:p>
    <w:p w:rsidR="00000000" w:rsidRDefault="00533575">
      <w:pPr>
        <w:pStyle w:val="Corpodetexto2"/>
        <w:widowControl w:val="0"/>
        <w:spacing w:line="240" w:lineRule="exact"/>
        <w:ind w:firstLine="567"/>
        <w:jc w:val="both"/>
      </w:pPr>
    </w:p>
    <w:p w:rsidR="00000000" w:rsidRDefault="00533575">
      <w:pPr>
        <w:pStyle w:val="Corpodetexto2"/>
        <w:widowControl w:val="0"/>
        <w:spacing w:line="240" w:lineRule="exact"/>
        <w:ind w:firstLine="567"/>
        <w:jc w:val="both"/>
      </w:pPr>
      <w:r>
        <w:t>considerando a necessidade de ampliar o aceso aos medicam</w:t>
      </w:r>
      <w:r>
        <w:t xml:space="preserve">entos para dor e ao mesmo tempo racionalizar o controle dessas substâncias dentro país. </w:t>
      </w:r>
    </w:p>
    <w:p w:rsidR="00000000" w:rsidRDefault="00533575">
      <w:pPr>
        <w:pStyle w:val="Corpodetexto2"/>
        <w:widowControl w:val="0"/>
        <w:spacing w:line="240" w:lineRule="exact"/>
        <w:ind w:firstLine="567"/>
        <w:jc w:val="both"/>
      </w:pPr>
    </w:p>
    <w:p w:rsidR="00000000" w:rsidRDefault="00533575">
      <w:pPr>
        <w:pStyle w:val="Recuodecorpodetexto3"/>
        <w:ind w:firstLine="567"/>
      </w:pPr>
      <w:r>
        <w:t>Adotou a seguinte Resolução da Diretoria Colegiada e eu, Diretor-Presidente Substituto, determino a sua publicação:</w:t>
      </w:r>
    </w:p>
    <w:p w:rsidR="00000000" w:rsidRDefault="00533575">
      <w:pPr>
        <w:ind w:firstLine="567"/>
        <w:jc w:val="both"/>
        <w:rPr>
          <w:rFonts w:ascii="Arial" w:hAnsi="Arial" w:cs="Arial"/>
        </w:rPr>
      </w:pPr>
    </w:p>
    <w:p w:rsidR="00000000" w:rsidRDefault="00533575">
      <w:pPr>
        <w:pStyle w:val="Corpodetexto2"/>
        <w:widowControl w:val="0"/>
        <w:spacing w:line="240" w:lineRule="exact"/>
        <w:ind w:firstLine="567"/>
        <w:jc w:val="both"/>
      </w:pPr>
      <w:r>
        <w:t>Art. 1º Determinar que a Notificação de Receita “</w:t>
      </w:r>
      <w:r>
        <w:t xml:space="preserve">A” não será exigida para dispensação de medicamentos à base das substâncias </w:t>
      </w:r>
      <w:r>
        <w:rPr>
          <w:b/>
          <w:bCs/>
        </w:rPr>
        <w:t>morfina, medatona e codeína</w:t>
      </w:r>
      <w:r>
        <w:t xml:space="preserve">, ou de seus sais, a pacientes em tratamento ambulatorial, cadastrados no Programa Nacional de Assistência à Dor e Cuidados Paliativos, do Sistema Único </w:t>
      </w:r>
      <w:r>
        <w:t>de Saúde, instituído pela Portaria GM/MS nº 19, de 3 de janeiro de 2002.</w:t>
      </w:r>
    </w:p>
    <w:p w:rsidR="00000000" w:rsidRDefault="00533575">
      <w:pPr>
        <w:ind w:firstLine="567"/>
        <w:jc w:val="both"/>
        <w:rPr>
          <w:rFonts w:ascii="Arial" w:hAnsi="Arial" w:cs="Arial"/>
        </w:rPr>
      </w:pPr>
    </w:p>
    <w:p w:rsidR="00000000" w:rsidRDefault="00533575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§ 1º A dispensação dos medicamentos de que trata o caput deste artigo, se fará mediante Receita de Controle Especial em 2 (duas) vias, (ANEXO XVII da Portaria SVS/MS nº 344, de 12 de</w:t>
      </w:r>
      <w:r>
        <w:rPr>
          <w:rFonts w:ascii="Arial" w:hAnsi="Arial" w:cs="Arial"/>
        </w:rPr>
        <w:t xml:space="preserve"> maio de 1998), ficando a “1ª via – retida na Unidade Dispensadora, para fins de controle”, e a “2ª via – devolvida ao paciente com o respectivo carimbo que identifique a dispensação”.</w:t>
      </w:r>
    </w:p>
    <w:p w:rsidR="00000000" w:rsidRDefault="00533575">
      <w:pPr>
        <w:ind w:firstLine="567"/>
        <w:jc w:val="both"/>
        <w:rPr>
          <w:rFonts w:ascii="Arial" w:hAnsi="Arial" w:cs="Arial"/>
        </w:rPr>
      </w:pPr>
    </w:p>
    <w:p w:rsidR="00000000" w:rsidRDefault="00533575">
      <w:pPr>
        <w:pStyle w:val="NormalWeb"/>
        <w:ind w:firstLine="567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§ 2º Sã</w:t>
      </w:r>
      <w:r>
        <w:rPr>
          <w:rFonts w:ascii="Arial" w:eastAsia="Arial Unicode MS" w:hAnsi="Arial" w:cs="Arial"/>
          <w:sz w:val="20"/>
          <w:szCs w:val="20"/>
        </w:rPr>
        <w:t>o consideradas Unidades Dispensadoras, os Centros de Alta Complexidade em Oncologia - CACON de Tipo I, II ou III, os Centros de Referência em Tratamento da Dor Crônica, todos devidamente cadastrados como tal pela Secretária de Assistência à Saúde,  em conf</w:t>
      </w:r>
      <w:r>
        <w:rPr>
          <w:rFonts w:ascii="Arial" w:eastAsia="Arial Unicode MS" w:hAnsi="Arial" w:cs="Arial"/>
          <w:sz w:val="20"/>
          <w:szCs w:val="20"/>
        </w:rPr>
        <w:t xml:space="preserve">ormidade com as respectivas Normas de Cadastramento aprovadas pelo Ministério da Saúde e integrantes do Programa Nacional de Assistência à Dor e Cuidados Paliativos,   e ainda as Comissões de Assistência Farmacêutica das Secretarias Estaduais de Saúde. </w:t>
      </w:r>
    </w:p>
    <w:p w:rsidR="00000000" w:rsidRDefault="00533575">
      <w:pPr>
        <w:pStyle w:val="NormalWeb"/>
        <w:ind w:firstLine="567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 xml:space="preserve">§ </w:t>
      </w:r>
      <w:r>
        <w:rPr>
          <w:rFonts w:ascii="Arial" w:eastAsia="Arial Unicode MS" w:hAnsi="Arial" w:cs="Arial"/>
          <w:sz w:val="20"/>
          <w:szCs w:val="20"/>
        </w:rPr>
        <w:t>3º A dispensação de que trata o §1º deste artigo, somente será efetuada por Unidades Dispensadoras definidas no § 2º deste artigo, para pacientes que estejam cadastrados junto ao Programa Nacional de Assistência à Dor e Cuidados Paliativos.</w:t>
      </w:r>
    </w:p>
    <w:p w:rsidR="00000000" w:rsidRDefault="00533575">
      <w:pPr>
        <w:pStyle w:val="NormalWeb"/>
        <w:ind w:firstLine="567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Art. 2º Estabel</w:t>
      </w:r>
      <w:r>
        <w:rPr>
          <w:rFonts w:ascii="Arial" w:eastAsia="Arial Unicode MS" w:hAnsi="Arial" w:cs="Arial"/>
          <w:sz w:val="20"/>
          <w:szCs w:val="20"/>
        </w:rPr>
        <w:t>ecer  que no tratamento da dor crônica com o uso de opiáceos deverá ser observado o Protocolo Clínico e Diretrizes Terapêuticas - Uso de Opiáceos para o Alívio da Dor Crônica publicado pelo Ministério da Saúde, sendo que a quantidade prescrita dos medicame</w:t>
      </w:r>
      <w:r>
        <w:rPr>
          <w:rFonts w:ascii="Arial" w:eastAsia="Arial Unicode MS" w:hAnsi="Arial" w:cs="Arial"/>
          <w:sz w:val="20"/>
          <w:szCs w:val="20"/>
        </w:rPr>
        <w:t xml:space="preserve">ntos objeto desta Resolução  ficará limitada àquela definida no referido Protocolo. </w:t>
      </w:r>
    </w:p>
    <w:p w:rsidR="00000000" w:rsidRDefault="00533575">
      <w:pPr>
        <w:pStyle w:val="NormalWeb"/>
        <w:ind w:firstLine="567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lastRenderedPageBreak/>
        <w:t>Parágrafo único. A quantidade de que trata o caput deste artigo, não poderá ultrapassar, em cada dispensação, ao quantitativo de medicamentos necessários ao correspondente</w:t>
      </w:r>
      <w:r>
        <w:rPr>
          <w:rFonts w:ascii="Arial" w:eastAsia="Arial Unicode MS" w:hAnsi="Arial" w:cs="Arial"/>
          <w:sz w:val="20"/>
          <w:szCs w:val="20"/>
        </w:rPr>
        <w:t xml:space="preserve"> tratamento por no máximo 30 (trinta) dias.</w:t>
      </w:r>
    </w:p>
    <w:p w:rsidR="00000000" w:rsidRDefault="00533575">
      <w:pPr>
        <w:ind w:firstLine="567"/>
        <w:jc w:val="both"/>
        <w:rPr>
          <w:rFonts w:ascii="Arial" w:hAnsi="Arial" w:cs="Arial"/>
        </w:rPr>
      </w:pPr>
    </w:p>
    <w:p w:rsidR="00000000" w:rsidRDefault="00533575">
      <w:pPr>
        <w:pStyle w:val="NormalWeb"/>
        <w:ind w:firstLine="567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Art. 3º Quando, por qualquer motivo, for interrompida a administração de medicamentos objeto desta Resolução, os mesmos devem ser devolvidos em uma das Unidades de Dispensadoras, que faça parte do respectivo Pro</w:t>
      </w:r>
      <w:r>
        <w:rPr>
          <w:rFonts w:ascii="Arial" w:eastAsia="Arial Unicode MS" w:hAnsi="Arial" w:cs="Arial"/>
          <w:sz w:val="20"/>
          <w:szCs w:val="20"/>
        </w:rPr>
        <w:t xml:space="preserve">grama, em qualquer Estado da Federação ou do Distrito Federal. </w:t>
      </w:r>
    </w:p>
    <w:p w:rsidR="00000000" w:rsidRDefault="00533575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§ 1º A devolução de que trata o caput deste artigo dar-se-á mediante de Termo de Devolução, emitido pela Unidade Dispensadora, servindo o mesmo para escrituração.</w:t>
      </w:r>
    </w:p>
    <w:p w:rsidR="00000000" w:rsidRDefault="00533575">
      <w:pPr>
        <w:ind w:firstLine="567"/>
        <w:jc w:val="both"/>
        <w:rPr>
          <w:rFonts w:ascii="Arial" w:hAnsi="Arial" w:cs="Arial"/>
        </w:rPr>
      </w:pPr>
    </w:p>
    <w:p w:rsidR="00000000" w:rsidRDefault="00533575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§ 2º Os procedimentos operac</w:t>
      </w:r>
      <w:r>
        <w:rPr>
          <w:rFonts w:ascii="Arial" w:hAnsi="Arial" w:cs="Arial"/>
        </w:rPr>
        <w:t>ionais sobre devoluções e o modelo do Termo de Devolução de que trata o parágrafo anterior, serão definidos pela Secretaria de Assistência a Saúde do Ministério da Saúde.</w:t>
      </w:r>
    </w:p>
    <w:p w:rsidR="00000000" w:rsidRDefault="00533575">
      <w:pPr>
        <w:pStyle w:val="NormalWeb"/>
        <w:ind w:firstLine="567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Art. 4º As Unidades Dispensadoras ficam obrigadas a cumprir as exigências de escritur</w:t>
      </w:r>
      <w:r>
        <w:rPr>
          <w:rFonts w:ascii="Arial" w:eastAsia="Arial Unicode MS" w:hAnsi="Arial" w:cs="Arial"/>
          <w:sz w:val="20"/>
          <w:szCs w:val="20"/>
        </w:rPr>
        <w:t xml:space="preserve">ação e guarda estabelecidas nas Portarias SVS/MS nºs. 344, de 12 maio de 1998, e 6, 26 de janeiro de 1999. </w:t>
      </w:r>
    </w:p>
    <w:p w:rsidR="00000000" w:rsidRDefault="00533575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Art. 5º A Coordenação do Programa Nacional de Assistência à Dor e Cuidados Paliativos, encaminhará, trimestralmente, a ANVISA, o consolidado estatís</w:t>
      </w:r>
      <w:r>
        <w:rPr>
          <w:rFonts w:ascii="Arial" w:hAnsi="Arial" w:cs="Arial"/>
        </w:rPr>
        <w:t>tico da distribuição dos medicamentos, em todo território nacional,  de que trata esta Resolução.</w:t>
      </w:r>
    </w:p>
    <w:p w:rsidR="00000000" w:rsidRDefault="00533575">
      <w:pPr>
        <w:ind w:firstLine="567"/>
        <w:jc w:val="both"/>
        <w:rPr>
          <w:rFonts w:ascii="Arial" w:hAnsi="Arial" w:cs="Arial"/>
        </w:rPr>
      </w:pPr>
    </w:p>
    <w:p w:rsidR="00000000" w:rsidRDefault="00533575">
      <w:pPr>
        <w:pStyle w:val="NormalWeb"/>
        <w:ind w:firstLine="567"/>
        <w:jc w:val="both"/>
        <w:rPr>
          <w:rFonts w:ascii="Arial" w:eastAsia="Arial Unicode MS" w:hAnsi="Arial" w:cs="Arial"/>
          <w:sz w:val="20"/>
          <w:szCs w:val="20"/>
        </w:rPr>
      </w:pPr>
      <w:r>
        <w:rPr>
          <w:rFonts w:ascii="Arial" w:eastAsia="Arial Unicode MS" w:hAnsi="Arial" w:cs="Arial"/>
          <w:sz w:val="20"/>
          <w:szCs w:val="20"/>
        </w:rPr>
        <w:t>Parágrafo único. O consolidado estatístico de que trata o caput deste artigo, será obtido mediante o processamento das APAC - Medicamentos Excepcionais relat</w:t>
      </w:r>
      <w:r>
        <w:rPr>
          <w:rFonts w:ascii="Arial" w:eastAsia="Arial Unicode MS" w:hAnsi="Arial" w:cs="Arial"/>
          <w:sz w:val="20"/>
          <w:szCs w:val="20"/>
        </w:rPr>
        <w:t>ivas aos medicamentos objeto desta Resolução.</w:t>
      </w:r>
    </w:p>
    <w:p w:rsidR="00000000" w:rsidRDefault="00533575">
      <w:pPr>
        <w:pStyle w:val="Corpodetexto2"/>
        <w:ind w:firstLine="567"/>
        <w:jc w:val="both"/>
      </w:pPr>
    </w:p>
    <w:p w:rsidR="00000000" w:rsidRDefault="00533575">
      <w:pPr>
        <w:pStyle w:val="Corpodetexto2"/>
        <w:ind w:firstLine="567"/>
      </w:pPr>
      <w:r>
        <w:t xml:space="preserve">Art. 6º A inobservância dos preceitos desta Resolução configura infração sanitária, ficando o infrator sujeito às penalidades previstas na legislação vigente. </w:t>
      </w:r>
    </w:p>
    <w:p w:rsidR="00000000" w:rsidRDefault="00533575">
      <w:pPr>
        <w:pStyle w:val="Corpodetexto"/>
        <w:ind w:firstLine="567"/>
      </w:pPr>
    </w:p>
    <w:p w:rsidR="00000000" w:rsidRDefault="00533575">
      <w:pPr>
        <w:pStyle w:val="Corpodetexto"/>
        <w:ind w:firstLine="567"/>
      </w:pPr>
      <w:r>
        <w:t>Art. 7º Esta Resolução entra em vigor na data de</w:t>
      </w:r>
      <w:r>
        <w:t xml:space="preserve"> sua publicação.</w:t>
      </w:r>
    </w:p>
    <w:p w:rsidR="00000000" w:rsidRDefault="00533575">
      <w:pPr>
        <w:pStyle w:val="Corpodetexto"/>
        <w:ind w:firstLine="567"/>
      </w:pPr>
    </w:p>
    <w:p w:rsidR="00000000" w:rsidRDefault="00533575">
      <w:pPr>
        <w:pStyle w:val="Corpodetexto"/>
        <w:ind w:firstLine="567"/>
      </w:pPr>
    </w:p>
    <w:p w:rsidR="00000000" w:rsidRDefault="00533575">
      <w:pPr>
        <w:pStyle w:val="Corpodetexto"/>
        <w:ind w:firstLine="567"/>
      </w:pPr>
    </w:p>
    <w:p w:rsidR="00000000" w:rsidRDefault="00533575">
      <w:pPr>
        <w:pStyle w:val="Corpodetexto"/>
        <w:ind w:firstLine="567"/>
        <w:jc w:val="center"/>
        <w:rPr>
          <w:lang w:val="es-ES_tradnl"/>
        </w:rPr>
      </w:pPr>
      <w:r>
        <w:rPr>
          <w:lang w:val="es-ES_tradnl"/>
        </w:rPr>
        <w:t>##ASS LUIS CARLOS WANDERLEY LIMA</w:t>
      </w:r>
    </w:p>
    <w:sectPr w:rsidR="00000000">
      <w:pgSz w:w="11907" w:h="16840" w:code="9"/>
      <w:pgMar w:top="1134" w:right="1134" w:bottom="1134" w:left="1134" w:header="0" w:footer="0" w:gutter="0"/>
      <w:cols w:space="709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F3FD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 w15:restartNumberingAfterBreak="0">
    <w:nsid w:val="66644D35"/>
    <w:multiLevelType w:val="singleLevel"/>
    <w:tmpl w:val="7C34417C"/>
    <w:lvl w:ilvl="0">
      <w:start w:val="1"/>
      <w:numFmt w:val="lowerLetter"/>
      <w:lvlText w:val="(%1)"/>
      <w:lvlJc w:val="left"/>
      <w:pPr>
        <w:tabs>
          <w:tab w:val="num" w:pos="1710"/>
        </w:tabs>
        <w:ind w:left="1710" w:hanging="171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533575"/>
    <w:rsid w:val="0053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7E81856C-8DF9-40BB-B4FB-93BDDF513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/>
    <w:lsdException w:name="Body Text Indent 3" w:semiHidden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9"/>
    <w:qFormat/>
    <w:pPr>
      <w:keepNext/>
      <w:widowControl w:val="0"/>
      <w:jc w:val="center"/>
      <w:outlineLvl w:val="1"/>
    </w:pPr>
    <w:rPr>
      <w:rFonts w:ascii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9"/>
    <w:qFormat/>
    <w:pPr>
      <w:keepNext/>
      <w:ind w:left="-851" w:firstLine="709"/>
      <w:outlineLvl w:val="5"/>
    </w:pPr>
    <w:rPr>
      <w:rFonts w:ascii="Arial" w:hAnsi="Arial" w:cs="Arial"/>
      <w:b/>
      <w:bCs/>
    </w:rPr>
  </w:style>
  <w:style w:type="character" w:default="1" w:styleId="Fontepargpadro">
    <w:name w:val="Default Paragraph Font"/>
    <w:uiPriority w:val="99"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6Char">
    <w:name w:val="Título 6 Char"/>
    <w:basedOn w:val="Fontepargpadro"/>
    <w:link w:val="Ttulo6"/>
    <w:uiPriority w:val="9"/>
    <w:semiHidden/>
    <w:rPr>
      <w:b/>
      <w:bCs/>
    </w:rPr>
  </w:style>
  <w:style w:type="paragraph" w:styleId="Corpodetexto">
    <w:name w:val="Body Text"/>
    <w:basedOn w:val="Normal"/>
    <w:link w:val="CorpodetextoChar"/>
    <w:uiPriority w:val="99"/>
    <w:pPr>
      <w:jc w:val="both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Times New Roman" w:hAnsi="Times New Roman" w:cs="Times New Roman"/>
      <w:sz w:val="20"/>
      <w:szCs w:val="20"/>
    </w:rPr>
  </w:style>
  <w:style w:type="paragraph" w:styleId="Corpodetexto2">
    <w:name w:val="Body Text 2"/>
    <w:basedOn w:val="Normal"/>
    <w:link w:val="Corpodetexto2Char"/>
    <w:uiPriority w:val="99"/>
    <w:pPr>
      <w:ind w:firstLine="426"/>
    </w:pPr>
    <w:rPr>
      <w:rFonts w:ascii="Arial" w:hAnsi="Arial" w:cs="Arial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Recuodecorpodetexto2">
    <w:name w:val="Body Text Indent 2"/>
    <w:basedOn w:val="Normal"/>
    <w:link w:val="Recuodecorpodetexto2Char"/>
    <w:uiPriority w:val="99"/>
    <w:pPr>
      <w:ind w:firstLine="426"/>
      <w:jc w:val="both"/>
    </w:pPr>
    <w:rPr>
      <w:rFonts w:ascii="Arial" w:hAnsi="Arial" w:cs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Times New Roman" w:hAnsi="Times New Roman" w:cs="Times New Roman"/>
      <w:sz w:val="20"/>
      <w:szCs w:val="20"/>
    </w:rPr>
  </w:style>
  <w:style w:type="paragraph" w:styleId="Ttulo">
    <w:name w:val="Title"/>
    <w:basedOn w:val="Normal"/>
    <w:link w:val="TtuloChar"/>
    <w:uiPriority w:val="99"/>
    <w:qFormat/>
    <w:pPr>
      <w:jc w:val="center"/>
    </w:pPr>
    <w:rPr>
      <w:rFonts w:ascii="Arial" w:hAnsi="Arial" w:cs="Arial"/>
      <w:sz w:val="32"/>
      <w:szCs w:val="3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Recuodecorpodetexto3">
    <w:name w:val="Body Text Indent 3"/>
    <w:basedOn w:val="Normal"/>
    <w:link w:val="Recuodecorpodetexto3Char"/>
    <w:uiPriority w:val="99"/>
    <w:pPr>
      <w:ind w:firstLine="708"/>
      <w:jc w:val="both"/>
    </w:pPr>
    <w:rPr>
      <w:rFonts w:ascii="Arial" w:hAnsi="Arial"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Times New Roman" w:hAnsi="Times New Roman" w:cs="Times New Roman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Pr>
      <w:rFonts w:ascii="Courier New" w:hAnsi="Courier New" w:cs="Courier New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pPr>
      <w:spacing w:before="100" w:after="10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895</Words>
  <Characters>4833</Characters>
  <Application>Microsoft Office Word</Application>
  <DocSecurity>0</DocSecurity>
  <Lines>40</Lines>
  <Paragraphs>11</Paragraphs>
  <ScaleCrop>false</ScaleCrop>
  <Company>anvisa</Company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RESOLUÇÃO-RE Nº 1</dc:title>
  <dc:subject/>
  <dc:creator>Edy.Gomes</dc:creator>
  <cp:keywords/>
  <dc:description>ORIGEM:36688daTIPO:79daNUMERO:202daCORREIO:marcio.lisboa@anvisa.gov.br</dc:description>
  <cp:lastModifiedBy>Helder Lopes da Silva</cp:lastModifiedBy>
  <cp:revision>2</cp:revision>
  <cp:lastPrinted>2002-07-18T18:05:00Z</cp:lastPrinted>
  <dcterms:created xsi:type="dcterms:W3CDTF">2019-02-06T11:35:00Z</dcterms:created>
  <dcterms:modified xsi:type="dcterms:W3CDTF">2019-02-06T11:35:00Z</dcterms:modified>
</cp:coreProperties>
</file>