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97" w:rsidRDefault="00A53197">
      <w:pPr>
        <w:spacing w:before="0" w:beforeAutospacing="0" w:after="0" w:afterAutospacing="0"/>
        <w:jc w:val="center"/>
        <w:divId w:val="204878777"/>
        <w:rPr>
          <w:rFonts w:ascii="Verdana" w:hAnsi="Verdana"/>
          <w:b/>
          <w:bCs/>
          <w:color w:val="666666"/>
          <w:sz w:val="15"/>
          <w:szCs w:val="15"/>
        </w:rPr>
      </w:pPr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204878777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6B5C5B">
      <w:pPr>
        <w:spacing w:before="0" w:beforeAutospacing="0" w:after="0" w:afterAutospacing="0"/>
        <w:jc w:val="center"/>
        <w:divId w:val="204878778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610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204878774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6B5C5B" w:rsidRDefault="006B5C5B">
      <w:pPr>
        <w:spacing w:before="0" w:beforeAutospacing="0" w:after="0" w:afterAutospacing="0"/>
        <w:jc w:val="center"/>
        <w:divId w:val="204878774"/>
        <w:rPr>
          <w:rStyle w:val="legendab1"/>
          <w:b/>
          <w:bCs/>
        </w:rPr>
      </w:pPr>
    </w:p>
    <w:p w:rsidR="006B5C5B" w:rsidRPr="00781D45" w:rsidRDefault="006B5C5B" w:rsidP="006B5C5B">
      <w:pPr>
        <w:pStyle w:val="Ttulo1"/>
        <w:divId w:val="204878774"/>
      </w:pPr>
      <w:bookmarkStart w:id="0" w:name="_GoBack"/>
      <w:bookmarkEnd w:id="0"/>
      <w:r w:rsidRPr="00781D45">
        <w:t>RESOLUÇÃO DA DIRETORIA COLEGIADA – RDC Nº 20, DE 22 DE MARÇO DE 2007.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781D45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março de 2007,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a necessidade de constante aperfeiçoamento das ações de controle sanitário na área de alimentos, visando à proteção da saúde da população; 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a necessidade de segurança de fabricação e uso de embalagens e equipamentos metálicos em contato com alimentos;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que a Resolução GMC nº. 03/92 sobre "Critérios Gerais para Embalagens e Equipamentos Alimentícios em Contato com Alimentos" estabelece que as embalagens e os equipamentos metálicos em contato com alimentos devem cumprir com os requisitos estabelecidos em Regulamento Técnico MERCOSUL específico;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que de acordo com este critério se considera conveniente atualizar a regulamentação sobre as embalagens e os equipamentos metálicos em contato com alimentos;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a importância de compatibilizar a legislação nacional com base no instrumento harmonizado no Mercosul relacionado ao tema: Resolução GMC nº. 46 de 2006;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que a harmonização dos Regulamentos Técnicos tende a eliminar os obstáculos que geram as diferenças nas regulamentações nacionais vigentes, dando cumprimento ao estabelecido no Tratado de Assunção;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considerando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que este Regulamento Técnico contempla as solicitações dos Estados Partes do Mercosul;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adota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a seguinte Resolução de Diretoria Colegiada e eu, Diretor-Presidente Substituto, determino a sua publicação: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Art. 1º Aprovar o “Regulamento Técnico sobre Disposições para Embalagens, Revestimentos, Utensílios, Tampas e Equipamentos Metálicos em Contato com Alimentos”, que consta como Anexo </w:t>
      </w:r>
      <w:proofErr w:type="gramStart"/>
      <w:r w:rsidRPr="00781D45">
        <w:rPr>
          <w:rFonts w:ascii="Arial" w:hAnsi="Arial" w:cs="Arial"/>
          <w:sz w:val="20"/>
          <w:szCs w:val="20"/>
        </w:rPr>
        <w:t>da presente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Resolução.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Art. 2º O descumprimento desta Resolução constitui infração sanitária, sujeitando os infratores às penalidades da Lei nº. 6.437, de 20 de agosto de 1977, e demais disposições aplicáveis.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Art. 3º Revogam-se as disposições em contrário, em especial a Portaria nº. 28 de 18 de março de 1996.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Art. 4º Esta Resolução de Diretoria Colegiada entra em vigor na data de sua publicação.</w:t>
      </w:r>
    </w:p>
    <w:p w:rsidR="006B5C5B" w:rsidRPr="00781D45" w:rsidRDefault="006B5C5B" w:rsidP="006B5C5B">
      <w:pPr>
        <w:pStyle w:val="Ttulo2"/>
        <w:divId w:val="204878774"/>
      </w:pPr>
      <w:r w:rsidRPr="00781D45">
        <w:t>CLÁUDIO MAIEROVITCH PESSANHA HENRIQUES</w:t>
      </w:r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ANEXO</w:t>
      </w:r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REGULAMENTO TÉCNICO SOBRE DISPOSIÇÕES PARA EMBALAGENS, REVESTIMENTOS, UTENSÍLIOS, TAMPAS E EQUIPAMENTOS METÁLICOS EM CONTATO COM </w:t>
      </w:r>
      <w:proofErr w:type="gramStart"/>
      <w:r w:rsidRPr="00781D45">
        <w:rPr>
          <w:rFonts w:ascii="Arial" w:hAnsi="Arial" w:cs="Arial"/>
          <w:sz w:val="20"/>
          <w:szCs w:val="20"/>
        </w:rPr>
        <w:t>ALIMENTOS</w:t>
      </w:r>
      <w:proofErr w:type="gramEnd"/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b/>
          <w:bCs/>
          <w:sz w:val="20"/>
          <w:szCs w:val="20"/>
        </w:rPr>
      </w:pPr>
      <w:r w:rsidRPr="00781D45">
        <w:rPr>
          <w:rFonts w:ascii="Arial" w:hAnsi="Arial" w:cs="Arial"/>
          <w:b/>
          <w:bCs/>
          <w:sz w:val="20"/>
          <w:szCs w:val="20"/>
        </w:rPr>
        <w:t xml:space="preserve">1. ALCANCE 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Este Regulamento Técnico se aplica as embalagens, revestimentos, utensílios, tampas e equipamentos elaborados com materiais metálicos, revestidos ou não, que entram em contato com alimentos e suas matérias primas durante sua produção, elaboração, transporte, distribuição e armazenamento. Não estarão sujeitos às disposições desta Resolução as tintas de impressão, os vernizes, em louças e esmaltados utilizados na face externa, sempre que não entrem em contato direto com os alimentos, nem a boca do usuário na forma de uso habitual.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b/>
          <w:bCs/>
          <w:sz w:val="20"/>
          <w:szCs w:val="20"/>
        </w:rPr>
      </w:pPr>
      <w:r w:rsidRPr="00781D45">
        <w:rPr>
          <w:rFonts w:ascii="Arial" w:hAnsi="Arial" w:cs="Arial"/>
          <w:b/>
          <w:bCs/>
          <w:sz w:val="20"/>
          <w:szCs w:val="20"/>
        </w:rPr>
        <w:t xml:space="preserve">2. DISPOSIÇÕES GERAIS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 O presente Regulamento Técnico se aplica às seguintes embalagens, revestimentos, utensílios, tampas e equipamentos: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2.1.1. Compostos exclusivamente de materiais metálicos ferrosos ou não ferrosos.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2.1.2. Compostos de materiais ferrosos ou não ferrosos recobertos exclusivamente com revestimentos metálicos.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2.1.3. Compostos de materiais ferrosos ou não ferrosos com revestimentos poliméricos parciais ou totais.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2.1.4. Compostos de materiais ferrosos ou não ferrosos, com revestimentos em louças, vitrificados ou esmaltados.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2.1.5. Compostos de materiais ferrosos ou não ferrosos submetidos a uma operação de lubrificação.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2.2 As embalagens, revestimentos, utensílios, tampas e equipamentos metálicos com ou sem revestimentos poliméricos, nas condições previstas de uso, não cederão aos alimentos, substâncias indesejáveis, tóxicas ou contaminantes em quantidades que representem risco para a saúde humana.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2.3 As embalagens, revestimentos, utensílios, tampas e equipamentos metálicos não poderão ocasionar modificações inaceitáveis na composição dos alimentos ou nas características sensoriais dos mesmos.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2.4 Todo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material esmaltado, estanhado, com louça, envernizado ou tratado deve apresentar sua superfície revestida de acordo com as boas práticas de fabricação, para assegurar a proteção do alimento. São permitidas as embalagens parcialmente envernizadas em seu interior ou com exposição intencional de um filete de estanho tecnicamente puro, quando as características do alimento a ser embalado assim o requeiram.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2.5 As embalagens metálicas de duas ou mais peças podem apresentar costura lateral recravada ou por superposição, podendo esta costura ser realizada com: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2.5.1 </w:t>
      </w:r>
      <w:proofErr w:type="spellStart"/>
      <w:r w:rsidRPr="00781D45">
        <w:rPr>
          <w:rFonts w:ascii="Arial" w:hAnsi="Arial" w:cs="Arial"/>
          <w:sz w:val="20"/>
          <w:szCs w:val="20"/>
        </w:rPr>
        <w:t>recravagem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mecânica.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2.5.2 soldadura elétrica.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2.5.3 estanho tecnicamente puro.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2.5.4 cimentos termoplásticos.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2.5.5 todas as combinações possíveis dos processos descritos de 2.5.1 a 2.5.4.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2.6 As tampas metálicas devem assegurar a </w:t>
      </w:r>
      <w:proofErr w:type="spellStart"/>
      <w:r w:rsidRPr="00781D45">
        <w:rPr>
          <w:rFonts w:ascii="Arial" w:hAnsi="Arial" w:cs="Arial"/>
          <w:sz w:val="20"/>
          <w:szCs w:val="20"/>
        </w:rPr>
        <w:t>hermeticidade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da embalagem por meio de compostos vedantes. Isto não será necessário para os alimentos que não requeiram ser esterilizados ou submetidos a outro tipo de tratamento térmico para sua conservação.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b/>
          <w:bCs/>
          <w:sz w:val="20"/>
          <w:szCs w:val="20"/>
        </w:rPr>
      </w:pPr>
      <w:r w:rsidRPr="00781D45">
        <w:rPr>
          <w:rFonts w:ascii="Arial" w:hAnsi="Arial" w:cs="Arial"/>
          <w:b/>
          <w:bCs/>
          <w:sz w:val="20"/>
          <w:szCs w:val="20"/>
        </w:rPr>
        <w:t xml:space="preserve">3. LISTAS POSITIVAS DE MATÉRIAS-PRIMAS PARA EMBALAGENS E EQUIPAMENTOS METÁLICOS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Na elaboração de embalagens e equipamentos metálicos, podem ser empregados os seguintes materiais: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 Matérias-primas metálicas: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3.1.1 Aço e suas ligas inoxidáveis listadas a seguir: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3.1.2 Ferro fundido ou batido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3.1.3 Alumínio tecnicamente puro e suas ligas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3.1.4 Aço revestido de cromo protegido totalmente em sua superfície com revestimentos poliméricos, em louças, vitrificados ou esmaltados.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3.1.5 Aço não revestido (chapa negra) protegida em toda sua superfície com revestimentos poliméricos, em louças, vitrificados ou esmaltados.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3.1.6 </w:t>
      </w:r>
      <w:proofErr w:type="gramStart"/>
      <w:r w:rsidRPr="00781D45">
        <w:rPr>
          <w:rFonts w:ascii="Arial" w:hAnsi="Arial" w:cs="Arial"/>
          <w:sz w:val="20"/>
          <w:szCs w:val="20"/>
        </w:rPr>
        <w:t>Cobre,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latão ou bronze revestidos integralmente por uma capa de ouro, prata, níquel ou estanho tecnicamente puros.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3.1.7 Estanho, níquel e </w:t>
      </w:r>
      <w:proofErr w:type="gramStart"/>
      <w:r w:rsidRPr="00781D45">
        <w:rPr>
          <w:rFonts w:ascii="Arial" w:hAnsi="Arial" w:cs="Arial"/>
          <w:sz w:val="20"/>
          <w:szCs w:val="20"/>
        </w:rPr>
        <w:t>prata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3.1.8 Ferro em louça ou esmaltado que cumpra com as exigências estabelecidas para “Embalagens e equipamentos de vidro e cerâmica destinados a entrar em contato com </w:t>
      </w:r>
      <w:proofErr w:type="gramStart"/>
      <w:r w:rsidRPr="00781D45">
        <w:rPr>
          <w:rFonts w:ascii="Arial" w:hAnsi="Arial" w:cs="Arial"/>
          <w:sz w:val="20"/>
          <w:szCs w:val="20"/>
        </w:rPr>
        <w:t>alimentos" aprovadas pela Resolução correspondente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3.1.9 Folha-de-flandres: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3.1.9.1.folha de flandres recoberta de estanho, na quantidade necessária para cumprir com a função tecnológica.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3.1.9.2.folha de flandres envernizada internamente, total ou parcialmente, com materiais poliméricos. A quantidade de estanho da folha de flandres será aquela necessária para cumprir com a função tecnológica. </w:t>
      </w:r>
    </w:p>
    <w:tbl>
      <w:tblPr>
        <w:tblW w:w="4536" w:type="dxa"/>
        <w:tblLayout w:type="fixed"/>
        <w:tblLook w:val="0000" w:firstRow="0" w:lastRow="0" w:firstColumn="0" w:lastColumn="0" w:noHBand="0" w:noVBand="0"/>
      </w:tblPr>
      <w:tblGrid>
        <w:gridCol w:w="1832"/>
        <w:gridCol w:w="1119"/>
        <w:gridCol w:w="1585"/>
      </w:tblGrid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303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1D45">
              <w:rPr>
                <w:rFonts w:ascii="Arial" w:hAnsi="Arial" w:cs="Arial"/>
                <w:sz w:val="20"/>
                <w:szCs w:val="20"/>
                <w:lang w:val="en-US"/>
              </w:rPr>
              <w:t>AISI</w:t>
            </w:r>
          </w:p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1D45">
              <w:rPr>
                <w:rFonts w:ascii="Arial" w:hAnsi="Arial" w:cs="Arial"/>
                <w:sz w:val="20"/>
                <w:szCs w:val="20"/>
                <w:lang w:val="en-US"/>
              </w:rPr>
              <w:t>(America</w:t>
            </w:r>
            <w:r w:rsidRPr="00781D45">
              <w:rPr>
                <w:rFonts w:ascii="Arial" w:hAnsi="Arial" w:cs="Arial"/>
                <w:sz w:val="20"/>
                <w:szCs w:val="20"/>
                <w:lang w:val="en-GB"/>
              </w:rPr>
              <w:t>n Iron and Steel Institute)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Normas EN (Euro Norm)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20200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30100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1.4310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30200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30300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1.4305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303 Se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S30323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30400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1.4301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1D45">
              <w:rPr>
                <w:rFonts w:ascii="Arial" w:hAnsi="Arial" w:cs="Arial"/>
                <w:sz w:val="20"/>
                <w:szCs w:val="20"/>
              </w:rPr>
              <w:t>304L</w:t>
            </w:r>
            <w:proofErr w:type="gram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30403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1.4307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30500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1.4303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31600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1.4401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1D45">
              <w:rPr>
                <w:rFonts w:ascii="Arial" w:hAnsi="Arial" w:cs="Arial"/>
                <w:sz w:val="20"/>
                <w:szCs w:val="20"/>
              </w:rPr>
              <w:t>316 L</w:t>
            </w:r>
            <w:proofErr w:type="gram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31603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1.4404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32100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1.4541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34700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1.4550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41000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1.4006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41600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1.4005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42000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1.4028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43000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1.4016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430 F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43000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1.4016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43100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1.4057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1.4110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1.4116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44400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1.4521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43035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1.4510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41050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1.4003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32304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1.4362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31803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1.4462</w:t>
            </w:r>
          </w:p>
        </w:tc>
      </w:tr>
      <w:tr w:rsidR="006B5C5B" w:rsidRPr="00781D45" w:rsidTr="006B5C5B">
        <w:tblPrEx>
          <w:tblCellMar>
            <w:top w:w="0" w:type="dxa"/>
            <w:bottom w:w="0" w:type="dxa"/>
          </w:tblCellMar>
        </w:tblPrEx>
        <w:trPr>
          <w:divId w:val="204878774"/>
          <w:trHeight w:val="2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S 32760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C5B" w:rsidRPr="00781D45" w:rsidRDefault="006B5C5B" w:rsidP="006B5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D45">
              <w:rPr>
                <w:rFonts w:ascii="Arial" w:hAnsi="Arial" w:cs="Arial"/>
                <w:sz w:val="20"/>
                <w:szCs w:val="20"/>
              </w:rPr>
              <w:t>1.4501</w:t>
            </w:r>
          </w:p>
        </w:tc>
      </w:tr>
    </w:tbl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3.1.10 Os metais contaminantes não devem migrar em quantidades superiores aos limites estabelecidos na Resolução correspondente sobre contaminantes em alimentos.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3.1.11 Fica permitido reciclar os materiais metálicos sempre que os mesmos sejam submetidos a um processo que permita o cumprimento das especificações do presente Regulamento.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3.1.12 Os materiais metálicos não devem conter mais de 1 % de impurezas constituídas por chumbo, arsênio, cádmio, mercúrio, antimônio e </w:t>
      </w:r>
      <w:proofErr w:type="gramStart"/>
      <w:r w:rsidRPr="00781D45">
        <w:rPr>
          <w:rFonts w:ascii="Arial" w:hAnsi="Arial" w:cs="Arial"/>
          <w:sz w:val="20"/>
          <w:szCs w:val="20"/>
        </w:rPr>
        <w:t>cobre,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considerados em conjunto. O limite individual de arsênio, mercúrio e chumbo não </w:t>
      </w:r>
      <w:proofErr w:type="gramStart"/>
      <w:r w:rsidRPr="00781D45">
        <w:rPr>
          <w:rFonts w:ascii="Arial" w:hAnsi="Arial" w:cs="Arial"/>
          <w:sz w:val="20"/>
          <w:szCs w:val="20"/>
        </w:rPr>
        <w:t>deve ser maior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do que 0,01%.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3.2.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Revestimentos poliméricos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Somente podem ser elaborados com as substâncias incluídas nas listas positivas de polímeros e aditivos para materiais plásticos em contato com alimentos com as restrições de uso e limites de composição e migrações específicas, estabelecidos nas Resoluções correspondentes.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3.3. Corantes e pigmentos É permitido o uso de corantes e pigmentos para o pintado, decorado, revestimento e esmaltado.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3.3.1 Os corantes e pigmentos utilizados para colorir revestimentos poliméricos devem cumprir com os requisitos de pureza da Resolução "Critérios Gerais para Embalagens e Equipamentos Alimentícios em Contato com Alimentos".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3.3.2 Os objetos com corantes e pigmentos utilizados para colorir esmaltados e vitrificados devem cumprir com a migração específica de cádmio e chumbo descrita na Resolução “Embalagens e equipamentos de vidro e cerâmica destinados a entrar em contato com alimentos”.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3.4.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Vedantes ou selantes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Podem ser utilizados os produtos incluídos nas listas positivas para embalagens e equipamentos </w:t>
      </w:r>
      <w:proofErr w:type="spellStart"/>
      <w:r w:rsidRPr="00781D45">
        <w:rPr>
          <w:rFonts w:ascii="Arial" w:hAnsi="Arial" w:cs="Arial"/>
          <w:sz w:val="20"/>
          <w:szCs w:val="20"/>
        </w:rPr>
        <w:t>elastoméricos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e suas modificações com suas restrições de uso, limites de composição e de migração específica da Resolução correspondente.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3.5.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Coadjuvantes de fabricação 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Lubrificantes de superfície: são utilizados para facilitar o embutido, estirado, estampado ou moldado de objetos metálicos a partir de rolos ou folhas armazenados, ou para enrolar laminados ou armazenar lâminas metálicas.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3.5.1. É permitido o uso de matérias-primas alimentares, incluindo aditivos que correspondam ao alimento que serão embalados ou que estarão em contato com o objeto, cumprindo com as especificações estabelecidas para seu uso em alimentos. A quantidade de matéria-prima alimentar ou aditivo presente no alimento, somada àquela que migra do objeto metálico, não deverá superar os limites estabelecidos para cada alimento nem alterar sua genuinidade.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3.5.2. Lubrificantes cuja concentração no produto acabado não exceda de 3,2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>/dm</w:t>
      </w:r>
      <w:r w:rsidRPr="00781D45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781D45">
        <w:rPr>
          <w:rFonts w:ascii="Arial" w:hAnsi="Arial" w:cs="Arial"/>
          <w:sz w:val="20"/>
          <w:szCs w:val="20"/>
        </w:rPr>
        <w:t xml:space="preserve">da superfície em contato com o alimento: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Óleo de rícino (óleo de mamona ou castor)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Óleo de soja </w:t>
      </w:r>
      <w:proofErr w:type="spellStart"/>
      <w:r w:rsidRPr="00781D45">
        <w:rPr>
          <w:rFonts w:ascii="Arial" w:hAnsi="Arial" w:cs="Arial"/>
          <w:sz w:val="20"/>
          <w:szCs w:val="20"/>
        </w:rPr>
        <w:t>epoxidado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(I)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Óleo mineral (XIV)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Ácidos graxos derivados de gorduras e óleos vegetais e animais e seus sais de: alumínio, magnésio, potássio, sódio e zinco, sozinhos ou em misturas.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Álcoois alifáticos saturados lineares, primários (C</w:t>
      </w:r>
      <w:r w:rsidRPr="00781D45">
        <w:rPr>
          <w:rFonts w:ascii="Arial" w:hAnsi="Arial" w:cs="Arial"/>
          <w:sz w:val="20"/>
          <w:szCs w:val="20"/>
          <w:vertAlign w:val="subscript"/>
        </w:rPr>
        <w:t>10</w:t>
      </w:r>
      <w:r w:rsidRPr="00781D45">
        <w:rPr>
          <w:rFonts w:ascii="Arial" w:hAnsi="Arial" w:cs="Arial"/>
          <w:sz w:val="20"/>
          <w:szCs w:val="20"/>
        </w:rPr>
        <w:t>-C</w:t>
      </w:r>
      <w:r w:rsidRPr="00781D45">
        <w:rPr>
          <w:rFonts w:ascii="Arial" w:hAnsi="Arial" w:cs="Arial"/>
          <w:sz w:val="20"/>
          <w:szCs w:val="20"/>
          <w:vertAlign w:val="subscript"/>
        </w:rPr>
        <w:t>24</w:t>
      </w:r>
      <w:proofErr w:type="gramStart"/>
      <w:r w:rsidRPr="00781D45">
        <w:rPr>
          <w:rFonts w:ascii="Arial" w:hAnsi="Arial" w:cs="Arial"/>
          <w:sz w:val="20"/>
          <w:szCs w:val="20"/>
        </w:rPr>
        <w:t>)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Cera de petróleo (VII)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Citrato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acetil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</w:rPr>
        <w:t>tributila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Citrato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monoestearila</w:t>
      </w:r>
      <w:proofErr w:type="spellEnd"/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Dimetilpolisiloxano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Dipropilenoglicol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Estearamida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Estearato de </w:t>
      </w:r>
      <w:proofErr w:type="spellStart"/>
      <w:r w:rsidRPr="00781D45">
        <w:rPr>
          <w:rFonts w:ascii="Arial" w:hAnsi="Arial" w:cs="Arial"/>
          <w:sz w:val="20"/>
          <w:szCs w:val="20"/>
        </w:rPr>
        <w:t>butila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Estearato de </w:t>
      </w:r>
      <w:proofErr w:type="spellStart"/>
      <w:r w:rsidRPr="00781D45">
        <w:rPr>
          <w:rFonts w:ascii="Arial" w:hAnsi="Arial" w:cs="Arial"/>
          <w:sz w:val="20"/>
          <w:szCs w:val="20"/>
        </w:rPr>
        <w:t>isobutila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Estearato </w:t>
      </w:r>
      <w:proofErr w:type="spellStart"/>
      <w:r w:rsidRPr="00781D45">
        <w:rPr>
          <w:rFonts w:ascii="Arial" w:hAnsi="Arial" w:cs="Arial"/>
          <w:sz w:val="20"/>
          <w:szCs w:val="20"/>
        </w:rPr>
        <w:t>estanhoso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Lanolina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Linoleamida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Palmitamida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Petrolato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Polietilenoglicol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(X)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Sebacato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dibutila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Sebacato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di-2-etilhexila </w:t>
      </w:r>
      <w:proofErr w:type="spellStart"/>
      <w:r w:rsidRPr="00781D45">
        <w:rPr>
          <w:rFonts w:ascii="Arial" w:hAnsi="Arial" w:cs="Arial"/>
          <w:sz w:val="20"/>
          <w:szCs w:val="20"/>
        </w:rPr>
        <w:t>Tetrakis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(metileno (3,3-di-ter-butil-4-hidroxihidrocinamato)) metano (= </w:t>
      </w:r>
      <w:proofErr w:type="gramStart"/>
      <w:r w:rsidRPr="00781D45">
        <w:rPr>
          <w:rFonts w:ascii="Arial" w:hAnsi="Arial" w:cs="Arial"/>
          <w:sz w:val="20"/>
          <w:szCs w:val="20"/>
        </w:rPr>
        <w:t>1,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1,4,4 </w:t>
      </w:r>
      <w:proofErr w:type="spellStart"/>
      <w:r w:rsidRPr="00781D45">
        <w:rPr>
          <w:rFonts w:ascii="Arial" w:hAnsi="Arial" w:cs="Arial"/>
          <w:sz w:val="20"/>
          <w:szCs w:val="20"/>
        </w:rPr>
        <w:t>tetrafenilbutano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(metileno (3,3-di-ter-butil-4-hidroxihidrocinamato)) metano) (XI)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Trietilenoglicol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(XII)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NOTA: As restrições e especificações indicadas com números romanos figuram na continuação da lista do item 3.5.3.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3.5.3. Substâncias cuja concentração no produto acabado não exceda de 0,24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>/ dm</w:t>
      </w:r>
      <w:r w:rsidRPr="00781D45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781D45">
        <w:rPr>
          <w:rFonts w:ascii="Arial" w:hAnsi="Arial" w:cs="Arial"/>
          <w:sz w:val="20"/>
          <w:szCs w:val="20"/>
        </w:rPr>
        <w:t xml:space="preserve">de superfície metálica em contato com alimentos: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Acetatos derivados de álcoois sintéticos de cadeia linear (II)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Acido etileno-</w:t>
      </w:r>
      <w:proofErr w:type="spellStart"/>
      <w:r w:rsidRPr="00781D45">
        <w:rPr>
          <w:rFonts w:ascii="Arial" w:hAnsi="Arial" w:cs="Arial"/>
          <w:sz w:val="20"/>
          <w:szCs w:val="20"/>
        </w:rPr>
        <w:t>diamino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-tetra-acético, sais </w:t>
      </w:r>
      <w:proofErr w:type="gramStart"/>
      <w:r w:rsidRPr="00781D45">
        <w:rPr>
          <w:rFonts w:ascii="Arial" w:hAnsi="Arial" w:cs="Arial"/>
          <w:sz w:val="20"/>
          <w:szCs w:val="20"/>
        </w:rPr>
        <w:t>sódicos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Álcool </w:t>
      </w:r>
      <w:proofErr w:type="spellStart"/>
      <w:r w:rsidRPr="00781D45">
        <w:rPr>
          <w:rFonts w:ascii="Arial" w:hAnsi="Arial" w:cs="Arial"/>
          <w:sz w:val="20"/>
          <w:szCs w:val="20"/>
        </w:rPr>
        <w:t>isopropílico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Álcool </w:t>
      </w:r>
      <w:proofErr w:type="spellStart"/>
      <w:r w:rsidRPr="00781D45">
        <w:rPr>
          <w:rFonts w:ascii="Arial" w:hAnsi="Arial" w:cs="Arial"/>
          <w:sz w:val="20"/>
          <w:szCs w:val="20"/>
        </w:rPr>
        <w:t>polivinílico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Álcool </w:t>
      </w:r>
      <w:proofErr w:type="spellStart"/>
      <w:r w:rsidRPr="00781D45">
        <w:rPr>
          <w:rFonts w:ascii="Arial" w:hAnsi="Arial" w:cs="Arial"/>
          <w:sz w:val="20"/>
          <w:szCs w:val="20"/>
        </w:rPr>
        <w:t>terbutílico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Álcool </w:t>
      </w:r>
      <w:proofErr w:type="spellStart"/>
      <w:r w:rsidRPr="00781D45">
        <w:rPr>
          <w:rFonts w:ascii="Arial" w:hAnsi="Arial" w:cs="Arial"/>
          <w:sz w:val="20"/>
          <w:szCs w:val="20"/>
        </w:rPr>
        <w:t>isotridecílico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</w:rPr>
        <w:t>etoxilado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Álcoois primários </w:t>
      </w:r>
      <w:proofErr w:type="spellStart"/>
      <w:r w:rsidRPr="00781D45">
        <w:rPr>
          <w:rFonts w:ascii="Arial" w:hAnsi="Arial" w:cs="Arial"/>
          <w:sz w:val="20"/>
          <w:szCs w:val="20"/>
        </w:rPr>
        <w:t>etoxilados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(III)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Amina de sebo </w:t>
      </w:r>
      <w:proofErr w:type="spellStart"/>
      <w:r w:rsidRPr="00781D45">
        <w:rPr>
          <w:rFonts w:ascii="Arial" w:hAnsi="Arial" w:cs="Arial"/>
          <w:sz w:val="20"/>
          <w:szCs w:val="20"/>
        </w:rPr>
        <w:t>polioxietilada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781D45">
        <w:rPr>
          <w:rFonts w:ascii="Arial" w:hAnsi="Arial" w:cs="Arial"/>
          <w:sz w:val="20"/>
          <w:szCs w:val="20"/>
        </w:rPr>
        <w:t>5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moles)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Dímeros, </w:t>
      </w:r>
      <w:proofErr w:type="spellStart"/>
      <w:r w:rsidRPr="00781D45">
        <w:rPr>
          <w:rFonts w:ascii="Arial" w:hAnsi="Arial" w:cs="Arial"/>
          <w:sz w:val="20"/>
          <w:szCs w:val="20"/>
        </w:rPr>
        <w:t>trímeros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ácidos graxos não saturados C</w:t>
      </w:r>
      <w:r w:rsidRPr="00781D45">
        <w:rPr>
          <w:rFonts w:ascii="Arial" w:hAnsi="Arial" w:cs="Arial"/>
          <w:sz w:val="20"/>
          <w:szCs w:val="20"/>
          <w:vertAlign w:val="subscript"/>
        </w:rPr>
        <w:t>18</w:t>
      </w:r>
      <w:r w:rsidRPr="00781D45">
        <w:rPr>
          <w:rFonts w:ascii="Arial" w:hAnsi="Arial" w:cs="Arial"/>
          <w:sz w:val="20"/>
          <w:szCs w:val="20"/>
        </w:rPr>
        <w:t xml:space="preserve"> derivados de gorduras animais ou vegetais ou de </w:t>
      </w:r>
      <w:proofErr w:type="spellStart"/>
      <w:r w:rsidRPr="00781D45">
        <w:rPr>
          <w:rFonts w:ascii="Arial" w:hAnsi="Arial" w:cs="Arial"/>
          <w:sz w:val="20"/>
          <w:szCs w:val="20"/>
        </w:rPr>
        <w:t>tall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</w:rPr>
        <w:t>oil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e/ou seus ésteres metílicos parciais (IV</w:t>
      </w:r>
      <w:proofErr w:type="gramStart"/>
      <w:r w:rsidRPr="00781D45">
        <w:rPr>
          <w:rFonts w:ascii="Arial" w:hAnsi="Arial" w:cs="Arial"/>
          <w:sz w:val="20"/>
          <w:szCs w:val="20"/>
        </w:rPr>
        <w:t>)</w:t>
      </w:r>
      <w:proofErr w:type="gramEnd"/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Ésteres metílicos de ácidos graxos (C</w:t>
      </w:r>
      <w:r w:rsidRPr="00781D45">
        <w:rPr>
          <w:rFonts w:ascii="Arial" w:hAnsi="Arial" w:cs="Arial"/>
          <w:sz w:val="20"/>
          <w:szCs w:val="20"/>
          <w:vertAlign w:val="subscript"/>
        </w:rPr>
        <w:t>16</w:t>
      </w:r>
      <w:r w:rsidRPr="00781D45">
        <w:rPr>
          <w:rFonts w:ascii="Arial" w:hAnsi="Arial" w:cs="Arial"/>
          <w:sz w:val="20"/>
          <w:szCs w:val="20"/>
        </w:rPr>
        <w:t>-C</w:t>
      </w:r>
      <w:r w:rsidRPr="00781D45">
        <w:rPr>
          <w:rFonts w:ascii="Arial" w:hAnsi="Arial" w:cs="Arial"/>
          <w:sz w:val="20"/>
          <w:szCs w:val="20"/>
          <w:vertAlign w:val="subscript"/>
        </w:rPr>
        <w:t>18</w:t>
      </w:r>
      <w:r w:rsidRPr="00781D45">
        <w:rPr>
          <w:rFonts w:ascii="Arial" w:hAnsi="Arial" w:cs="Arial"/>
          <w:sz w:val="20"/>
          <w:szCs w:val="20"/>
        </w:rPr>
        <w:t xml:space="preserve">) derivados de gorduras e óleos animais ou vegetais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Ésteres metílicos de ácidos graxos de óleo de coco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Hidrocarbonetos de petróleo sulfonados, sais sódicos (VIII</w:t>
      </w:r>
      <w:proofErr w:type="gramStart"/>
      <w:r w:rsidRPr="00781D45">
        <w:rPr>
          <w:rFonts w:ascii="Arial" w:hAnsi="Arial" w:cs="Arial"/>
          <w:sz w:val="20"/>
          <w:szCs w:val="20"/>
        </w:rPr>
        <w:t>)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Hidrocarbonetos leves de petróleo (IX)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Mistura de álcoois sintéticos de cadeia linear e ramificada com número par de átomos de carbono (C</w:t>
      </w:r>
      <w:r w:rsidRPr="00781D45">
        <w:rPr>
          <w:rFonts w:ascii="Arial" w:hAnsi="Arial" w:cs="Arial"/>
          <w:sz w:val="20"/>
          <w:szCs w:val="20"/>
          <w:vertAlign w:val="subscript"/>
        </w:rPr>
        <w:t>4</w:t>
      </w:r>
      <w:r w:rsidRPr="00781D45">
        <w:rPr>
          <w:rFonts w:ascii="Arial" w:hAnsi="Arial" w:cs="Arial"/>
          <w:sz w:val="20"/>
          <w:szCs w:val="20"/>
        </w:rPr>
        <w:t>- C</w:t>
      </w:r>
      <w:r w:rsidRPr="00781D45">
        <w:rPr>
          <w:rFonts w:ascii="Arial" w:hAnsi="Arial" w:cs="Arial"/>
          <w:sz w:val="20"/>
          <w:szCs w:val="20"/>
          <w:vertAlign w:val="subscript"/>
        </w:rPr>
        <w:t>18</w:t>
      </w:r>
      <w:r w:rsidRPr="00781D45">
        <w:rPr>
          <w:rFonts w:ascii="Arial" w:hAnsi="Arial" w:cs="Arial"/>
          <w:sz w:val="20"/>
          <w:szCs w:val="20"/>
        </w:rPr>
        <w:t xml:space="preserve">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Mistura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de álcoois sintéticos primários de cadeia linear e ramificada (XIII)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Monobutil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éter de </w:t>
      </w:r>
      <w:proofErr w:type="spellStart"/>
      <w:r w:rsidRPr="00781D45">
        <w:rPr>
          <w:rFonts w:ascii="Arial" w:hAnsi="Arial" w:cs="Arial"/>
          <w:sz w:val="20"/>
          <w:szCs w:val="20"/>
        </w:rPr>
        <w:t>dietilenoglicol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Monoestearato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polietilenoglicol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Nitrito de </w:t>
      </w:r>
      <w:proofErr w:type="spellStart"/>
      <w:r w:rsidRPr="00781D45">
        <w:rPr>
          <w:rFonts w:ascii="Arial" w:hAnsi="Arial" w:cs="Arial"/>
          <w:sz w:val="20"/>
          <w:szCs w:val="20"/>
        </w:rPr>
        <w:t>sodio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(VI)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Oleato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isopropila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Polibuteno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hidrogenado (XIV)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Poliisobutileno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(V)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Sebacato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</w:rPr>
        <w:t>di</w:t>
      </w:r>
      <w:proofErr w:type="spellEnd"/>
      <w:r w:rsidRPr="00781D45">
        <w:rPr>
          <w:rFonts w:ascii="Arial" w:hAnsi="Arial" w:cs="Arial"/>
          <w:sz w:val="20"/>
          <w:szCs w:val="20"/>
        </w:rPr>
        <w:t>-n-</w:t>
      </w:r>
      <w:proofErr w:type="spellStart"/>
      <w:r w:rsidRPr="00781D45">
        <w:rPr>
          <w:rFonts w:ascii="Arial" w:hAnsi="Arial" w:cs="Arial"/>
          <w:sz w:val="20"/>
          <w:szCs w:val="20"/>
        </w:rPr>
        <w:t>octila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Sebo sulfonado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</w:rPr>
        <w:t>Trietanolamina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NOTA: As restrições e especificações indicadas com números romanos figuram a seguir.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  <w:u w:val="single"/>
        </w:rPr>
        <w:t>RESTRIÇÕES</w:t>
      </w:r>
      <w:r w:rsidRPr="00781D45">
        <w:rPr>
          <w:rFonts w:ascii="Arial" w:hAnsi="Arial" w:cs="Arial"/>
          <w:sz w:val="20"/>
          <w:szCs w:val="20"/>
        </w:rPr>
        <w:t xml:space="preserve">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(I) Deverá cumprir as especificações fixadas na “Lista positiva de Aditivos para Materiais Plásticos destinados a elaboração de Embalagens e Equipamentos em contato com Alimentos” e suas modificações.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(II) Os álcoois deverão possuir número par de átomos de carbono (C</w:t>
      </w:r>
      <w:r w:rsidRPr="00781D45">
        <w:rPr>
          <w:rFonts w:ascii="Arial" w:hAnsi="Arial" w:cs="Arial"/>
          <w:sz w:val="20"/>
          <w:szCs w:val="20"/>
          <w:vertAlign w:val="subscript"/>
        </w:rPr>
        <w:t>12</w:t>
      </w:r>
      <w:r w:rsidRPr="00781D45">
        <w:rPr>
          <w:rFonts w:ascii="Arial" w:hAnsi="Arial" w:cs="Arial"/>
          <w:sz w:val="20"/>
          <w:szCs w:val="20"/>
        </w:rPr>
        <w:t>-C</w:t>
      </w:r>
      <w:r w:rsidRPr="00781D45">
        <w:rPr>
          <w:rFonts w:ascii="Arial" w:hAnsi="Arial" w:cs="Arial"/>
          <w:sz w:val="20"/>
          <w:szCs w:val="20"/>
          <w:vertAlign w:val="subscript"/>
        </w:rPr>
        <w:t>18</w:t>
      </w:r>
      <w:r w:rsidRPr="00781D45">
        <w:rPr>
          <w:rFonts w:ascii="Arial" w:hAnsi="Arial" w:cs="Arial"/>
          <w:sz w:val="20"/>
          <w:szCs w:val="20"/>
        </w:rPr>
        <w:t xml:space="preserve">).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(III) Produzido pela condensação de um mol de álcool primário linear (C</w:t>
      </w:r>
      <w:r w:rsidRPr="00781D45">
        <w:rPr>
          <w:rFonts w:ascii="Arial" w:hAnsi="Arial" w:cs="Arial"/>
          <w:sz w:val="20"/>
          <w:szCs w:val="20"/>
          <w:vertAlign w:val="subscript"/>
        </w:rPr>
        <w:t>12</w:t>
      </w:r>
      <w:r w:rsidRPr="00781D45">
        <w:rPr>
          <w:rFonts w:ascii="Arial" w:hAnsi="Arial" w:cs="Arial"/>
          <w:sz w:val="20"/>
          <w:szCs w:val="20"/>
        </w:rPr>
        <w:t>-C</w:t>
      </w:r>
      <w:r w:rsidRPr="00781D45">
        <w:rPr>
          <w:rFonts w:ascii="Arial" w:hAnsi="Arial" w:cs="Arial"/>
          <w:sz w:val="20"/>
          <w:szCs w:val="20"/>
          <w:vertAlign w:val="subscript"/>
        </w:rPr>
        <w:t>15</w:t>
      </w:r>
      <w:r w:rsidRPr="00781D45">
        <w:rPr>
          <w:rFonts w:ascii="Arial" w:hAnsi="Arial" w:cs="Arial"/>
          <w:sz w:val="20"/>
          <w:szCs w:val="20"/>
        </w:rPr>
        <w:t xml:space="preserve">) com uma média de </w:t>
      </w:r>
      <w:proofErr w:type="gramStart"/>
      <w:r w:rsidRPr="00781D45">
        <w:rPr>
          <w:rFonts w:ascii="Arial" w:hAnsi="Arial" w:cs="Arial"/>
          <w:sz w:val="20"/>
          <w:szCs w:val="20"/>
        </w:rPr>
        <w:t>3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moles de óxido de etileno.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(IV) Não se deve utilizar em combinação com nitrito de sódio e devem cumprir com as seguintes especificações: índice de saponificação: 180-200; índice de iodo: máximo 120; índice de ácido: 70-130. Devem ser utilizados em quantidades que não excedam 10% em peso do composto lubrificante final.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(V) PM mínimo = 300.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(VI) Para utilizar somente como inibidor de oxidação (ferrugem) em compostos lubrificantes, sempre e quando o nitrito de sódio residual do objeto metálico em contato com o alimento não exceda 0,11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>/ 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r w:rsidRPr="00781D45">
        <w:rPr>
          <w:rFonts w:ascii="Arial" w:hAnsi="Arial" w:cs="Arial"/>
          <w:position w:val="11"/>
          <w:sz w:val="20"/>
          <w:szCs w:val="20"/>
          <w:vertAlign w:val="superscript"/>
        </w:rPr>
        <w:t xml:space="preserve"> </w:t>
      </w:r>
      <w:r w:rsidRPr="00781D45">
        <w:rPr>
          <w:rFonts w:ascii="Arial" w:hAnsi="Arial" w:cs="Arial"/>
          <w:sz w:val="20"/>
          <w:szCs w:val="20"/>
        </w:rPr>
        <w:t xml:space="preserve">de superfície metálica em contato com o alimento.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(VII) Deverá cumprir com o Regulamento Técnico para ceras e parafinas em contato com alimentos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(VIII) Derivados das frações </w:t>
      </w:r>
      <w:proofErr w:type="spellStart"/>
      <w:r w:rsidRPr="00781D45">
        <w:rPr>
          <w:rFonts w:ascii="Arial" w:hAnsi="Arial" w:cs="Arial"/>
          <w:sz w:val="20"/>
          <w:szCs w:val="20"/>
        </w:rPr>
        <w:t>naftênicas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(IX) Deverá cumprir as especificações para óleo mineral como aditivo alimentar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(X) PM mínimo = 300. O conteúdo de mono e </w:t>
      </w:r>
      <w:proofErr w:type="spellStart"/>
      <w:r w:rsidRPr="00781D45">
        <w:rPr>
          <w:rFonts w:ascii="Arial" w:hAnsi="Arial" w:cs="Arial"/>
          <w:sz w:val="20"/>
          <w:szCs w:val="20"/>
        </w:rPr>
        <w:t>dietilenoglicol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não </w:t>
      </w:r>
      <w:proofErr w:type="gramStart"/>
      <w:r w:rsidRPr="00781D45">
        <w:rPr>
          <w:rFonts w:ascii="Arial" w:hAnsi="Arial" w:cs="Arial"/>
          <w:sz w:val="20"/>
          <w:szCs w:val="20"/>
        </w:rPr>
        <w:t>deve ser maior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que 0,2%.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(XI) Como máximo 0,5% em peso da formulação final do lubrificante de superfície.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(XII) O conteúdo de </w:t>
      </w:r>
      <w:proofErr w:type="spellStart"/>
      <w:r w:rsidRPr="00781D45">
        <w:rPr>
          <w:rFonts w:ascii="Arial" w:hAnsi="Arial" w:cs="Arial"/>
          <w:sz w:val="20"/>
          <w:szCs w:val="20"/>
        </w:rPr>
        <w:t>trietilenoglicol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não deve ser maior que 0,1%.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(XIII) Como máximo 8% em peso da composição total de lubrificante de superfície.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(XIV) Não usar em contato com alimentos oleosos. </w:t>
      </w:r>
    </w:p>
    <w:p w:rsidR="006B5C5B" w:rsidRPr="00781D45" w:rsidRDefault="006B5C5B" w:rsidP="006B5C5B">
      <w:pPr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3.6. Cimentos termoplásticos: </w:t>
      </w:r>
    </w:p>
    <w:p w:rsidR="006B5C5B" w:rsidRPr="00781D45" w:rsidRDefault="006B5C5B" w:rsidP="006B5C5B">
      <w:pPr>
        <w:ind w:firstLine="567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É permitido o uso de materiais que cumpram com o Regulamento Técnico sobre materiais plásticos e </w:t>
      </w:r>
      <w:proofErr w:type="spellStart"/>
      <w:r w:rsidRPr="00781D45">
        <w:rPr>
          <w:rFonts w:ascii="Arial" w:hAnsi="Arial" w:cs="Arial"/>
          <w:sz w:val="20"/>
          <w:szCs w:val="20"/>
        </w:rPr>
        <w:t>elastoméricos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em contato com alimentos.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3.7. As substâncias contidas nestas listas e seus limites de migração poderão ser </w:t>
      </w:r>
      <w:proofErr w:type="gramStart"/>
      <w:r w:rsidRPr="00781D45">
        <w:rPr>
          <w:rFonts w:ascii="Arial" w:hAnsi="Arial" w:cs="Arial"/>
          <w:sz w:val="20"/>
          <w:szCs w:val="20"/>
        </w:rPr>
        <w:t>modificadas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quando conhecimentos técnicos ou científicos posteriores indiquem qualquer risco para a saúde pública, ou para permitir a inclusão de novas substâncias, seguindo os critérios do “Regulamento Técnico sobre critérios generais de atualização de listas positivas de componentes de embalagens e equipamentos em contato com alimentos”.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b/>
          <w:bCs/>
          <w:sz w:val="20"/>
          <w:szCs w:val="20"/>
        </w:rPr>
      </w:pPr>
      <w:r w:rsidRPr="00781D45">
        <w:rPr>
          <w:rFonts w:ascii="Arial" w:hAnsi="Arial" w:cs="Arial"/>
          <w:b/>
          <w:bCs/>
          <w:sz w:val="20"/>
          <w:szCs w:val="20"/>
        </w:rPr>
        <w:t xml:space="preserve">4. LIMITES DE MIGRAÇÃO E MÉTODOS DE ENSAIO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 As tampas, embalagens, utensílios e equipamentos metálicos, cujas superfícies estejam em </w:t>
      </w:r>
      <w:proofErr w:type="gramStart"/>
      <w:r w:rsidRPr="00781D45">
        <w:rPr>
          <w:rFonts w:ascii="Arial" w:hAnsi="Arial" w:cs="Arial"/>
          <w:sz w:val="20"/>
          <w:szCs w:val="20"/>
        </w:rPr>
        <w:t>contato com o alimento, revestida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total ou parcialmente com vernizes ou esmaltes poliméricos, vitrificadas ou em louça</w:t>
      </w:r>
      <w:r w:rsidRPr="00781D45">
        <w:rPr>
          <w:rFonts w:ascii="Arial" w:hAnsi="Arial" w:cs="Arial"/>
          <w:i/>
          <w:iCs/>
          <w:sz w:val="20"/>
          <w:szCs w:val="20"/>
        </w:rPr>
        <w:t xml:space="preserve">, </w:t>
      </w:r>
      <w:r w:rsidRPr="00781D45">
        <w:rPr>
          <w:rFonts w:ascii="Arial" w:hAnsi="Arial" w:cs="Arial"/>
          <w:sz w:val="20"/>
          <w:szCs w:val="20"/>
        </w:rPr>
        <w:t xml:space="preserve">devem ser submetidos aos ensaios de migração global, migração específica e limite de composição descritos nas Resoluções correspondentes.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4.1.1. Os limites de migração total ou global, conforme estabelecido nas Resoluções “Critérios Gerais para Embalagens e Equipamentos Alimentícios em Contato com Alimentos” e “Embalagens e Equipamentos de Vidro e Cerâmica destinados a entrar em Contato com Alimentos”, são: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- 50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/kg de </w:t>
      </w:r>
      <w:proofErr w:type="spellStart"/>
      <w:r w:rsidRPr="00781D45">
        <w:rPr>
          <w:rFonts w:ascii="Arial" w:hAnsi="Arial" w:cs="Arial"/>
          <w:sz w:val="20"/>
          <w:szCs w:val="20"/>
        </w:rPr>
        <w:t>simulante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, no caso de embalagens e equipamentos com capacidade superior ou igual a 250 ml; no caso de embalagens e equipamentos em que não seja possível estimar a área de superfície em contato; e no caso de elementos de fechamento ou objetos de área pequena.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- 8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/dm² de área de superfície da embalagem; no caso de embalagens e equipamentos com capacidade inferior a 250 ml; e no caso de material genérico.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Os mesmos serão realizados sobre o produto acabado, aplicando a metodologia indicada nas Resoluções correspondentes.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Poderão ser utilizados corpos de prova do substrato metálico ao qual se destina preparados nas mesmas condições que o objeto a ensaiar, quando seja devidamente justificado, devendo constar tal circunstância no protocolo de análises.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4.1.2. Tolerâncias analíticas As tolerâncias analíticas são: </w:t>
      </w:r>
      <w:proofErr w:type="gramStart"/>
      <w:r w:rsidRPr="00781D45">
        <w:rPr>
          <w:rFonts w:ascii="Arial" w:hAnsi="Arial" w:cs="Arial"/>
          <w:sz w:val="20"/>
          <w:szCs w:val="20"/>
        </w:rPr>
        <w:t>5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mg/kg ou 0,8 mg/dm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r w:rsidRPr="00781D45">
        <w:rPr>
          <w:rFonts w:ascii="Arial" w:hAnsi="Arial" w:cs="Arial"/>
          <w:position w:val="11"/>
          <w:sz w:val="20"/>
          <w:szCs w:val="20"/>
          <w:vertAlign w:val="superscript"/>
        </w:rPr>
        <w:t xml:space="preserve"> </w:t>
      </w:r>
      <w:r w:rsidRPr="00781D45">
        <w:rPr>
          <w:rFonts w:ascii="Arial" w:hAnsi="Arial" w:cs="Arial"/>
          <w:sz w:val="20"/>
          <w:szCs w:val="20"/>
        </w:rPr>
        <w:t xml:space="preserve">de acordo com a forma de expressão dos resultados. </w:t>
      </w:r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4.1.3. Correção por migração de metais Nas embalagens com revestimento polimérico parcial, quando a migração total seja superior ao limite estabelecido, deverá ser efetuada uma extração com clorofórmio para correção por migração de metais, descrita a seguir: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4.1.3.1 Adicionar 50 ml de clorofórmio ao resíduo proveniente do ensaio de migração total e aquecer em banho-maria para dissolvê-lo completamente. Esfriar. Filtrar com papel de filtro quantitativo a uma cápsula tarada, evaporando completamente. Secar em estufa e pesar, repetindo o procedimento até massa constante. Paralelamente, efetuar um ensaio em branco, para obter a massa do resíduo corrigida (R').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4.1.3.2. Expressão dos resultados: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• Quando o ensaio de migração for efetuado com material metálico genérico, deve-se utilizar a seguinte fórmula: </w:t>
      </w:r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inline distT="0" distB="0" distL="0" distR="0" wp14:anchorId="3075E57A" wp14:editId="35F1540F">
            <wp:extent cx="4314825" cy="457200"/>
            <wp:effectExtent l="0" t="0" r="0" b="0"/>
            <wp:docPr id="5" name="Imagem 5" descr="C:\Users\talita.ribeiro\Desktop\RDC Nº 20 FIG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ta.ribeiro\Desktop\RDC Nº 20 FIGURA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onde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Q: migração total,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/kg R': massa do resíduo corrigido, em mg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  <w:vertAlign w:val="superscript"/>
        </w:rPr>
      </w:pPr>
      <w:r w:rsidRPr="00781D45">
        <w:rPr>
          <w:rFonts w:ascii="Arial" w:hAnsi="Arial" w:cs="Arial"/>
          <w:sz w:val="20"/>
          <w:szCs w:val="20"/>
        </w:rPr>
        <w:t xml:space="preserve">A: área total da amostra em contato com o </w:t>
      </w:r>
      <w:proofErr w:type="spellStart"/>
      <w:r w:rsidRPr="00781D45">
        <w:rPr>
          <w:rFonts w:ascii="Arial" w:hAnsi="Arial" w:cs="Arial"/>
          <w:sz w:val="20"/>
          <w:szCs w:val="20"/>
        </w:rPr>
        <w:t>simulante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, em </w:t>
      </w:r>
      <w:proofErr w:type="gramStart"/>
      <w:r w:rsidRPr="00781D45">
        <w:rPr>
          <w:rFonts w:ascii="Arial" w:hAnsi="Arial" w:cs="Arial"/>
          <w:sz w:val="20"/>
          <w:szCs w:val="20"/>
        </w:rPr>
        <w:t>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inline distT="0" distB="0" distL="0" distR="0" wp14:anchorId="10B7E174" wp14:editId="7950E006">
            <wp:extent cx="3145367" cy="473435"/>
            <wp:effectExtent l="0" t="0" r="0" b="0"/>
            <wp:docPr id="4" name="Imagem 4" descr="C:\Users\talita.ribeiro\Desktop\RDC Nº 20 FIGU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ta.ribeiro\Desktop\RDC Nº 20 FIGURA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26" cy="4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Relação área/massa de água correspondente ao volume de contato real entre o material e o alimento, em 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r w:rsidRPr="00781D45">
        <w:rPr>
          <w:rFonts w:ascii="Arial" w:hAnsi="Arial" w:cs="Arial"/>
          <w:sz w:val="20"/>
          <w:szCs w:val="20"/>
        </w:rPr>
        <w:t>/kg de água.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• Quando o ensaio de migração for efetuado com a embalagem final ou com tampas, então A = S e a fórmula se reduz a: </w:t>
      </w:r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inline distT="0" distB="0" distL="0" distR="0" wp14:anchorId="223FE2D4" wp14:editId="07ED9A70">
            <wp:extent cx="3234267" cy="512233"/>
            <wp:effectExtent l="0" t="0" r="0" b="0"/>
            <wp:docPr id="3" name="Imagem 3" descr="C:\Users\talita.ribeiro\Desktop\RDC Nº 20 FIGU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lita.ribeiro\Desktop\RDC Nº 20 FIGURA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44" cy="51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onde</w:t>
      </w:r>
      <w:proofErr w:type="gramEnd"/>
      <w:r w:rsidRPr="00781D45">
        <w:rPr>
          <w:rFonts w:ascii="Arial" w:hAnsi="Arial" w:cs="Arial"/>
          <w:sz w:val="20"/>
          <w:szCs w:val="20"/>
        </w:rPr>
        <w:t>: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Q: migração total,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/kg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R': massa do resíduo corrigido,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V: massa de água correspondente ao volume da embalagem, em kg.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• A migração pode também ser expressa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>/ 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r w:rsidRPr="00781D45">
        <w:rPr>
          <w:rFonts w:ascii="Arial" w:hAnsi="Arial" w:cs="Arial"/>
          <w:sz w:val="20"/>
          <w:szCs w:val="20"/>
        </w:rPr>
        <w:t xml:space="preserve">, mediante a seguinte fórmula: </w:t>
      </w:r>
    </w:p>
    <w:p w:rsidR="006B5C5B" w:rsidRPr="00781D45" w:rsidRDefault="006B5C5B" w:rsidP="006B5C5B">
      <w:pPr>
        <w:jc w:val="center"/>
        <w:divId w:val="204878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inline distT="0" distB="0" distL="0" distR="0" wp14:anchorId="24535C63" wp14:editId="2D0C1656">
            <wp:extent cx="2971800" cy="456527"/>
            <wp:effectExtent l="0" t="0" r="0" b="0"/>
            <wp:docPr id="2" name="Imagem 2" descr="C:\Users\talita.ribeiro\Desktop\RDC Nº 20 FIG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lita.ribeiro\Desktop\RDC Nº 20 FIGURA 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75" cy="4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gramStart"/>
      <w:r w:rsidRPr="00781D45">
        <w:rPr>
          <w:rFonts w:ascii="Arial" w:hAnsi="Arial" w:cs="Arial"/>
          <w:sz w:val="20"/>
          <w:szCs w:val="20"/>
        </w:rPr>
        <w:t>onde</w:t>
      </w:r>
      <w:proofErr w:type="gramEnd"/>
      <w:r w:rsidRPr="00781D45">
        <w:rPr>
          <w:rFonts w:ascii="Arial" w:hAnsi="Arial" w:cs="Arial"/>
          <w:sz w:val="20"/>
          <w:szCs w:val="20"/>
        </w:rPr>
        <w:t>: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  <w:vertAlign w:val="superscript"/>
        </w:rPr>
      </w:pPr>
      <w:r w:rsidRPr="00781D45">
        <w:rPr>
          <w:rFonts w:ascii="Arial" w:hAnsi="Arial" w:cs="Arial"/>
          <w:sz w:val="20"/>
          <w:szCs w:val="20"/>
        </w:rPr>
        <w:t xml:space="preserve">Q': migração total,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>/dm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R': massa do resíduo corrigido, em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A: área total de contato entre a amostra e o </w:t>
      </w:r>
      <w:proofErr w:type="spellStart"/>
      <w:r w:rsidRPr="00781D45">
        <w:rPr>
          <w:rFonts w:ascii="Arial" w:hAnsi="Arial" w:cs="Arial"/>
          <w:sz w:val="20"/>
          <w:szCs w:val="20"/>
        </w:rPr>
        <w:t>simulante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, em </w:t>
      </w:r>
      <w:proofErr w:type="gramStart"/>
      <w:r w:rsidRPr="00781D45">
        <w:rPr>
          <w:rFonts w:ascii="Arial" w:hAnsi="Arial" w:cs="Arial"/>
          <w:sz w:val="20"/>
          <w:szCs w:val="20"/>
        </w:rPr>
        <w:t>dm</w:t>
      </w:r>
      <w:r w:rsidRPr="00781D45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</w:p>
    <w:p w:rsidR="006B5C5B" w:rsidRPr="00781D45" w:rsidRDefault="006B5C5B" w:rsidP="006B5C5B">
      <w:pPr>
        <w:ind w:left="36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4.1.4. Resíduo solúvel em clorofórmio corrigido por zinco: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Para vernizes que contenham óxido de zinco, se a migração total excede os limites estabelecidos, proceder </w:t>
      </w:r>
      <w:proofErr w:type="gramStart"/>
      <w:r w:rsidRPr="00781D45">
        <w:rPr>
          <w:rFonts w:ascii="Arial" w:hAnsi="Arial" w:cs="Arial"/>
          <w:sz w:val="20"/>
          <w:szCs w:val="20"/>
        </w:rPr>
        <w:t>a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determinação do resíduo solúvel em clorofórmio corrigido pro zinco, de acordo com o descrito a seguir: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4.1.4.1. Calcinar o resíduo obtido em cápsula de platina por aquecimento em maçarico tipo </w:t>
      </w:r>
      <w:proofErr w:type="spellStart"/>
      <w:r w:rsidRPr="00781D45">
        <w:rPr>
          <w:rFonts w:ascii="Arial" w:hAnsi="Arial" w:cs="Arial"/>
          <w:sz w:val="20"/>
          <w:szCs w:val="20"/>
        </w:rPr>
        <w:t>Meker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781D45">
        <w:rPr>
          <w:rFonts w:ascii="Arial" w:hAnsi="Arial" w:cs="Arial"/>
          <w:sz w:val="20"/>
          <w:szCs w:val="20"/>
        </w:rPr>
        <w:t>mufla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a temperatura equivalente, para destruir a matéria orgânica, deixando-se ao rubro por aproximadamente um minuto. Esfriar ao ar durante 3 minutos e logo em um dessecador durante 30 minutos. Pesar com precisão de 0,1 </w:t>
      </w:r>
      <w:proofErr w:type="gramStart"/>
      <w:r w:rsidRPr="00781D45">
        <w:rPr>
          <w:rFonts w:ascii="Arial" w:hAnsi="Arial" w:cs="Arial"/>
          <w:sz w:val="20"/>
          <w:szCs w:val="20"/>
        </w:rPr>
        <w:t>mg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. Esta cinza é analisada para a determinação de zinco de acordo com o método A.O.A.C. ou outro equivalente. </w:t>
      </w:r>
    </w:p>
    <w:p w:rsidR="006B5C5B" w:rsidRPr="00781D45" w:rsidRDefault="006B5C5B" w:rsidP="006B5C5B">
      <w:pPr>
        <w:ind w:left="90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4.1.4.2. Expressar o conteúdo de zinco na cinza como </w:t>
      </w:r>
      <w:proofErr w:type="spellStart"/>
      <w:r w:rsidRPr="00781D45">
        <w:rPr>
          <w:rFonts w:ascii="Arial" w:hAnsi="Arial" w:cs="Arial"/>
          <w:sz w:val="20"/>
          <w:szCs w:val="20"/>
        </w:rPr>
        <w:t>oleato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de zinco, e subtrair esta quantidade de resíduo solúvel em clorofórmio (R'), para obter o valor de resíduo solúvel em clorofórmio corrigido por zinco (</w:t>
      </w:r>
      <w:proofErr w:type="gramStart"/>
      <w:r w:rsidRPr="00781D45">
        <w:rPr>
          <w:rFonts w:ascii="Arial" w:hAnsi="Arial" w:cs="Arial"/>
          <w:sz w:val="20"/>
          <w:szCs w:val="20"/>
        </w:rPr>
        <w:t>R”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). Este R" substitui o R' nas equações anteriores.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4.2. Os limites de composição e de migração específica dos revestimentos poliméricos são os estabelecidos nas listas das Resoluções correspondentes em cada caso e suas modificações.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proofErr w:type="spellStart"/>
      <w:r w:rsidRPr="00781D45">
        <w:rPr>
          <w:rFonts w:ascii="Arial" w:hAnsi="Arial" w:cs="Arial"/>
          <w:sz w:val="20"/>
          <w:szCs w:val="20"/>
          <w:lang w:val="en-GB"/>
        </w:rPr>
        <w:t>Será</w:t>
      </w:r>
      <w:proofErr w:type="spellEnd"/>
      <w:r w:rsidRPr="00781D4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  <w:lang w:val="en-GB"/>
        </w:rPr>
        <w:t>utilizada</w:t>
      </w:r>
      <w:proofErr w:type="spellEnd"/>
      <w:r w:rsidRPr="00781D4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proofErr w:type="gramStart"/>
      <w:r w:rsidRPr="00781D45">
        <w:rPr>
          <w:rFonts w:ascii="Arial" w:hAnsi="Arial" w:cs="Arial"/>
          <w:sz w:val="20"/>
          <w:szCs w:val="20"/>
          <w:lang w:val="en-GB"/>
        </w:rPr>
        <w:t>como</w:t>
      </w:r>
      <w:proofErr w:type="spellEnd"/>
      <w:proofErr w:type="gramEnd"/>
      <w:r w:rsidRPr="00781D4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  <w:lang w:val="en-GB"/>
        </w:rPr>
        <w:t>metodologia</w:t>
      </w:r>
      <w:proofErr w:type="spellEnd"/>
      <w:r w:rsidRPr="00781D45">
        <w:rPr>
          <w:rFonts w:ascii="Arial" w:hAnsi="Arial" w:cs="Arial"/>
          <w:sz w:val="20"/>
          <w:szCs w:val="20"/>
          <w:lang w:val="en-GB"/>
        </w:rPr>
        <w:t xml:space="preserve"> de </w:t>
      </w:r>
      <w:proofErr w:type="spellStart"/>
      <w:r w:rsidRPr="00781D45">
        <w:rPr>
          <w:rFonts w:ascii="Arial" w:hAnsi="Arial" w:cs="Arial"/>
          <w:sz w:val="20"/>
          <w:szCs w:val="20"/>
          <w:lang w:val="en-GB"/>
        </w:rPr>
        <w:t>análise</w:t>
      </w:r>
      <w:proofErr w:type="spellEnd"/>
      <w:r w:rsidRPr="00781D4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81D45">
        <w:rPr>
          <w:rFonts w:ascii="Arial" w:hAnsi="Arial" w:cs="Arial"/>
          <w:sz w:val="20"/>
          <w:szCs w:val="20"/>
          <w:lang w:val="en-GB"/>
        </w:rPr>
        <w:t>para</w:t>
      </w:r>
      <w:proofErr w:type="spellEnd"/>
      <w:r w:rsidRPr="00781D45">
        <w:rPr>
          <w:rFonts w:ascii="Arial" w:hAnsi="Arial" w:cs="Arial"/>
          <w:sz w:val="20"/>
          <w:szCs w:val="20"/>
          <w:lang w:val="en-GB"/>
        </w:rPr>
        <w:t xml:space="preserve"> LC e LME: “</w:t>
      </w:r>
      <w:r w:rsidRPr="00781D45">
        <w:rPr>
          <w:rFonts w:ascii="Arial" w:hAnsi="Arial" w:cs="Arial"/>
          <w:i/>
          <w:iCs/>
          <w:sz w:val="20"/>
          <w:szCs w:val="20"/>
          <w:lang w:val="en-GB"/>
        </w:rPr>
        <w:t xml:space="preserve">Materials and articles in contact with foodstuffs - polymeric coating on metals substrates- Guide to selection of conditions and test methods for overall migration. </w:t>
      </w:r>
      <w:r w:rsidRPr="00781D45">
        <w:rPr>
          <w:rFonts w:ascii="Arial" w:hAnsi="Arial" w:cs="Arial"/>
          <w:i/>
          <w:iCs/>
          <w:sz w:val="20"/>
          <w:szCs w:val="20"/>
        </w:rPr>
        <w:t xml:space="preserve">DD CEN- TS 14235: 2002. </w:t>
      </w:r>
      <w:proofErr w:type="gramStart"/>
      <w:r w:rsidRPr="00781D45">
        <w:rPr>
          <w:rFonts w:ascii="Arial" w:hAnsi="Arial" w:cs="Arial"/>
          <w:i/>
          <w:iCs/>
          <w:sz w:val="20"/>
          <w:szCs w:val="20"/>
        </w:rPr>
        <w:t>BSI-British Standards</w:t>
      </w:r>
      <w:r w:rsidRPr="00781D45">
        <w:rPr>
          <w:rFonts w:ascii="Arial" w:hAnsi="Arial" w:cs="Arial"/>
          <w:sz w:val="20"/>
          <w:szCs w:val="20"/>
        </w:rPr>
        <w:t>”</w:t>
      </w:r>
      <w:proofErr w:type="gramEnd"/>
      <w:r w:rsidRPr="00781D45">
        <w:rPr>
          <w:rFonts w:ascii="Arial" w:hAnsi="Arial" w:cs="Arial"/>
          <w:sz w:val="20"/>
          <w:szCs w:val="20"/>
        </w:rPr>
        <w:t>.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4.3. As embalagens, revestimentos, utensílios, tampas e equipamentos metálicos, sem revestimento polimérico, devem cumprir com os limites de lubrificante especificados nos itens 3.5.2. </w:t>
      </w:r>
      <w:proofErr w:type="gramStart"/>
      <w:r w:rsidRPr="00781D45">
        <w:rPr>
          <w:rFonts w:ascii="Arial" w:hAnsi="Arial" w:cs="Arial"/>
          <w:sz w:val="20"/>
          <w:szCs w:val="20"/>
        </w:rPr>
        <w:t>e</w:t>
      </w:r>
      <w:proofErr w:type="gramEnd"/>
      <w:r w:rsidRPr="00781D45">
        <w:rPr>
          <w:rFonts w:ascii="Arial" w:hAnsi="Arial" w:cs="Arial"/>
          <w:sz w:val="20"/>
          <w:szCs w:val="20"/>
        </w:rPr>
        <w:t xml:space="preserve"> 3.5.3.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>4.4. Determinação da migração específica de metais em embalagens de folhas de flandres</w:t>
      </w:r>
      <w:r w:rsidRPr="00781D45">
        <w:rPr>
          <w:rFonts w:ascii="Arial" w:hAnsi="Arial" w:cs="Arial"/>
          <w:sz w:val="20"/>
          <w:szCs w:val="20"/>
        </w:rPr>
        <w:br/>
      </w:r>
      <w:r w:rsidRPr="00781D45">
        <w:rPr>
          <w:rFonts w:ascii="Arial" w:hAnsi="Arial" w:cs="Arial"/>
          <w:color w:val="000000"/>
          <w:sz w:val="20"/>
          <w:szCs w:val="20"/>
        </w:rPr>
        <w:t xml:space="preserve">4.4.1. </w:t>
      </w:r>
      <w:proofErr w:type="spellStart"/>
      <w:r w:rsidRPr="00781D45">
        <w:rPr>
          <w:rFonts w:ascii="Arial" w:hAnsi="Arial" w:cs="Arial"/>
          <w:color w:val="000000"/>
          <w:sz w:val="20"/>
          <w:szCs w:val="20"/>
        </w:rPr>
        <w:t>Simulantes</w:t>
      </w:r>
      <w:proofErr w:type="spellEnd"/>
      <w:r w:rsidRPr="00781D45">
        <w:rPr>
          <w:rFonts w:ascii="Arial" w:hAnsi="Arial" w:cs="Arial"/>
          <w:color w:val="000000"/>
          <w:sz w:val="20"/>
          <w:szCs w:val="20"/>
        </w:rPr>
        <w:t xml:space="preserve"> e preparação de amostra.</w:t>
      </w:r>
    </w:p>
    <w:p w:rsidR="006B5C5B" w:rsidRPr="00781D45" w:rsidRDefault="006B5C5B" w:rsidP="006B5C5B">
      <w:pPr>
        <w:ind w:left="540"/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Para a realização dos ensaios de migração específica de metais são classificados os alimentos e fixados os respectivos </w:t>
      </w:r>
      <w:proofErr w:type="spellStart"/>
      <w:r w:rsidRPr="00781D45">
        <w:rPr>
          <w:rFonts w:ascii="Arial" w:hAnsi="Arial" w:cs="Arial"/>
          <w:color w:val="000000"/>
          <w:sz w:val="20"/>
          <w:szCs w:val="20"/>
        </w:rPr>
        <w:t>simulantes</w:t>
      </w:r>
      <w:proofErr w:type="spellEnd"/>
      <w:r w:rsidRPr="00781D45">
        <w:rPr>
          <w:rFonts w:ascii="Arial" w:hAnsi="Arial" w:cs="Arial"/>
          <w:color w:val="000000"/>
          <w:sz w:val="20"/>
          <w:szCs w:val="20"/>
        </w:rPr>
        <w:t xml:space="preserve"> da seguinte forma: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Tipo A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Alimentos aquosos ácidos e não </w:t>
      </w:r>
      <w:proofErr w:type="gramStart"/>
      <w:r w:rsidRPr="00781D45">
        <w:rPr>
          <w:rFonts w:ascii="Arial" w:hAnsi="Arial" w:cs="Arial"/>
          <w:color w:val="000000"/>
          <w:sz w:val="20"/>
          <w:szCs w:val="20"/>
        </w:rPr>
        <w:t>ácidos, esterilizados</w:t>
      </w:r>
      <w:proofErr w:type="gramEnd"/>
      <w:r w:rsidRPr="00781D45">
        <w:rPr>
          <w:rFonts w:ascii="Arial" w:hAnsi="Arial" w:cs="Arial"/>
          <w:color w:val="000000"/>
          <w:sz w:val="20"/>
          <w:szCs w:val="20"/>
        </w:rPr>
        <w:t xml:space="preserve"> na embalagem por ação do calor, que podem conter sal e/ou açúcar e incluir emulsões óleo/água, ou baixo teor de gorduras: Estes produtos devem ser ensaiados com uma solução aquosa contendo 3% de cloreto de sódio, 10% de sacarose e 1% de ácido tartárico, com a que se encherá a embalagem. Deve-se manter a embalagem fechada hermeticamente, contendo a solução em banho de água por 2 horas a 100ºC ou em autoclave durante 30 minutos a 120ºC.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Tipo B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Alimentos de composição similar aos do Tipo A, que não sofrem tratamento térmico. Estes alimentos devem ser ensaiados com o mesmo </w:t>
      </w:r>
      <w:proofErr w:type="spellStart"/>
      <w:r w:rsidRPr="00781D45">
        <w:rPr>
          <w:rFonts w:ascii="Arial" w:hAnsi="Arial" w:cs="Arial"/>
          <w:color w:val="000000"/>
          <w:sz w:val="20"/>
          <w:szCs w:val="20"/>
        </w:rPr>
        <w:t>simulante</w:t>
      </w:r>
      <w:proofErr w:type="spellEnd"/>
      <w:r w:rsidRPr="00781D45">
        <w:rPr>
          <w:rFonts w:ascii="Arial" w:hAnsi="Arial" w:cs="Arial"/>
          <w:color w:val="000000"/>
          <w:sz w:val="20"/>
          <w:szCs w:val="20"/>
        </w:rPr>
        <w:t xml:space="preserve"> aos do tipo A, mantendo as embalagens durante 24 horas a 80ºC.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Tipo C </w:t>
      </w:r>
    </w:p>
    <w:p w:rsidR="006B5C5B" w:rsidRPr="00781D45" w:rsidRDefault="006B5C5B" w:rsidP="006B5C5B">
      <w:pPr>
        <w:jc w:val="both"/>
        <w:divId w:val="204878774"/>
        <w:rPr>
          <w:rFonts w:ascii="Arial" w:hAnsi="Arial" w:cs="Arial"/>
          <w:color w:val="000000"/>
          <w:sz w:val="20"/>
          <w:szCs w:val="20"/>
        </w:rPr>
      </w:pPr>
      <w:r w:rsidRPr="00781D45">
        <w:rPr>
          <w:rFonts w:ascii="Arial" w:hAnsi="Arial" w:cs="Arial"/>
          <w:color w:val="000000"/>
          <w:sz w:val="20"/>
          <w:szCs w:val="20"/>
        </w:rPr>
        <w:t xml:space="preserve">Alimentos (bebidas) com um conteúdo de álcool superior a 4%. Estes produtos devem ser ensaiados com uma solução aquosa de etanol a 8%, contendo 0,5% de ácido tartárico, mantendo a embalagem durante 48 horas a 40ºC. </w:t>
      </w:r>
    </w:p>
    <w:p w:rsidR="006B5C5B" w:rsidRPr="00781D45" w:rsidRDefault="006B5C5B" w:rsidP="006B5C5B">
      <w:pPr>
        <w:ind w:left="54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4.4.2 Em todos os casos o espaço livre bruto da embalagem no ensaio não deve ser superior a 6-7% de seu volume total. Deverá ser efetuado um fechamento hermético da embalagem, na ausência de ar, para o qual poderá ser utilizado o acondicionamento com a solução aquecida, a remoção do ar por meios mecânicos, a </w:t>
      </w:r>
      <w:proofErr w:type="spellStart"/>
      <w:r w:rsidRPr="00781D45">
        <w:rPr>
          <w:rFonts w:ascii="Arial" w:hAnsi="Arial" w:cs="Arial"/>
          <w:sz w:val="20"/>
          <w:szCs w:val="20"/>
        </w:rPr>
        <w:t>inertização</w:t>
      </w:r>
      <w:proofErr w:type="spellEnd"/>
      <w:r w:rsidRPr="00781D45">
        <w:rPr>
          <w:rFonts w:ascii="Arial" w:hAnsi="Arial" w:cs="Arial"/>
          <w:sz w:val="20"/>
          <w:szCs w:val="20"/>
        </w:rPr>
        <w:t xml:space="preserve"> ou outro método que produza o mesmo efeito. </w:t>
      </w:r>
    </w:p>
    <w:p w:rsidR="006B5C5B" w:rsidRPr="00781D45" w:rsidRDefault="006B5C5B" w:rsidP="006B5C5B">
      <w:pPr>
        <w:ind w:left="540"/>
        <w:jc w:val="both"/>
        <w:divId w:val="204878774"/>
        <w:rPr>
          <w:rFonts w:ascii="Arial" w:hAnsi="Arial" w:cs="Arial"/>
          <w:sz w:val="20"/>
          <w:szCs w:val="20"/>
        </w:rPr>
      </w:pPr>
      <w:r w:rsidRPr="00781D45">
        <w:rPr>
          <w:rFonts w:ascii="Arial" w:hAnsi="Arial" w:cs="Arial"/>
          <w:sz w:val="20"/>
          <w:szCs w:val="20"/>
        </w:rPr>
        <w:t xml:space="preserve">4.4.3 No caso de ensaio de tampas para embalagens de vidro, deve-se adotar o mesmo procedimento, utilizando-se a embalagem correspondente em posição invertida de modo a permitir o contato do material em ensaio com o </w:t>
      </w:r>
      <w:proofErr w:type="spellStart"/>
      <w:r w:rsidRPr="00781D45">
        <w:rPr>
          <w:rFonts w:ascii="Arial" w:hAnsi="Arial" w:cs="Arial"/>
          <w:sz w:val="20"/>
          <w:szCs w:val="20"/>
        </w:rPr>
        <w:t>simulante</w:t>
      </w:r>
      <w:proofErr w:type="spellEnd"/>
      <w:r w:rsidRPr="00781D45">
        <w:rPr>
          <w:rFonts w:ascii="Arial" w:hAnsi="Arial" w:cs="Arial"/>
          <w:sz w:val="20"/>
          <w:szCs w:val="20"/>
        </w:rPr>
        <w:t>. Neste caso, quando se tratar de alimentos tipo A, as condições de extração devem ser em banho de água por 2 horas a 100ºC.</w:t>
      </w:r>
    </w:p>
    <w:p w:rsidR="00A53197" w:rsidRDefault="00A53197">
      <w:pPr>
        <w:spacing w:before="0" w:beforeAutospacing="0" w:after="0" w:afterAutospacing="0"/>
        <w:jc w:val="center"/>
        <w:divId w:val="204878779"/>
        <w:rPr>
          <w:rFonts w:ascii="Verdana" w:hAnsi="Verdana"/>
          <w:b/>
          <w:bCs/>
          <w:color w:val="003366"/>
          <w:sz w:val="17"/>
          <w:szCs w:val="17"/>
        </w:rPr>
      </w:pPr>
      <w:hyperlink r:id="rId10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6B5C5B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B5C5B"/>
    <w:pPr>
      <w:tabs>
        <w:tab w:val="center" w:pos="4419"/>
        <w:tab w:val="right" w:pos="8838"/>
      </w:tabs>
      <w:spacing w:before="0" w:beforeAutospacing="0" w:after="0" w:afterAutospacing="0"/>
    </w:pPr>
    <w:rPr>
      <w:rFonts w:ascii="Arial" w:hAnsi="Arial" w:cs="Arial"/>
      <w:sz w:val="20"/>
      <w:szCs w:val="20"/>
      <w:lang w:eastAsia="es-ES"/>
    </w:rPr>
  </w:style>
  <w:style w:type="character" w:customStyle="1" w:styleId="CabealhoChar">
    <w:name w:val="Cabeçalho Char"/>
    <w:basedOn w:val="Fontepargpadro"/>
    <w:link w:val="Cabealho"/>
    <w:uiPriority w:val="99"/>
    <w:rsid w:val="006B5C5B"/>
    <w:rPr>
      <w:rFonts w:ascii="Arial" w:eastAsiaTheme="minorEastAsia" w:hAnsi="Arial" w:cs="Arial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B5C5B"/>
    <w:pPr>
      <w:tabs>
        <w:tab w:val="center" w:pos="4419"/>
        <w:tab w:val="right" w:pos="8838"/>
      </w:tabs>
      <w:spacing w:before="0" w:beforeAutospacing="0" w:after="0" w:afterAutospacing="0"/>
    </w:pPr>
    <w:rPr>
      <w:rFonts w:ascii="Arial" w:hAnsi="Arial" w:cs="Arial"/>
      <w:sz w:val="20"/>
      <w:szCs w:val="20"/>
      <w:lang w:eastAsia="es-ES"/>
    </w:rPr>
  </w:style>
  <w:style w:type="character" w:customStyle="1" w:styleId="CabealhoChar">
    <w:name w:val="Cabeçalho Char"/>
    <w:basedOn w:val="Fontepargpadro"/>
    <w:link w:val="Cabealho"/>
    <w:uiPriority w:val="99"/>
    <w:rsid w:val="006B5C5B"/>
    <w:rPr>
      <w:rFonts w:ascii="Arial" w:eastAsiaTheme="minorEastAsia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877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77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877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4878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7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http://www.saude.gov.br/saudeleg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BB8F3-DD15-4A6A-8984-CEDE624D14E3}"/>
</file>

<file path=customXml/itemProps2.xml><?xml version="1.0" encoding="utf-8"?>
<ds:datastoreItem xmlns:ds="http://schemas.openxmlformats.org/officeDocument/2006/customXml" ds:itemID="{CC239942-8ECB-4625-A062-D89A27829B53}"/>
</file>

<file path=customXml/itemProps3.xml><?xml version="1.0" encoding="utf-8"?>
<ds:datastoreItem xmlns:ds="http://schemas.openxmlformats.org/officeDocument/2006/customXml" ds:itemID="{35B99BF5-2AF4-4834-AF99-97B1BEF94F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3318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Talita Ramos Ribeiro</cp:lastModifiedBy>
  <cp:revision>2</cp:revision>
  <cp:lastPrinted>2012-05-16T13:46:00Z</cp:lastPrinted>
  <dcterms:created xsi:type="dcterms:W3CDTF">2012-10-08T13:43:00Z</dcterms:created>
  <dcterms:modified xsi:type="dcterms:W3CDTF">2012-10-08T13:43:00Z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