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144" w:rsidRPr="00650D9D" w:rsidRDefault="00A94144" w:rsidP="00D4075F">
      <w:pPr>
        <w:spacing w:before="0" w:beforeAutospacing="0" w:after="200" w:afterAutospacing="0"/>
        <w:ind w:left="-284" w:right="-285"/>
        <w:jc w:val="center"/>
        <w:divId w:val="1418092106"/>
        <w:rPr>
          <w:b/>
          <w:bCs/>
          <w:sz w:val="23"/>
          <w:szCs w:val="23"/>
        </w:rPr>
      </w:pPr>
      <w:bookmarkStart w:id="0" w:name="_GoBack"/>
      <w:bookmarkEnd w:id="0"/>
      <w:r w:rsidRPr="00650D9D">
        <w:rPr>
          <w:b/>
          <w:bCs/>
          <w:sz w:val="23"/>
          <w:szCs w:val="23"/>
        </w:rPr>
        <w:t>RESOLUÇÃO DA DIRETORIA COLEGIADA - RDC Nº 20, DE 13 DE MAIO DE 2015</w:t>
      </w:r>
    </w:p>
    <w:p w:rsidR="00D4075F" w:rsidRPr="00650D9D" w:rsidRDefault="00D4075F" w:rsidP="00D4075F">
      <w:pPr>
        <w:spacing w:before="0" w:beforeAutospacing="0" w:after="200" w:afterAutospacing="0"/>
        <w:ind w:right="-1"/>
        <w:jc w:val="center"/>
        <w:divId w:val="1418092106"/>
        <w:rPr>
          <w:b/>
          <w:bCs/>
          <w:color w:val="0000FF"/>
          <w:szCs w:val="23"/>
        </w:rPr>
      </w:pPr>
      <w:r w:rsidRPr="00650D9D">
        <w:rPr>
          <w:b/>
          <w:bCs/>
          <w:color w:val="0000FF"/>
          <w:szCs w:val="23"/>
        </w:rPr>
        <w:t>(Publicada no DOU nº 90, de 14 de maio de 2015)</w:t>
      </w:r>
    </w:p>
    <w:p w:rsidR="00650D9D" w:rsidRPr="00650D9D" w:rsidRDefault="00650D9D" w:rsidP="00D4075F">
      <w:pPr>
        <w:spacing w:before="0" w:beforeAutospacing="0" w:after="200" w:afterAutospacing="0"/>
        <w:ind w:right="-1"/>
        <w:jc w:val="center"/>
        <w:divId w:val="1418092106"/>
        <w:rPr>
          <w:b/>
          <w:bCs/>
          <w:color w:val="0000FF"/>
          <w:szCs w:val="23"/>
        </w:rPr>
      </w:pPr>
      <w:r w:rsidRPr="00650D9D">
        <w:rPr>
          <w:b/>
          <w:bCs/>
          <w:color w:val="0000FF"/>
          <w:szCs w:val="23"/>
        </w:rPr>
        <w:t>(Revogada pela Resolução-RDC nº 200, de 26 de dezembro de 2017</w:t>
      </w:r>
      <w:r w:rsidR="00AC56BA">
        <w:rPr>
          <w:b/>
          <w:bCs/>
          <w:color w:val="0000FF"/>
          <w:szCs w:val="23"/>
        </w:rPr>
        <w:t>, republicada no DOU nº 20, de 29 de janeiro de 2018</w:t>
      </w:r>
      <w:r w:rsidRPr="00650D9D">
        <w:rPr>
          <w:b/>
          <w:bCs/>
          <w:color w:val="0000FF"/>
          <w:szCs w:val="23"/>
        </w:rPr>
        <w:t>)</w:t>
      </w:r>
    </w:p>
    <w:p w:rsidR="00A94144" w:rsidRPr="00650D9D" w:rsidRDefault="00A94144" w:rsidP="00D4075F">
      <w:pPr>
        <w:autoSpaceDE w:val="0"/>
        <w:autoSpaceDN w:val="0"/>
        <w:adjustRightInd w:val="0"/>
        <w:spacing w:before="0" w:beforeAutospacing="0" w:after="200" w:afterAutospacing="0"/>
        <w:ind w:left="3969"/>
        <w:jc w:val="both"/>
        <w:divId w:val="1418092106"/>
        <w:rPr>
          <w:bCs/>
          <w:strike/>
        </w:rPr>
      </w:pPr>
      <w:r w:rsidRPr="00650D9D">
        <w:rPr>
          <w:bCs/>
          <w:strike/>
        </w:rPr>
        <w:t>Altera a Resolução-RDC nº 60, de 10 de outubro de 2014, que dispõe sobre os critérios para a concessão e renovação do registro de medicamentos com princípios ativos sintéticos e semissintéticos, classificados como novos, genéricos e similares.</w:t>
      </w:r>
    </w:p>
    <w:p w:rsidR="00A94144" w:rsidRPr="00650D9D" w:rsidRDefault="00A94144" w:rsidP="00D4075F">
      <w:pPr>
        <w:spacing w:before="0" w:beforeAutospacing="0" w:after="200" w:afterAutospacing="0"/>
        <w:ind w:firstLine="567"/>
        <w:jc w:val="both"/>
        <w:divId w:val="1418092106"/>
        <w:rPr>
          <w:bCs/>
          <w:strike/>
        </w:rPr>
      </w:pPr>
      <w:r w:rsidRPr="00650D9D">
        <w:rPr>
          <w:b/>
          <w:bCs/>
          <w:strike/>
        </w:rPr>
        <w:t>A Diretoria Colegiada da Agência Nacional de Vigilância Sanitária</w:t>
      </w:r>
      <w:r w:rsidRPr="00650D9D">
        <w:rPr>
          <w:bCs/>
          <w:strike/>
        </w:rPr>
        <w:t>, no uso das atribuições que lhe confere os incisos III e IV, do art. 15 da Lei n.º 9.782, de 26 de janeiro de 1999, o inciso V, e §§ 1° e 3° do art. 5 do Regimento Interno aprovado nos termos do Anexo I da Portaria nº 650 da ANVISA, de 29 de maio de 2014, tendo em vista os incisos III, do art. 2º, III e IV, do art. 7º da Lei nº 9.782, de 1999, o Programa de Melhoria do Processo de Regulamentação da Agência, instituído por meio da Portaria nº 422, de 16 de abril de 2008, em reunião realizada em 07 de maio de 2015, adota a seguinte Resolução da Diretoria Colegiada e eu, Diretor- Presidente Substituto, determino a sua publicação:</w:t>
      </w:r>
    </w:p>
    <w:p w:rsidR="00A94144" w:rsidRPr="00650D9D" w:rsidRDefault="00A94144" w:rsidP="00D4075F">
      <w:pPr>
        <w:spacing w:before="0" w:beforeAutospacing="0" w:after="200" w:afterAutospacing="0"/>
        <w:ind w:firstLine="567"/>
        <w:jc w:val="both"/>
        <w:divId w:val="1418092106"/>
        <w:rPr>
          <w:strike/>
          <w:color w:val="000000"/>
        </w:rPr>
      </w:pPr>
      <w:r w:rsidRPr="00650D9D">
        <w:rPr>
          <w:strike/>
          <w:color w:val="000000"/>
        </w:rPr>
        <w:t>Art. 1</w:t>
      </w:r>
      <w:r w:rsidRPr="00650D9D">
        <w:rPr>
          <w:strike/>
          <w:color w:val="000000"/>
          <w:u w:val="single"/>
          <w:vertAlign w:val="superscript"/>
        </w:rPr>
        <w:t>o</w:t>
      </w:r>
      <w:r w:rsidRPr="00650D9D">
        <w:rPr>
          <w:strike/>
          <w:color w:val="000000"/>
        </w:rPr>
        <w:t xml:space="preserve"> A Resolução-RDC nº 60, de 10 de outubro de 2014, passa a vigorar com as seguintes alterações:</w:t>
      </w:r>
    </w:p>
    <w:p w:rsidR="00D4075F" w:rsidRPr="00650D9D" w:rsidRDefault="00A94144" w:rsidP="00D4075F">
      <w:pPr>
        <w:autoSpaceDE w:val="0"/>
        <w:autoSpaceDN w:val="0"/>
        <w:adjustRightInd w:val="0"/>
        <w:spacing w:before="0" w:beforeAutospacing="0" w:after="200" w:afterAutospacing="0"/>
        <w:ind w:firstLine="567"/>
        <w:jc w:val="both"/>
        <w:divId w:val="1418092106"/>
        <w:rPr>
          <w:bCs/>
          <w:strike/>
        </w:rPr>
      </w:pPr>
      <w:r w:rsidRPr="00650D9D">
        <w:rPr>
          <w:bCs/>
          <w:strike/>
        </w:rPr>
        <w:t>“Art. 4º .................................................................................................................</w:t>
      </w:r>
    </w:p>
    <w:p w:rsidR="00A94144" w:rsidRPr="00650D9D" w:rsidRDefault="00A94144" w:rsidP="00D4075F">
      <w:pPr>
        <w:autoSpaceDE w:val="0"/>
        <w:autoSpaceDN w:val="0"/>
        <w:adjustRightInd w:val="0"/>
        <w:spacing w:before="0" w:beforeAutospacing="0" w:after="200" w:afterAutospacing="0"/>
        <w:ind w:firstLine="567"/>
        <w:jc w:val="both"/>
        <w:divId w:val="1418092106"/>
        <w:rPr>
          <w:strike/>
        </w:rPr>
      </w:pPr>
      <w:r w:rsidRPr="00650D9D">
        <w:rPr>
          <w:strike/>
        </w:rPr>
        <w:t xml:space="preserve">VI - Certificado de boas práticas de fabricação (CBPF) - documento emitido pela Anvisa atestando que determinado estabelecimento cumpre com as Boas Práticas de Fabricação dispostas na legislação sanitária em vigor (Resolução-RDC nº 39, de 14/08/2013); </w:t>
      </w:r>
    </w:p>
    <w:p w:rsidR="00D4075F" w:rsidRPr="00650D9D" w:rsidRDefault="00A94144" w:rsidP="00D4075F">
      <w:pPr>
        <w:spacing w:before="0" w:beforeAutospacing="0" w:after="200" w:afterAutospacing="0"/>
        <w:ind w:firstLine="567"/>
        <w:jc w:val="both"/>
        <w:divId w:val="1418092106"/>
        <w:rPr>
          <w:strike/>
        </w:rPr>
      </w:pPr>
      <w:r w:rsidRPr="00650D9D">
        <w:rPr>
          <w:strike/>
        </w:rPr>
        <w:t xml:space="preserve">......................................................................................................................... </w:t>
      </w:r>
    </w:p>
    <w:p w:rsidR="00A94144" w:rsidRPr="00650D9D" w:rsidRDefault="00A94144" w:rsidP="00D4075F">
      <w:pPr>
        <w:spacing w:before="0" w:beforeAutospacing="0" w:after="200" w:afterAutospacing="0"/>
        <w:ind w:firstLine="567"/>
        <w:jc w:val="both"/>
        <w:divId w:val="1418092106"/>
        <w:rPr>
          <w:strike/>
        </w:rPr>
      </w:pPr>
      <w:r w:rsidRPr="00650D9D">
        <w:rPr>
          <w:strike/>
        </w:rPr>
        <w:t>XIX - inovação incremental - desenvolvimento de melhorias em relação a um medicamento já registrado no país;</w:t>
      </w:r>
    </w:p>
    <w:p w:rsidR="00A94144" w:rsidRPr="00650D9D" w:rsidRDefault="00A94144" w:rsidP="00D4075F">
      <w:pPr>
        <w:spacing w:before="0" w:beforeAutospacing="0" w:after="200" w:afterAutospacing="0"/>
        <w:ind w:right="118" w:firstLine="567"/>
        <w:jc w:val="both"/>
        <w:divId w:val="1418092106"/>
        <w:rPr>
          <w:strike/>
        </w:rPr>
      </w:pPr>
      <w:r w:rsidRPr="00650D9D">
        <w:rPr>
          <w:strike/>
        </w:rPr>
        <w:t>...................................................................................................................” (NR)</w:t>
      </w:r>
    </w:p>
    <w:p w:rsidR="00D4075F" w:rsidRPr="00650D9D" w:rsidRDefault="00A94144" w:rsidP="00D4075F">
      <w:pPr>
        <w:shd w:val="clear" w:color="auto" w:fill="FFFFFF"/>
        <w:spacing w:before="0" w:beforeAutospacing="0" w:after="200" w:afterAutospacing="0"/>
        <w:ind w:right="140" w:firstLine="567"/>
        <w:jc w:val="both"/>
        <w:divId w:val="1418092106"/>
        <w:rPr>
          <w:strike/>
        </w:rPr>
      </w:pPr>
      <w:r w:rsidRPr="00650D9D">
        <w:rPr>
          <w:strike/>
        </w:rPr>
        <w:t>“Art. 5º ............................................................................................................</w:t>
      </w:r>
    </w:p>
    <w:p w:rsidR="00A94144" w:rsidRPr="00650D9D" w:rsidRDefault="00A94144" w:rsidP="00D4075F">
      <w:pPr>
        <w:shd w:val="clear" w:color="auto" w:fill="FFFFFF"/>
        <w:spacing w:before="0" w:beforeAutospacing="0" w:after="200" w:afterAutospacing="0"/>
        <w:ind w:right="140" w:firstLine="567"/>
        <w:jc w:val="both"/>
        <w:divId w:val="1418092106"/>
        <w:rPr>
          <w:strike/>
        </w:rPr>
      </w:pPr>
      <w:r w:rsidRPr="00650D9D">
        <w:rPr>
          <w:strike/>
        </w:rPr>
        <w:t xml:space="preserve"> § 2º O solicitante do registro deverá adicionar à documentação impressa, mídia eletrônica contendo arquivo em formato </w:t>
      </w:r>
      <w:proofErr w:type="spellStart"/>
      <w:r w:rsidRPr="00650D9D">
        <w:rPr>
          <w:strike/>
        </w:rPr>
        <w:t>pdf</w:t>
      </w:r>
      <w:proofErr w:type="spellEnd"/>
      <w:r w:rsidRPr="00650D9D">
        <w:rPr>
          <w:strike/>
        </w:rPr>
        <w:t>, que permita a realização de busca textual e cópia, com todos os requisitos do caput deste artigo.” (NR)</w:t>
      </w:r>
    </w:p>
    <w:p w:rsidR="00D4075F" w:rsidRPr="00650D9D" w:rsidRDefault="00A94144" w:rsidP="00D4075F">
      <w:pPr>
        <w:spacing w:before="0" w:beforeAutospacing="0" w:after="200" w:afterAutospacing="0"/>
        <w:ind w:right="-24" w:firstLine="567"/>
        <w:jc w:val="both"/>
        <w:divId w:val="1418092106"/>
        <w:rPr>
          <w:strike/>
        </w:rPr>
      </w:pPr>
      <w:r w:rsidRPr="00650D9D">
        <w:rPr>
          <w:strike/>
        </w:rPr>
        <w:lastRenderedPageBreak/>
        <w:t xml:space="preserve">“Art.20 ................................................................................................................. </w:t>
      </w:r>
    </w:p>
    <w:p w:rsidR="00A94144" w:rsidRPr="00650D9D" w:rsidRDefault="00A94144" w:rsidP="00D4075F">
      <w:pPr>
        <w:spacing w:before="0" w:beforeAutospacing="0" w:after="200" w:afterAutospacing="0"/>
        <w:ind w:right="-24" w:firstLine="567"/>
        <w:jc w:val="both"/>
        <w:divId w:val="1418092106"/>
        <w:rPr>
          <w:strike/>
        </w:rPr>
      </w:pPr>
      <w:r w:rsidRPr="00650D9D">
        <w:rPr>
          <w:strike/>
        </w:rPr>
        <w:t>“§ 2º Para os casos em que a Anvisa e a autoridade reguladora</w:t>
      </w:r>
      <w:r w:rsidRPr="00650D9D">
        <w:rPr>
          <w:strike/>
          <w:color w:val="FF0000"/>
        </w:rPr>
        <w:t xml:space="preserve"> </w:t>
      </w:r>
      <w:r w:rsidRPr="00650D9D">
        <w:rPr>
          <w:strike/>
        </w:rPr>
        <w:t xml:space="preserve">competente do país </w:t>
      </w:r>
      <w:r w:rsidRPr="00650D9D">
        <w:rPr>
          <w:strike/>
          <w:color w:val="FF0000"/>
        </w:rPr>
        <w:t xml:space="preserve"> </w:t>
      </w:r>
      <w:r w:rsidRPr="00650D9D">
        <w:rPr>
          <w:strike/>
        </w:rPr>
        <w:t>fabricante do medicamento em questão concluírem pela equivalência das medidas e controles aplicados para a comprovação de boas práticas de fabricação, poderá ser apresentado documento de comprovação de boas práticas emitido pelo órgão responsável pela Vigilância Sanitária do país fabricante.</w:t>
      </w:r>
    </w:p>
    <w:p w:rsidR="00A94144" w:rsidRPr="00650D9D" w:rsidRDefault="00A94144" w:rsidP="00D4075F">
      <w:pPr>
        <w:spacing w:before="0" w:beforeAutospacing="0" w:after="200" w:afterAutospacing="0"/>
        <w:ind w:right="-24" w:firstLine="567"/>
        <w:jc w:val="both"/>
        <w:divId w:val="1418092106"/>
        <w:rPr>
          <w:strike/>
        </w:rPr>
      </w:pPr>
      <w:r w:rsidRPr="00650D9D">
        <w:rPr>
          <w:strike/>
        </w:rPr>
        <w:t>....................................................................................................................” (NR)</w:t>
      </w:r>
    </w:p>
    <w:p w:rsidR="00D4075F" w:rsidRPr="00650D9D" w:rsidRDefault="00A94144" w:rsidP="00D4075F">
      <w:pPr>
        <w:spacing w:before="0" w:beforeAutospacing="0" w:after="200" w:afterAutospacing="0"/>
        <w:ind w:right="-24" w:firstLine="567"/>
        <w:jc w:val="both"/>
        <w:divId w:val="1418092106"/>
        <w:rPr>
          <w:strike/>
        </w:rPr>
      </w:pPr>
      <w:r w:rsidRPr="00650D9D">
        <w:rPr>
          <w:strike/>
        </w:rPr>
        <w:t>“Art. 21 ..........................................................................</w:t>
      </w:r>
      <w:r w:rsidR="00D4075F" w:rsidRPr="00650D9D">
        <w:rPr>
          <w:strike/>
        </w:rPr>
        <w:t>............................</w:t>
      </w:r>
      <w:r w:rsidRPr="00650D9D">
        <w:rPr>
          <w:strike/>
        </w:rPr>
        <w:t xml:space="preserve">.......... </w:t>
      </w:r>
    </w:p>
    <w:p w:rsidR="00A94144" w:rsidRPr="00650D9D" w:rsidRDefault="00D4075F" w:rsidP="00D4075F">
      <w:pPr>
        <w:spacing w:before="0" w:beforeAutospacing="0" w:after="200" w:afterAutospacing="0"/>
        <w:ind w:right="-24" w:firstLine="567"/>
        <w:jc w:val="both"/>
        <w:divId w:val="1418092106"/>
        <w:rPr>
          <w:strike/>
        </w:rPr>
      </w:pPr>
      <w:r w:rsidRPr="00650D9D">
        <w:rPr>
          <w:strike/>
        </w:rPr>
        <w:t>“</w:t>
      </w:r>
      <w:r w:rsidR="00A94144" w:rsidRPr="00650D9D">
        <w:rPr>
          <w:strike/>
        </w:rPr>
        <w:t>Parágrafo único. Para medicamento novo, deverão ser apresentadas, quando disponíveis, as informações sobre eventuais compromissos assumidos junto a outras agências quanto à realização de estudos complementares de segurança clínica, eficácia clínica, farmacologia clínica ou toxicologia não-clínica. A não apresentação destas informações não impedirá a submissão do pedido de registro.” (NR)</w:t>
      </w:r>
    </w:p>
    <w:p w:rsidR="00A94144" w:rsidRPr="00650D9D" w:rsidRDefault="00A94144" w:rsidP="00D4075F">
      <w:pPr>
        <w:spacing w:before="0" w:beforeAutospacing="0" w:after="200" w:afterAutospacing="0"/>
        <w:ind w:right="-24" w:firstLine="567"/>
        <w:jc w:val="both"/>
        <w:divId w:val="1418092106"/>
        <w:rPr>
          <w:strike/>
        </w:rPr>
      </w:pPr>
      <w:r w:rsidRPr="00650D9D">
        <w:rPr>
          <w:strike/>
        </w:rPr>
        <w:t>“Art.22 .................................................................................................................</w:t>
      </w:r>
    </w:p>
    <w:p w:rsidR="00A94144" w:rsidRPr="00650D9D" w:rsidRDefault="00A94144" w:rsidP="00D4075F">
      <w:pPr>
        <w:spacing w:before="0" w:beforeAutospacing="0" w:after="200" w:afterAutospacing="0"/>
        <w:ind w:right="-24" w:firstLine="567"/>
        <w:jc w:val="both"/>
        <w:divId w:val="1418092106"/>
        <w:rPr>
          <w:strike/>
        </w:rPr>
      </w:pPr>
      <w:r w:rsidRPr="00650D9D">
        <w:rPr>
          <w:strike/>
        </w:rPr>
        <w:t>III- .........................................................................................................................</w:t>
      </w:r>
    </w:p>
    <w:p w:rsidR="00A94144" w:rsidRPr="00650D9D" w:rsidRDefault="00A94144" w:rsidP="00D4075F">
      <w:pPr>
        <w:spacing w:before="0" w:beforeAutospacing="0" w:after="200" w:afterAutospacing="0"/>
        <w:ind w:right="-24" w:firstLine="567"/>
        <w:jc w:val="both"/>
        <w:divId w:val="1418092106"/>
        <w:rPr>
          <w:strike/>
        </w:rPr>
      </w:pPr>
      <w:r w:rsidRPr="00650D9D">
        <w:rPr>
          <w:strike/>
        </w:rPr>
        <w:t>§ 6º Em cumprimento à alínea a) do inciso III na ausência da DCB para algum excipiente utilizado na formulação apresentar o protocolo de solicitação de inclusão na lista da DCB ou a justificativa de ausência emitida pela Farmacopeia Brasileira.” (NR)</w:t>
      </w:r>
    </w:p>
    <w:p w:rsidR="00A94144" w:rsidRPr="00650D9D" w:rsidRDefault="00A94144" w:rsidP="00D4075F">
      <w:pPr>
        <w:spacing w:before="0" w:beforeAutospacing="0" w:after="200" w:afterAutospacing="0"/>
        <w:ind w:right="-24" w:firstLine="567"/>
        <w:jc w:val="both"/>
        <w:divId w:val="1418092106"/>
        <w:rPr>
          <w:strike/>
        </w:rPr>
      </w:pPr>
      <w:r w:rsidRPr="00650D9D">
        <w:rPr>
          <w:strike/>
        </w:rPr>
        <w:t xml:space="preserve">“Art. 36 A petição de registro descrita nesta seção, além da documentação citada na Seção III do Capítulo III, deverá estar acompanhada de: </w:t>
      </w:r>
    </w:p>
    <w:p w:rsidR="00A94144" w:rsidRPr="00650D9D" w:rsidRDefault="00A94144" w:rsidP="00D4075F">
      <w:pPr>
        <w:spacing w:before="0" w:beforeAutospacing="0" w:after="200" w:afterAutospacing="0"/>
        <w:ind w:right="-24" w:firstLine="567"/>
        <w:jc w:val="both"/>
        <w:divId w:val="1418092106"/>
        <w:rPr>
          <w:strike/>
        </w:rPr>
      </w:pPr>
      <w:r w:rsidRPr="00650D9D">
        <w:rPr>
          <w:strike/>
        </w:rPr>
        <w:t>I - justificativa técnica;</w:t>
      </w:r>
    </w:p>
    <w:p w:rsidR="00A94144" w:rsidRPr="00650D9D" w:rsidRDefault="00A94144" w:rsidP="00D4075F">
      <w:pPr>
        <w:spacing w:before="0" w:beforeAutospacing="0" w:after="200" w:afterAutospacing="0"/>
        <w:ind w:right="-24" w:firstLine="567"/>
        <w:jc w:val="both"/>
        <w:divId w:val="1418092106"/>
        <w:rPr>
          <w:strike/>
        </w:rPr>
      </w:pPr>
      <w:r w:rsidRPr="00650D9D">
        <w:rPr>
          <w:strike/>
        </w:rPr>
        <w:t>.......................................................................................................................” (NR)</w:t>
      </w:r>
    </w:p>
    <w:p w:rsidR="00A94144" w:rsidRPr="00650D9D" w:rsidRDefault="00A94144" w:rsidP="00D4075F">
      <w:pPr>
        <w:spacing w:before="0" w:beforeAutospacing="0" w:after="200" w:afterAutospacing="0"/>
        <w:ind w:right="-24" w:firstLine="567"/>
        <w:jc w:val="both"/>
        <w:divId w:val="1418092106"/>
        <w:rPr>
          <w:strike/>
        </w:rPr>
      </w:pPr>
      <w:r w:rsidRPr="00650D9D">
        <w:rPr>
          <w:strike/>
        </w:rPr>
        <w:t>“Art. 38 ................................................................................................................</w:t>
      </w:r>
    </w:p>
    <w:p w:rsidR="00A94144" w:rsidRPr="00650D9D" w:rsidRDefault="00A94144" w:rsidP="00D4075F">
      <w:pPr>
        <w:spacing w:before="0" w:beforeAutospacing="0" w:after="200" w:afterAutospacing="0"/>
        <w:ind w:right="-24" w:firstLine="567"/>
        <w:jc w:val="both"/>
        <w:divId w:val="1418092106"/>
        <w:rPr>
          <w:strike/>
        </w:rPr>
      </w:pPr>
      <w:r w:rsidRPr="00650D9D">
        <w:rPr>
          <w:strike/>
        </w:rPr>
        <w:t>I - justificativa técnica;</w:t>
      </w:r>
    </w:p>
    <w:p w:rsidR="00A94144" w:rsidRPr="00650D9D" w:rsidRDefault="00A94144" w:rsidP="00D4075F">
      <w:pPr>
        <w:spacing w:before="0" w:beforeAutospacing="0" w:after="200" w:afterAutospacing="0"/>
        <w:ind w:right="-24" w:firstLine="567"/>
        <w:jc w:val="both"/>
        <w:divId w:val="1418092106"/>
        <w:rPr>
          <w:strike/>
        </w:rPr>
      </w:pPr>
      <w:r w:rsidRPr="00650D9D">
        <w:rPr>
          <w:strike/>
        </w:rPr>
        <w:t>....................................................................................................................” (NR)</w:t>
      </w:r>
    </w:p>
    <w:p w:rsidR="00A94144" w:rsidRPr="00650D9D" w:rsidRDefault="00A94144" w:rsidP="00D4075F">
      <w:pPr>
        <w:spacing w:before="0" w:beforeAutospacing="0" w:after="200" w:afterAutospacing="0"/>
        <w:ind w:right="-24" w:firstLine="567"/>
        <w:jc w:val="both"/>
        <w:divId w:val="1418092106"/>
        <w:rPr>
          <w:strike/>
        </w:rPr>
      </w:pPr>
      <w:r w:rsidRPr="00650D9D">
        <w:rPr>
          <w:strike/>
        </w:rPr>
        <w:t xml:space="preserve">“Art.44. A empresa detentora ou fabricante do medicamento poderá ser inspecionada para verificação </w:t>
      </w:r>
      <w:r w:rsidRPr="00650D9D">
        <w:rPr>
          <w:i/>
          <w:strike/>
        </w:rPr>
        <w:t>in loco</w:t>
      </w:r>
      <w:r w:rsidRPr="00650D9D">
        <w:rPr>
          <w:strike/>
        </w:rPr>
        <w:t xml:space="preserve"> de dados e informações da petição de concessão e renovação do registro, a critério da Anvisa.” (NR)</w:t>
      </w:r>
    </w:p>
    <w:p w:rsidR="00A94144" w:rsidRPr="00650D9D" w:rsidRDefault="00A94144" w:rsidP="00D4075F">
      <w:pPr>
        <w:spacing w:before="0" w:beforeAutospacing="0" w:after="200" w:afterAutospacing="0"/>
        <w:ind w:right="-24" w:firstLine="567"/>
        <w:jc w:val="both"/>
        <w:divId w:val="1418092106"/>
        <w:rPr>
          <w:strike/>
        </w:rPr>
      </w:pPr>
      <w:r w:rsidRPr="00650D9D">
        <w:rPr>
          <w:strike/>
        </w:rPr>
        <w:t>“Art. 45. Será divulgada informação na página eletrônica da Anvisa com a decisão final da análise técnica da solicitação do registro do medicamento.” (NR)</w:t>
      </w:r>
    </w:p>
    <w:p w:rsidR="00A94144" w:rsidRPr="00650D9D" w:rsidRDefault="00A94144" w:rsidP="00D4075F">
      <w:pPr>
        <w:spacing w:before="0" w:beforeAutospacing="0" w:after="200" w:afterAutospacing="0"/>
        <w:ind w:right="-24" w:firstLine="567"/>
        <w:jc w:val="both"/>
        <w:divId w:val="1418092106"/>
        <w:rPr>
          <w:strike/>
        </w:rPr>
      </w:pPr>
      <w:r w:rsidRPr="00650D9D">
        <w:rPr>
          <w:strike/>
        </w:rPr>
        <w:t xml:space="preserve">“Art. 49. As petições de concessão de registro de medicamentos novos, genéricos e similares protocoladas antes da data de vigência desta Resolução, ou que </w:t>
      </w:r>
      <w:r w:rsidRPr="00650D9D">
        <w:rPr>
          <w:strike/>
        </w:rPr>
        <w:lastRenderedPageBreak/>
        <w:t>já se encontram em análise na Gerência-Geral de Medicamentos, serão analisadas conforme as Resoluções vigentes à época do protocolo.” (NR)</w:t>
      </w:r>
    </w:p>
    <w:p w:rsidR="00A94144" w:rsidRPr="00650D9D" w:rsidRDefault="00A94144" w:rsidP="00D4075F">
      <w:pPr>
        <w:spacing w:before="0" w:beforeAutospacing="0" w:after="200" w:afterAutospacing="0"/>
        <w:ind w:firstLine="567"/>
        <w:jc w:val="both"/>
        <w:divId w:val="1418092106"/>
        <w:rPr>
          <w:strike/>
          <w:color w:val="000000"/>
        </w:rPr>
      </w:pPr>
      <w:r w:rsidRPr="00650D9D">
        <w:rPr>
          <w:strike/>
        </w:rPr>
        <w:t xml:space="preserve">Art. 2º </w:t>
      </w:r>
      <w:r w:rsidRPr="00650D9D">
        <w:rPr>
          <w:strike/>
          <w:color w:val="000000"/>
        </w:rPr>
        <w:t>A Resolução-RDC nº 60, de 10 de outubro de 2014, passa a vigorar com a inclusão do seguinte artigo:</w:t>
      </w:r>
    </w:p>
    <w:p w:rsidR="00A94144" w:rsidRPr="00650D9D" w:rsidRDefault="00A94144" w:rsidP="00D4075F">
      <w:pPr>
        <w:spacing w:before="0" w:beforeAutospacing="0" w:after="200" w:afterAutospacing="0"/>
        <w:ind w:right="-23" w:firstLine="567"/>
        <w:jc w:val="both"/>
        <w:divId w:val="1418092106"/>
        <w:rPr>
          <w:strike/>
        </w:rPr>
      </w:pPr>
      <w:r w:rsidRPr="00650D9D">
        <w:rPr>
          <w:strike/>
        </w:rPr>
        <w:t>“Art. 49-A.  Para as petições de concessão de registro de medicamentos novos, genéricos e similares protocoladas após a data de vigência desta Resolução e com lotes fabricados anterior à vigência desta Resolução em substituição ao relatório sumário de validação poderá ser apresentado:</w:t>
      </w:r>
    </w:p>
    <w:p w:rsidR="00A94144" w:rsidRPr="00650D9D" w:rsidRDefault="00A94144" w:rsidP="00D4075F">
      <w:pPr>
        <w:spacing w:before="0" w:beforeAutospacing="0" w:after="200" w:afterAutospacing="0"/>
        <w:ind w:right="-23" w:firstLine="567"/>
        <w:jc w:val="both"/>
        <w:divId w:val="1418092106"/>
        <w:rPr>
          <w:strike/>
        </w:rPr>
      </w:pPr>
      <w:r w:rsidRPr="00650D9D">
        <w:rPr>
          <w:strike/>
        </w:rPr>
        <w:t xml:space="preserve">I - a avaliação das etapas críticas do processo produtivo; e </w:t>
      </w:r>
    </w:p>
    <w:p w:rsidR="00A94144" w:rsidRPr="00650D9D" w:rsidRDefault="00A94144" w:rsidP="00D4075F">
      <w:pPr>
        <w:spacing w:before="0" w:beforeAutospacing="0" w:after="200" w:afterAutospacing="0"/>
        <w:ind w:right="-23" w:firstLine="567"/>
        <w:jc w:val="both"/>
        <w:divId w:val="1418092106"/>
        <w:rPr>
          <w:strike/>
        </w:rPr>
      </w:pPr>
      <w:r w:rsidRPr="00650D9D">
        <w:rPr>
          <w:strike/>
        </w:rPr>
        <w:t>II - justificativa técnica da ausência das demais informações constantes no relatório sumário de validação de processo.”</w:t>
      </w:r>
    </w:p>
    <w:p w:rsidR="00A94144" w:rsidRPr="00650D9D" w:rsidRDefault="00A94144" w:rsidP="00D4075F">
      <w:pPr>
        <w:shd w:val="clear" w:color="auto" w:fill="FFFFFF"/>
        <w:spacing w:before="0" w:beforeAutospacing="0" w:after="200" w:afterAutospacing="0"/>
        <w:ind w:firstLine="567"/>
        <w:jc w:val="both"/>
        <w:divId w:val="1418092106"/>
        <w:rPr>
          <w:strike/>
        </w:rPr>
      </w:pPr>
      <w:r w:rsidRPr="00650D9D">
        <w:rPr>
          <w:strike/>
        </w:rPr>
        <w:t>Art. 3º Esta Resolução entra em vigor, a partir da data da sua publicação.</w:t>
      </w:r>
    </w:p>
    <w:p w:rsidR="00D4075F" w:rsidRPr="00650D9D" w:rsidRDefault="00D4075F" w:rsidP="00D4075F">
      <w:pPr>
        <w:pStyle w:val="Ttulo2"/>
        <w:spacing w:before="0" w:beforeAutospacing="0" w:after="300" w:afterAutospacing="0"/>
        <w:ind w:firstLine="567"/>
        <w:divId w:val="1418092106"/>
        <w:rPr>
          <w:rFonts w:ascii="Times New Roman" w:hAnsi="Times New Roman" w:cs="Times New Roman"/>
          <w:strike/>
          <w:sz w:val="24"/>
          <w:szCs w:val="24"/>
        </w:rPr>
      </w:pPr>
    </w:p>
    <w:p w:rsidR="00A53197" w:rsidRPr="00650D9D" w:rsidRDefault="00A94144" w:rsidP="00D4075F">
      <w:pPr>
        <w:pStyle w:val="Ttulo2"/>
        <w:spacing w:before="0" w:beforeAutospacing="0" w:after="300" w:afterAutospacing="0"/>
        <w:ind w:firstLine="567"/>
        <w:divId w:val="1418092106"/>
        <w:rPr>
          <w:rFonts w:ascii="Times New Roman" w:hAnsi="Times New Roman" w:cs="Times New Roman"/>
          <w:b w:val="0"/>
          <w:strike/>
          <w:sz w:val="24"/>
          <w:szCs w:val="24"/>
        </w:rPr>
      </w:pPr>
      <w:r w:rsidRPr="00650D9D">
        <w:rPr>
          <w:rFonts w:ascii="Times New Roman" w:hAnsi="Times New Roman" w:cs="Times New Roman"/>
          <w:b w:val="0"/>
          <w:strike/>
          <w:sz w:val="24"/>
          <w:szCs w:val="24"/>
        </w:rPr>
        <w:t>IVO BUCARESKY</w:t>
      </w:r>
    </w:p>
    <w:sectPr w:rsidR="00A53197" w:rsidRPr="00650D9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E97" w:rsidRDefault="004C6E97" w:rsidP="00D4075F">
      <w:pPr>
        <w:spacing w:before="0" w:after="0"/>
      </w:pPr>
      <w:r>
        <w:separator/>
      </w:r>
    </w:p>
  </w:endnote>
  <w:endnote w:type="continuationSeparator" w:id="0">
    <w:p w:rsidR="004C6E97" w:rsidRDefault="004C6E97" w:rsidP="00D407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75F" w:rsidRPr="00D4075F" w:rsidRDefault="00D4075F" w:rsidP="00D4075F">
    <w:pPr>
      <w:tabs>
        <w:tab w:val="center" w:pos="4252"/>
        <w:tab w:val="right" w:pos="8504"/>
      </w:tabs>
      <w:spacing w:before="0" w:beforeAutospacing="0" w:after="0" w:afterAutospacing="0"/>
      <w:jc w:val="center"/>
      <w:rPr>
        <w:rFonts w:ascii="Calibri" w:hAnsi="Calibri"/>
        <w:sz w:val="22"/>
        <w:szCs w:val="22"/>
        <w:lang w:eastAsia="en-US"/>
      </w:rPr>
    </w:pPr>
    <w:r w:rsidRPr="00D4075F">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E97" w:rsidRDefault="004C6E97" w:rsidP="00D4075F">
      <w:pPr>
        <w:spacing w:before="0" w:after="0"/>
      </w:pPr>
      <w:r>
        <w:separator/>
      </w:r>
    </w:p>
  </w:footnote>
  <w:footnote w:type="continuationSeparator" w:id="0">
    <w:p w:rsidR="004C6E97" w:rsidRDefault="004C6E97" w:rsidP="00D407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75F" w:rsidRPr="00D4075F" w:rsidRDefault="00C70881" w:rsidP="00D4075F">
    <w:pPr>
      <w:tabs>
        <w:tab w:val="center" w:pos="4252"/>
        <w:tab w:val="right" w:pos="8504"/>
      </w:tabs>
      <w:spacing w:before="0" w:beforeAutospacing="0" w:after="0" w:afterAutospacing="0"/>
      <w:jc w:val="center"/>
      <w:rPr>
        <w:rFonts w:ascii="Calibri" w:hAnsi="Calibri"/>
        <w:sz w:val="22"/>
        <w:szCs w:val="22"/>
        <w:lang w:eastAsia="en-US"/>
      </w:rPr>
    </w:pPr>
    <w:r w:rsidRPr="00C70881">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
          <v:imagedata r:id="rId1" o:title=" Brasão da República"/>
        </v:shape>
      </w:pict>
    </w:r>
  </w:p>
  <w:p w:rsidR="00D4075F" w:rsidRPr="00D4075F" w:rsidRDefault="00D4075F" w:rsidP="00D4075F">
    <w:pPr>
      <w:tabs>
        <w:tab w:val="center" w:pos="4252"/>
        <w:tab w:val="right" w:pos="8504"/>
      </w:tabs>
      <w:spacing w:before="0" w:beforeAutospacing="0" w:after="0" w:afterAutospacing="0"/>
      <w:jc w:val="center"/>
      <w:rPr>
        <w:rFonts w:ascii="Calibri" w:hAnsi="Calibri"/>
        <w:b/>
        <w:szCs w:val="22"/>
        <w:lang w:eastAsia="en-US"/>
      </w:rPr>
    </w:pPr>
    <w:r w:rsidRPr="00D4075F">
      <w:rPr>
        <w:rFonts w:ascii="Calibri" w:hAnsi="Calibri"/>
        <w:b/>
        <w:szCs w:val="22"/>
        <w:lang w:eastAsia="en-US"/>
      </w:rPr>
      <w:t>Ministério da Saúde - MS</w:t>
    </w:r>
  </w:p>
  <w:p w:rsidR="00D4075F" w:rsidRPr="00D4075F" w:rsidRDefault="00D4075F" w:rsidP="00D4075F">
    <w:pPr>
      <w:tabs>
        <w:tab w:val="center" w:pos="4252"/>
        <w:tab w:val="right" w:pos="8504"/>
      </w:tabs>
      <w:spacing w:before="0" w:beforeAutospacing="0" w:after="0" w:afterAutospacing="0"/>
      <w:jc w:val="center"/>
      <w:rPr>
        <w:rFonts w:ascii="Calibri" w:hAnsi="Calibri"/>
        <w:b/>
        <w:szCs w:val="22"/>
        <w:lang w:eastAsia="en-US"/>
      </w:rPr>
    </w:pPr>
    <w:r w:rsidRPr="00D4075F">
      <w:rPr>
        <w:rFonts w:ascii="Calibri" w:hAnsi="Calibri"/>
        <w:b/>
        <w:szCs w:val="22"/>
        <w:lang w:eastAsia="en-US"/>
      </w:rPr>
      <w:t>Agência Nacional de Vigilância Sanitária - ANVISA</w:t>
    </w:r>
  </w:p>
  <w:p w:rsidR="00D4075F" w:rsidRPr="00D4075F" w:rsidRDefault="00D4075F">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4AC0"/>
    <w:rsid w:val="00031BD3"/>
    <w:rsid w:val="00034881"/>
    <w:rsid w:val="00074AC0"/>
    <w:rsid w:val="000C2183"/>
    <w:rsid w:val="000E4E89"/>
    <w:rsid w:val="00101181"/>
    <w:rsid w:val="001A1BCA"/>
    <w:rsid w:val="0026113A"/>
    <w:rsid w:val="00277E16"/>
    <w:rsid w:val="00391360"/>
    <w:rsid w:val="003C4A39"/>
    <w:rsid w:val="004C6E97"/>
    <w:rsid w:val="00536C97"/>
    <w:rsid w:val="005A61F4"/>
    <w:rsid w:val="00650D9D"/>
    <w:rsid w:val="00652E8A"/>
    <w:rsid w:val="00662C10"/>
    <w:rsid w:val="00771958"/>
    <w:rsid w:val="00867B72"/>
    <w:rsid w:val="008B7BC0"/>
    <w:rsid w:val="008D770F"/>
    <w:rsid w:val="008F3873"/>
    <w:rsid w:val="00963BF1"/>
    <w:rsid w:val="009E6EB9"/>
    <w:rsid w:val="00A06235"/>
    <w:rsid w:val="00A53197"/>
    <w:rsid w:val="00A533A1"/>
    <w:rsid w:val="00A54F64"/>
    <w:rsid w:val="00A66480"/>
    <w:rsid w:val="00A94144"/>
    <w:rsid w:val="00AA1279"/>
    <w:rsid w:val="00AA72EF"/>
    <w:rsid w:val="00AC56BA"/>
    <w:rsid w:val="00AC647E"/>
    <w:rsid w:val="00AF43E7"/>
    <w:rsid w:val="00B13D8C"/>
    <w:rsid w:val="00BA4BE8"/>
    <w:rsid w:val="00BC5F27"/>
    <w:rsid w:val="00BE676D"/>
    <w:rsid w:val="00C05434"/>
    <w:rsid w:val="00C70881"/>
    <w:rsid w:val="00C95774"/>
    <w:rsid w:val="00C95A0B"/>
    <w:rsid w:val="00D01638"/>
    <w:rsid w:val="00D221EC"/>
    <w:rsid w:val="00D22E41"/>
    <w:rsid w:val="00D4075F"/>
    <w:rsid w:val="00D74B7B"/>
    <w:rsid w:val="00DC0426"/>
    <w:rsid w:val="00DF7C19"/>
    <w:rsid w:val="00E13B02"/>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0BCCFB98-C55D-439E-9923-4289F7BD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Pr>
      <w:rFonts w:ascii="Cambria" w:eastAsia="Times New Roman" w:hAnsi="Cambria" w:cs="Times New Roman"/>
      <w:b/>
      <w:bCs/>
      <w:color w:val="365F91"/>
      <w:sz w:val="28"/>
      <w:szCs w:val="28"/>
    </w:rPr>
  </w:style>
  <w:style w:type="character" w:customStyle="1" w:styleId="Ttulo2Char">
    <w:name w:val="Título 2 Char"/>
    <w:link w:val="Ttulo2"/>
    <w:uiPriority w:val="9"/>
    <w:semiHidden/>
    <w:locked/>
    <w:rPr>
      <w:rFonts w:ascii="Cambria" w:eastAsia="Times New Roman" w:hAnsi="Cambria" w:cs="Times New Roman"/>
      <w:b/>
      <w:bCs/>
      <w:color w:val="4F81BD"/>
      <w:sz w:val="26"/>
      <w:szCs w:val="26"/>
    </w:rPr>
  </w:style>
  <w:style w:type="character" w:customStyle="1" w:styleId="Ttulo3Char">
    <w:name w:val="Título 3 Char"/>
    <w:link w:val="Ttulo3"/>
    <w:uiPriority w:val="9"/>
    <w:semiHidden/>
    <w:locked/>
    <w:rsid w:val="00034881"/>
    <w:rPr>
      <w:rFonts w:cs="Times New Roman"/>
      <w:b/>
      <w:bCs/>
      <w:sz w:val="24"/>
      <w:szCs w:val="24"/>
      <w:lang w:val="es-ES_tradnl" w:eastAsia="x-none"/>
    </w:rPr>
  </w:style>
  <w:style w:type="character" w:customStyle="1" w:styleId="Ttulo4Char">
    <w:name w:val="Título 4 Char"/>
    <w:link w:val="Ttulo4"/>
    <w:uiPriority w:val="9"/>
    <w:semiHidden/>
    <w:locked/>
    <w:rsid w:val="00034881"/>
    <w:rPr>
      <w:rFonts w:cs="Times New Roman"/>
      <w:b/>
      <w:bCs/>
      <w:sz w:val="28"/>
      <w:szCs w:val="28"/>
      <w:lang w:val="es-ES" w:eastAsia="x-none"/>
    </w:rPr>
  </w:style>
  <w:style w:type="character" w:customStyle="1" w:styleId="Ttulo5Char">
    <w:name w:val="Título 5 Char"/>
    <w:link w:val="Ttulo5"/>
    <w:uiPriority w:val="9"/>
    <w:semiHidden/>
    <w:locked/>
    <w:rsid w:val="00034881"/>
    <w:rPr>
      <w:rFonts w:ascii="Arial" w:hAnsi="Arial" w:cs="Arial"/>
      <w:b/>
      <w:bCs/>
    </w:rPr>
  </w:style>
  <w:style w:type="character" w:customStyle="1" w:styleId="Ttulo6Char">
    <w:name w:val="Título 6 Char"/>
    <w:link w:val="Ttulo6"/>
    <w:uiPriority w:val="9"/>
    <w:semiHidden/>
    <w:locked/>
    <w:rsid w:val="00034881"/>
    <w:rPr>
      <w:rFonts w:ascii="Arial" w:hAnsi="Arial" w:cs="Arial"/>
      <w:sz w:val="24"/>
      <w:szCs w:val="24"/>
    </w:rPr>
  </w:style>
  <w:style w:type="character" w:customStyle="1" w:styleId="Ttulo7Char">
    <w:name w:val="Título 7 Char"/>
    <w:link w:val="Ttulo7"/>
    <w:uiPriority w:val="9"/>
    <w:semiHidden/>
    <w:locked/>
    <w:rsid w:val="00034881"/>
    <w:rPr>
      <w:rFonts w:ascii="Arial" w:hAnsi="Arial" w:cs="Arial"/>
      <w:b/>
      <w:bCs/>
      <w:spacing w:val="-6"/>
      <w:sz w:val="24"/>
      <w:szCs w:val="24"/>
    </w:rPr>
  </w:style>
  <w:style w:type="character" w:customStyle="1" w:styleId="Ttulo8Char">
    <w:name w:val="Título 8 Char"/>
    <w:link w:val="Ttulo8"/>
    <w:uiPriority w:val="9"/>
    <w:semiHidden/>
    <w:locked/>
    <w:rsid w:val="00034881"/>
    <w:rPr>
      <w:rFonts w:ascii="Arial" w:hAnsi="Arial" w:cs="Arial"/>
      <w:b/>
      <w:bCs/>
      <w:sz w:val="24"/>
      <w:szCs w:val="24"/>
    </w:rPr>
  </w:style>
  <w:style w:type="character" w:customStyle="1" w:styleId="Ttulo9Char">
    <w:name w:val="Título 9 Char"/>
    <w:link w:val="Ttulo9"/>
    <w:uiPriority w:val="9"/>
    <w:semiHidden/>
    <w:locked/>
    <w:rsid w:val="00034881"/>
    <w:rPr>
      <w:rFonts w:ascii="Arial" w:hAnsi="Arial" w:cs="Arial"/>
      <w:i/>
      <w:iCs/>
      <w:sz w:val="18"/>
      <w:szCs w:val="18"/>
      <w:lang w:val="es-ES_tradnl" w:eastAsia="x-none"/>
    </w:rPr>
  </w:style>
  <w:style w:type="character" w:styleId="Hyperlink">
    <w:name w:val="Hyperlink"/>
    <w:uiPriority w:val="99"/>
    <w:semiHidden/>
    <w:unhideWhenUsed/>
    <w:rPr>
      <w:rFonts w:cs="Times New Roman"/>
      <w:color w:val="0000FF"/>
      <w:u w:val="single"/>
    </w:rPr>
  </w:style>
  <w:style w:type="character" w:styleId="HiperlinkVisitado">
    <w:name w:val="FollowedHyperlink"/>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link w:val="Textodebalo"/>
    <w:uiPriority w:val="99"/>
    <w:semiHidden/>
    <w:locked/>
    <w:rsid w:val="00074AC0"/>
    <w:rPr>
      <w:rFonts w:ascii="Tahoma" w:eastAsia="Times New Roman"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hAnsi="Courier New" w:cs="Courier New"/>
      <w:sz w:val="20"/>
      <w:szCs w:val="20"/>
    </w:rPr>
  </w:style>
  <w:style w:type="character" w:customStyle="1" w:styleId="TextosemFormataoChar">
    <w:name w:val="Texto sem Formatação Char"/>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hAnsi="Arial"/>
      <w:szCs w:val="20"/>
    </w:rPr>
  </w:style>
  <w:style w:type="character" w:customStyle="1" w:styleId="Recuodecorpodetexto2Char">
    <w:name w:val="Recuo de corpo de texto 2 Char"/>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link w:val="Corpodetexto"/>
    <w:uiPriority w:val="99"/>
    <w:locked/>
    <w:rsid w:val="00034881"/>
    <w:rPr>
      <w:rFonts w:eastAsia="Times New Roman"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link w:val="Recuodecorpodetexto"/>
    <w:uiPriority w:val="99"/>
    <w:locked/>
    <w:rsid w:val="00034881"/>
    <w:rPr>
      <w:rFonts w:eastAsia="Times New Roman"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Pr-formataoHTMLChar">
    <w:name w:val="Pré-formatação HTML Char"/>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sz w:val="20"/>
      <w:szCs w:val="20"/>
    </w:rPr>
  </w:style>
  <w:style w:type="character" w:customStyle="1" w:styleId="TextodenotaderodapChar">
    <w:name w:val="Texto de nota de rodapé Char"/>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sz w:val="20"/>
      <w:szCs w:val="20"/>
    </w:rPr>
  </w:style>
  <w:style w:type="character" w:customStyle="1" w:styleId="TextodecomentrioChar">
    <w:name w:val="Texto de comentário Char"/>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lang w:val="es-ES_tradnl"/>
    </w:rPr>
  </w:style>
  <w:style w:type="character" w:customStyle="1" w:styleId="CabealhoChar">
    <w:name w:val="Cabeçalho Char"/>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style>
  <w:style w:type="character" w:customStyle="1" w:styleId="RodapChar">
    <w:name w:val="Rodapé Char"/>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hAnsi="Arial" w:cs="Arial"/>
      <w:b/>
      <w:bCs/>
    </w:rPr>
  </w:style>
  <w:style w:type="character" w:customStyle="1" w:styleId="TtuloChar">
    <w:name w:val="Título Char"/>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b/>
      <w:bCs/>
      <w:color w:val="0000FF"/>
      <w:sz w:val="16"/>
      <w:szCs w:val="16"/>
    </w:rPr>
  </w:style>
  <w:style w:type="character" w:customStyle="1" w:styleId="Corpodetexto2Char">
    <w:name w:val="Corpo de texto 2 Char"/>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hAnsi="Arial" w:cs="Arial"/>
      <w:lang w:val="es-ES_tradnl"/>
    </w:rPr>
  </w:style>
  <w:style w:type="character" w:customStyle="1" w:styleId="Corpodetexto3Char">
    <w:name w:val="Corpo de texto 3 Char"/>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hAnsi="Arial" w:cs="Arial"/>
      <w:lang w:val="es-ES_tradnl"/>
    </w:rPr>
  </w:style>
  <w:style w:type="character" w:customStyle="1" w:styleId="Recuodecorpodetexto3Char">
    <w:name w:val="Recuo de corpo de texto 3 Char"/>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hAnsi="Tahoma" w:cs="Tahoma"/>
      <w:sz w:val="16"/>
      <w:szCs w:val="16"/>
    </w:rPr>
  </w:style>
  <w:style w:type="character" w:styleId="Refdenotaderodap">
    <w:name w:val="footnote reference"/>
    <w:uiPriority w:val="99"/>
    <w:semiHidden/>
    <w:unhideWhenUsed/>
    <w:rsid w:val="00034881"/>
    <w:rPr>
      <w:rFonts w:ascii="Times New Roman" w:hAnsi="Times New Roman" w:cs="Times New Roman"/>
      <w:vertAlign w:val="superscript"/>
    </w:rPr>
  </w:style>
  <w:style w:type="character" w:styleId="Refdecomentrio">
    <w:name w:val="annotation reference"/>
    <w:uiPriority w:val="99"/>
    <w:semiHidden/>
    <w:unhideWhenUsed/>
    <w:rsid w:val="00034881"/>
    <w:rPr>
      <w:rFonts w:ascii="Times New Roman" w:hAnsi="Times New Roman" w:cs="Times New Roman"/>
      <w:sz w:val="16"/>
      <w:szCs w:val="16"/>
    </w:rPr>
  </w:style>
  <w:style w:type="character" w:styleId="Nmerodepgina">
    <w:name w:val="page number"/>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092108">
      <w:marLeft w:val="150"/>
      <w:marRight w:val="150"/>
      <w:marTop w:val="150"/>
      <w:marBottom w:val="0"/>
      <w:divBdr>
        <w:top w:val="none" w:sz="0" w:space="0" w:color="auto"/>
        <w:left w:val="none" w:sz="0" w:space="0" w:color="auto"/>
        <w:bottom w:val="none" w:sz="0" w:space="0" w:color="auto"/>
        <w:right w:val="none" w:sz="0" w:space="0" w:color="auto"/>
      </w:divBdr>
      <w:divsChild>
        <w:div w:id="1418092107">
          <w:marLeft w:val="0"/>
          <w:marRight w:val="0"/>
          <w:marTop w:val="0"/>
          <w:marBottom w:val="0"/>
          <w:divBdr>
            <w:top w:val="none" w:sz="0" w:space="0" w:color="auto"/>
            <w:left w:val="none" w:sz="0" w:space="0" w:color="auto"/>
            <w:bottom w:val="none" w:sz="0" w:space="0" w:color="auto"/>
            <w:right w:val="none" w:sz="0" w:space="0" w:color="auto"/>
          </w:divBdr>
          <w:divsChild>
            <w:div w:id="1418092106">
              <w:marLeft w:val="0"/>
              <w:marRight w:val="0"/>
              <w:marTop w:val="75"/>
              <w:marBottom w:val="300"/>
              <w:divBdr>
                <w:top w:val="none" w:sz="0" w:space="0" w:color="auto"/>
                <w:left w:val="none" w:sz="0" w:space="0" w:color="auto"/>
                <w:bottom w:val="none" w:sz="0" w:space="0" w:color="auto"/>
                <w:right w:val="none" w:sz="0" w:space="0" w:color="auto"/>
              </w:divBdr>
            </w:div>
            <w:div w:id="1418092109">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E574A-1591-4534-9210-D8371793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2017-08-09T20:46:00Z</cp:lastPrinted>
  <dcterms:created xsi:type="dcterms:W3CDTF">2018-08-16T18:53:00Z</dcterms:created>
  <dcterms:modified xsi:type="dcterms:W3CDTF">2018-08-16T18:53:00Z</dcterms:modified>
</cp:coreProperties>
</file>