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0F4" w:rsidRDefault="00571816" w:rsidP="00046CC5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22</w:t>
      </w:r>
      <w:r w:rsidR="000821D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, DE </w:t>
      </w:r>
      <w:r w:rsidR="000B62D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28 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DE MARÇO</w:t>
      </w:r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2018</w:t>
      </w:r>
    </w:p>
    <w:p w:rsidR="007B10F4" w:rsidRDefault="007B10F4" w:rsidP="00046CC5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0B62DA">
        <w:rPr>
          <w:rFonts w:ascii="Times New Roman" w:hAnsi="Times New Roman"/>
          <w:b/>
          <w:color w:val="0000FF"/>
          <w:sz w:val="24"/>
          <w:szCs w:val="24"/>
          <w:lang w:eastAsia="pt-BR"/>
        </w:rPr>
        <w:t>61, de 29 de março</w:t>
      </w:r>
      <w:r w:rsidR="004707E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C73553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2018)</w:t>
      </w:r>
    </w:p>
    <w:p w:rsidR="00D7353F" w:rsidRDefault="00D7353F" w:rsidP="00046CC5">
      <w:pPr>
        <w:spacing w:after="200" w:line="240" w:lineRule="auto"/>
        <w:ind w:left="3969" w:right="-1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Regulamenta as Boas Práticas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Gerenciamento dos Resíduos de Serviços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Saúde e dá outras providências.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Sanitária, no uso da atribuição que lhe confere o art. 15, III e IV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aliado ao art. 7º, III, e IV, da Lei nº 9.782, de 26 de janeiro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1999, e ao art. 53, V, §§ 1º e 3º do Regimento Interno aprovado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termos do Anexo I da Resolução da Diretoria Colegiada - RDC n°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61, de 3 de fevereiro de 2016, resolve adotar a seguinte Resolução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da Diretoria Colegiada, conforme deliberado em reunião realizada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em 20 de março de 2018, e eu, Diretor-Presidente, determino a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DAS DISPOSIÇÕES INICIAIS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Objetivo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1º Esta Resolução dispõe sobre os requisitos de Boas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Práticas de Gerenciamento dos Resíduos de Serviços de Saúde.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Abrangência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2º Esta Resolução se aplica aos geradores de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serviços de saúde- RSS cujas atividades envolvam qualquer etapa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do gerenciamento dos RSS, sejam eles públicos e privados,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filantrópicos, civis ou militares, incluindo aqueles que exercem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ações de ensino e pesquisa.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§ 1º Para efeito desta resolução, definem-se como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geradores de RSS todos os serviços cujas atividades estejam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relacionadas com a atenção à saúde humana ou animal, inclusive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serviços de assistência domiciliar; laboratórios analíticos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produtos para saúde; necrotérios, funerárias e serviços onde se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realizem atividades de embalsamamento (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tanatopraxia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somatoconservação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); serviços de medicina legal; drogarias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farmácias, inclusive as de manipulação; estabelecimentos de ensino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 pesquisa na área de saúde; centros de controle de zoonoses;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distribuidores de produtos farmacêuticos, importadores,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distribuidores de materiais e controles para diagnóstico in vitro;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unidades móveis de atendimento à saúde; serviços de acupuntura;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serviços de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piercing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e tatuagem, salões de beleza e estética, dentre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outros afins.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§ 2º Esta Resolução não se aplica a fontes radioativas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seladas, que devem seguir as determinações da Comissão Nacional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Energia Nuclear - CNEN, e às indústrias de produtos sob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vigilância sanitária, que devem observar as condições específicas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seu licenciamento ambiental.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lastRenderedPageBreak/>
        <w:t>Seção III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Definições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3º Para efeito desta Resolução são adotadas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seguintes definições: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I. abrigo externo: ambiente no qual ocorre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armazenamento externo dos coletores de resíduos;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II. abrigo temporário: ambiente no qual ocorre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armazenamento temporário dos coletores de resíduos;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III. acondicionamento: ato de embalar os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segregados em sacos ou recipientes que evitem vazamentos,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quando couber, sejam resistentes às ações de punctura, ruptura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tombamento, e que sejam adequados física e quimicamente ao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conteúdo acondicionado;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IV. agentes biológicos: microrganismos capazes ou não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originar algum tipo de infecção, alergia ou toxicidade no corpo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humano, tais como: bactérias, fungos, vírus, clamídias,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riquétsias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micoplasmas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, parasitas e outros agentes, linhagens celulares, príons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 toxinas;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V. armazenamento externo: guarda dos coletores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resíduos em ambiente exclusivo, com acesso facilitado para a coleta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externa;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VI. armazenamento interno: guarda do resíduo contendo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produto químico ou rejeito radioativo na área de trabalho,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condições definidas pela legislação e normas aplicáveis a essa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atividade;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VII. armazenamento temporário: guarda temporária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coletores de resíduos de serviços de saúde, em ambiente próximo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aos pontos de geração, visando agilizar a coleta no interior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instalações e otimizar o deslocamento entre os pontos geradores e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ponto destinado à apresentação para coleta externa;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VIII. aterro de resíduos perigosos - Classe I: local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disposição final de resíduos perigosos no solo, sem causar danos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riscos à saúde pública, minimizando os impactos ambientais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utilizando procedimentos específicos de engenharia para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confinamento destes;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IX. carcaça de animal: produto de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retalhação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de animal;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X. cadáver de animal: corpo animal após a morte;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XI. classe de risco 1 (baixo risco individual e para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comunidade): agentes biológicos conhecidos por não causarem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doenças no homem ou nos animais adultos sadios;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XII. classe de risco 2 (moderado risco individual e limitado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risco para a comunidade): inclui os agentes biológicos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provocam infecções no homem ou nos animais, cujo potencial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propagação na comunidade e de disseminação no meio ambiente é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limitado, e para os quais existem medidas terapêuticas e profiláticas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eficazes;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lastRenderedPageBreak/>
        <w:t>XIII. classe de risco 3 (alto risco individual e moderado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risco para a comunidade): inclui os agentes biológicos que possuem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capacidade de transmissão por via respiratória e que causam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patologias humanas ou animais, potencialmente letais, para as quais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existem usualmente medidas de tratamento ou de prevenção.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Representam risco se disseminados na comunidade e no meio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ambiente, podendo se propagar de pessoa a pessoa;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XIV. classe de risco 4 (elevado risco individual e elevado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risco para a comunidade): classificação do Ministério da Saúde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inclui agentes biológicos que representam grande ameaça para o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humano e para os animais, implicando grande risco a quem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manipula, com grande poder de transmissibilidade de um indivíduo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 outro, não existindo medidas preventivas e de tratamento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esses agentes;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XV. coleta e transporte externos: remoção dos resíduos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serviços de saúde do abrigo externo até a unidade de tratamento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outra destinação, ou disposição final ambientalmente adequada,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utilizando-se de técnicas que garantam a preservação das condições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acondicionamento;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XVI. coletor: recipiente utilizado para acondicionar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sacos com resíduos;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XVII. coletor com rodas ou carro de coleta: recipiente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rodas utilizado para acondicionar e transportar internamente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sacos com resíduos;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XVIII. compostagem: processo biológico que acelera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decomposição do material orgânico, tendo como produto final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composto orgânico;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XIX. decaimento radioativo: desintegração natural de 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núcleo atômico por meio da emissão de energia em forma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radiação;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XX. destinação final ambientalmente adequada: destinação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resíduos que inclui a reutilização, a reciclagem, a compostagem,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 recuperação e o aproveitamento energético ou outras destinações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admitidas pelos órgãos competentes do Sistema Nacional do Meio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Ambiente (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Sisnama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), do Sistema Nacional de Vigilância Sanitária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(SNVS) e do Sistema Unificado de Atenção à Sanidade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Agropecuária (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Suasa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), entre elas a disposição final ambientalmente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adequada, observando normas operacionais específicas de modo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evitar danos ou riscos à saúde pública e à segurança e a minimizar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os impactos ambientais adversos;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XXI. disposição final ambientalmente adequada: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distribuição ordenada de rejeitos em aterros, observando normas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operacionais específicas de modo a evitar danos ou riscos à saúde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pública e à segurança e a minimizar os impactos ambientais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adversos;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XXII. equipamento de proteção individual (EPI):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dispositivo ou produto de uso individual utilizado pelo trabalhador,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destinado à proteção de riscos suscetíveis de ameaçar a segurança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 saúde no trabalho;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XXIII. equipamento de proteção coletiva (EPC):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dispositivos ou produtos de uso coletivo utilizados pelo trabalhador,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destinados à proteção de riscos suscetíveis de ameaçar a segurança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 a saúde no trabalho e de terceiros;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XXIV. ficha de informações de segurança de produtos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químicos (FISPQ): ficha que contém informações essenciais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detalhadas dos produtos químicos, especialmente sua </w:t>
      </w:r>
      <w:r w:rsidRPr="00D7353F">
        <w:rPr>
          <w:rFonts w:ascii="Times New Roman" w:hAnsi="Times New Roman"/>
          <w:sz w:val="24"/>
          <w:szCs w:val="24"/>
          <w:lang w:eastAsia="pt-BR"/>
        </w:rPr>
        <w:lastRenderedPageBreak/>
        <w:t>identificação,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seu fornecedor, sua classificação, sua periculosidade, as medidas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precaução e os procedimentos em caso de emergência;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XXV. fonte radioativa selada: fonte radioativa encerrada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hermeticamente em uma cápsula, ou ligada totalmente a material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inativo envolvente, de forma que não possa haver dispersão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substância radioativa em condições normais e severas de uso;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F2D28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XXVI. forma livre: saturação de um líquido em um resíduo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que o absorva ou o contenha, de forma que possa produzir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gotejamento, vazamento ou derramamento espontaneamente ou sob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compressão mínima;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XXVII. gerenciamento dos resíduos de serviços de saúde: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conjunto de procedimentos de gestão, planejados e implementados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partir de bases científicas, técnicas, normativas e legais, com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objetivo de minimizar a geração de resíduos e proporcionar 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encaminhamento seguro, de forma eficiente, visando à proteção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trabalhadores e a preservação da saúde pública, dos recursos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naturais e do meio ambiente;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XXVIII. hemoderivados: produtos oriundos do sangue total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 do plasma, obtidos por meio de processamento físico-químico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biotecnológico;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XXIX. identificação dos resíduos de serviços de saúde: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conjunto de medidas que permite o reconhecimento dos riscos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presentes nos resíduos acondicionados, de forma clara e legível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tamanho proporcional aos sacos, coletores e seus ambientes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armazenamento, conforme disposto no Anexo II desta 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XXX. instalação radiativa: unidade ou serviço no qual se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produzam, processam, manuseiam, utilizam, transportam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armazenam fontes de radiação, excetuando-se as Instalações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Nucleares definidas em norma da Comissão Nacional de Energia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Nuclear (CNEN);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XXXI. licença ambiental: ato administrativo pelo qual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órgão ambiental competente estabelece as condições, restrições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medidas de controle ambiental que devem ser obedecidas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localizar, instalar, ampliar e operar empreendimentos ou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atividades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utilizadores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dos recursos ambientais considerados efetiva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potencialmente poluidoras ou aquelas que, sob qualquer forma,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possam causar degradação ambiental;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XXXII. licença sanitária: documento emitido pelo órgão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sanitário competente dos Estados, Distrito Federal ou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Municípios, contendo permissão para o funcionamento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estabelecimentos que exerçam atividades sob regime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sanitária;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XXXIII. líquidos corpóreos: líquidos originados no corpo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humano, limitados para fins desta resolução, em líquidos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cefalorraquidiano, pericárdico, pleural, articular,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ascítico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amniótico;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XXXIV. logística reversa: instrumento de desenvolvimento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econômico e social caracterizado por um conjunto de ações,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procedimentos e meios destinados a viabilizar a coleta e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restituição dos resíduos sólidos ao setor empresarial,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reaproveitamento, em seu ciclo ou em outros ciclos produtivos,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outra destinação final ambientalmente adequada;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lastRenderedPageBreak/>
        <w:t>XXXV. Manejo dos resíduos de serviços de saúde: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atividade de manuseio dos resíduos de serviços de saúde, cujas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etapas são a segregação, acondicionamento, identificação, transporte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interno, armazenamento temporário, armazenamento externo, coleta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interna, transporte externo, destinação e disposição final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ambientalmente adequada dos resíduos de serviços de saúde;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XXXVI. metal pesado: qualquer substância ou composto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contendo antimônio, cádmio, cromo (IV), chumbo, estanho,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mercúrio, níquel, prata, selênio, telúrio e tálio;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XXXVII. nível de dispensa: valor estabelecido por norma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da Comissão Nacional de Energia Nuclear (CNEN), tal que fontes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radiação com concentração de atividade ou atividade total igual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 inferior a esse valor podem ser dispensadas de controle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regulatório e ser liberado pelas vias convencionais, sob os aspectos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proteção radiológica;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XXXVIII. nível III de inativação microbiana: processo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físico ou outros processos para a redução ou eliminação da carga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microbiana, tendo como resultado a inativação de bactérias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vegetativas, fungos, vírus lipofílicos e hidrofílicos, parasitas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micobactérias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com redução igual ou maior que 6Log10, e inativação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de esporos do B.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stearothermophilus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ou de esporos do B.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subtilis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com redução igual ou maior que 4Log10;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XXXIX. patogenicidade: é a capacidade que tem o agente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infeccioso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de, uma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vez instalado no organismo do homem e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animais, produzir sintomas em maior ou menor proporção dentre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hospedeiros infectados;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XL. periculosidade: qualidade ou estado de ser perigoso;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XLI. plano de gerenciamento dos resíduos de serviços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saúde (PGRSS): documento que aponta e descreve todas as 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relativas ao gerenciamento dos resíduos de serviços de saúde,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observadas suas características e riscos, contemplando os aspectos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referentes à geração, identificação, segregação, acondicionamento,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coleta, armazenamento, transporte, destinação e disposição final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ambientalmente adequada, bem como as ações de proteção à saúde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pública, do trabalhador e do meio ambiente;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XLII. plano de proteção radiológica (PPR): documento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exigido para fins de licenciamento de instalações radiativas, pela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Comissão Nacional de Energia Nuclear (CNEN);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XLIII. príon: estrutura proteica alterada relacionada como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agente etiológico das diversas formas de encefalite espongiforme;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XLIV. produto para diagnóstico de uso in vitro: reagentes,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padrões, calibradores, controles, materiais, artigos e instrumentos,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junto com as instruções para seu uso, que contribuem para realizar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uma determinação qualitativa, quantitativa ou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semiquantitativa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uma amostra biológica e que não estejam destinados a cumprir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função anatômica, física ou terapêutica alguma, que não sejam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ingeridos, injetados ou inoculados em seres humanos e que são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utilizados unicamente para provar informação sobre amostras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obtidas do organismo humano;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lastRenderedPageBreak/>
        <w:t xml:space="preserve">XLV. quimioterápicos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antineoplásicos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: produtos químicos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que atuam ao nível celular com potencial de produzirem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genotoxicidade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citotoxicidade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mutagenicidade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carcinogenicidade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teratogenicidade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XLVI. reciclagem: processo de transformação dos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sólidos que envolve a alteração de suas propriedades físicas,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físicoquímicas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 biológicas, com vistas à transformação em insumos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novos produtos;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XLVII. recipiente vazio de medicamento: embalagem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primária de medicamentos usada em sua preparação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administração, que tenha sido esvaziado em decorrência da total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utilização ou transferência de seu conteúdo deste para outro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recipiente;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XLVIII. redução de carga microbiana: aplicação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processo que visa à inativação microbiana das cargas biológicas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contidas nos resíduos;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XLIX. rejeitos: resíduos sólidos que, depois de esgotadas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todas as possibilidades de tratamento e recuperação por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tecnológicos disponíveis e economicamente viáveis, não apresente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outra possibilidade que não a disposição final ambientalmente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adequada;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L. rejeito radioativo: material que contenha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radionuclídeo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em quantidade superior aos limites de dispensa especificados nas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normas da Comissão Nacional de Energia Nuclear (CNEN), para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qual a reutilização é imprópria ou não prevista;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LI. resíduos de serviços de saúde (RSS): todos os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resultantes das atividades exercidas pelos geradores de resíduos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serviços de saúde, definidos nesta 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LII. resíduo perigoso: aquele que, em razão de suas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características de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inflamabilidade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corrosividade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, reatividade,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toxicidade, patogenicidade,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carcinogenicidade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teratogenicidade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mutagenicidade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, apresenta significativo risco à saúde pública ou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qualidade ambiental ou à saúde do trabalhador, de acordo com lei,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regulamento ou norma técnica;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LIII. resíduo sólido: material, substância, objeto ou bem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descartado, resultante de atividades humanas em sociedade, a cuja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destinação se propõe proceder ou se está obrigado a proceder,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estados sólido ou semissólido, bem como gases contidos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recipientes e líquidos cujas particularidades tornem inviável o seu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lançamento na rede pública de esgotos ou em corpos d'água,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exijam para isso soluções técnica ou economicamente inviáveis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face da melhor tecnologia disponível;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LIV. resíduos de serviços de saúde do Grupo A: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com a possível presença de agentes biológicos que, por suas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características, podem apresentar risco de infecção, elencados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Anexo I desta 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LV. resíduos de serviços de saúde do Grupo B: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contendo produtos químicos que podem apresentar risco à saúde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pública ou ao meio ambiente, dependendo de suas características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inflamabilidade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corrosividade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, reatividade e toxicidade, elencados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no Anexo I desta 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LVI. resíduos de serviços de saúde do Grupo C: rejeitos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radioativos, elencados no Anexo I desta 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lastRenderedPageBreak/>
        <w:t>LVII. resíduos de serviços de saúde do Grupo D: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que não apresentam risco biológico, químico ou radiológico à saúde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 ao meio ambiente, podendo ser equiparados aos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domiciliares, elencados no Anexo I desta 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LVIII. resíduos de serviços de saúde do Grupo E: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perfurocortantes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escarificantes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>, tais como: lâminas de barbear,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agulhas, escalpes, ampolas de vidro, brocas, limas endodônticas,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fios ortodônticos cortados, próteses bucais metálicas inutilizadas,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pontas diamantadas, lâminas de bisturi, lancetas, tubos capilares,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micropipetas, lâminas e lamínulas, espátulas e todos os utensílios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vidro quebrados no laboratório (pipetas, tubos de coleta sanguínea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placas de Petri), elencados no Anexo I desta 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LIX. reutilização: processo de aproveitamento dos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sólidos sem sua transformação biológica, física ou físico-química;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LX. sala de utilidades: ambiente destinado à limpeza,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desinfecção e guarda dos materiais e roupas utilizados na assistência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ao usuário do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serviço e guarda temporária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de resíduos;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LXI. segregação: separação dos resíduos, conforme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classificação dos Grupos estabelecida no Anexo I desta Resolução,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no momento e local de sua geração, de acordo com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características físicas, químicas, biológicas, o seu estado físico 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riscos envolvidos;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LXII. transporte interno: traslado dos resíduos dos pontos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geração até o abrigo temporário ou o abrigo externo.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LXIII. tratamento: Etapa da destinação que consiste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aplicação de processo que modifique as características físicas,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químicas ou biológicas dos resíduos, reduzindo ou eliminando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risco de dano ao meio ambiente ou à saúde pública;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LXIV. unidade geradora de resíduos de serviço de saúde: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unidade funcional dentro do serviço no qual é gerado o resíduo.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:rsidR="00D7353F" w:rsidRPr="00D7353F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7353F">
        <w:rPr>
          <w:rFonts w:ascii="Times New Roman" w:hAnsi="Times New Roman"/>
          <w:b/>
          <w:sz w:val="24"/>
          <w:szCs w:val="24"/>
          <w:lang w:eastAsia="pt-BR"/>
        </w:rPr>
        <w:t>DO PLANO DE GERENCIAMENTO DE RESÍDUOS DE SERVIÇOS DE SAÚDE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4º O gerenciamento dos RSS deve abranger todas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etapas de planejamento dos recursos físicos, dos recursos materiais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 da capacitação dos recursos humanos envolvidos.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5º Todo serviço gerador deve dispor de um Plano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Gerenciamento de RSS (PGRSS), observando as regulamentações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federais, estaduais, municipais ou do Distrito Federal.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§ 1º Para obtenção da licença sanitária, caso o serviço gere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exclusivamente resíduos do Grupo D, o PGRSS pode ser substituído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por uma notificação desta condição ao órgão de vigilância sanitária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competente, seguindo as orientações locais.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lastRenderedPageBreak/>
        <w:t>§ 2º Caso o serviço gerador possua instalação radiativa,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adicionalmente, deve atender às regulamentações específicas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CNEN.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§ 3º Os novos geradores de resíduos terão prazo de 180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(cento e oitenta) dias, a partir do início do funcionamento,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apresentar o PGRSS.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6º No PGRSS, o gerador de RSS deve: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estimar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a quantidade dos RSS gerados por grupos,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conforme a classificação do Anexo I desta 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descrever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os procedimentos relacionados ao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gerenciamento dos RSS quanto à geração, à segregação, ao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acondicionamento, à identificação, à coleta, ao armazenamento, ao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transporte, ao tratamento e à disposição final ambientalmente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adequada;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III - estar em conformidade com as ações de proteção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saúde pública, do trabalhador e do meio ambiente;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estar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em conformidade com a regulamentação sanitária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 ambiental, bem como com as normas de coleta e transporte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serviços locais de limpeza urbana;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quando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aplicável, contemplar os procedimentos locais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definidos pelo processo de logística reversa para os diversos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estar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em conformidade com as rotinas e processos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higienização e limpeza vigentes no serviço gerador de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VII - descrever as ações a serem adotadas em situações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emergência e acidentes decorrentes do gerenciamento dos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VIII - descrever as medidas preventivas e corretivas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controle integrado de vetores e pragas urbanas, incluindo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tecnologia utilizada e a periodicidade de sua implantação;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IX -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descrever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os programas de capacitação desenvolvidos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 implantados pelo serviço gerador abrangendo todas as unidades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geradoras de RSS e o setor de limpeza e conservação;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 xml:space="preserve">X -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apresentar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documento comprobatório da capacitação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treinamento dos funcionários envolvidos na prestação de serviço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limpeza e conservação que atuem no serviço, próprios ou terceiros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todas as unidades geradoras;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XI - apresentar cópia do contrato de prestação de serviços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 da licença ambiental das empresas prestadoras de serviços para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destinação dos RSS;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XII - apresentar documento comprobatório de operação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venda ou de doação dos RSS destinados à recuperação,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reciclagem, à compostagem e à logística reversa.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Parágrafo único. Os documentos referidos nos incisos X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XII devem ser mantidos arquivados, em meio físico ou eletrônico,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por no mínimo cinco anos, para fins de inspeção sanitária, a critério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da autoridade sanitária competente.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lastRenderedPageBreak/>
        <w:t>Art. 7º O PGRSS deve ser monitorado e mantido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atualizado, conforme periodicidade definida pelo responsável por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sua elaboração e implantação.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8º O estabelecimento que possua serviços geradores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RSS com licenças sanitárias individualizadas deve ter PGRSS único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que contemple todos os serviços existentes.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0025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Parágrafo único. Nas edificações não hospitalares nas quais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houver serviços individualizados, os respectivos RSS dos Grupos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e </w:t>
      </w:r>
      <w:proofErr w:type="spellStart"/>
      <w:r w:rsidRPr="00D7353F">
        <w:rPr>
          <w:rFonts w:ascii="Times New Roman" w:hAnsi="Times New Roman"/>
          <w:sz w:val="24"/>
          <w:szCs w:val="24"/>
          <w:lang w:eastAsia="pt-BR"/>
        </w:rPr>
        <w:t>E</w:t>
      </w:r>
      <w:proofErr w:type="spell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podem ter o armazenamento externo de forma compartilhada.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9º O serviço gerador de RSS deve manter cópia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PGRSS disponível para consulta dos órgãos de vigilância sanitária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ou ambientais, dos funcionários, dos pacientes ou do público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geral.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10 O serviço gerador de RSS é responsável pela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elaboração, implantação, implementação e monitoramento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PGRSS.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Parágrafo único. A elaboração, a implantação e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monitoramento do PGRSS pode ser terceirizada.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Pr="002F742B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F742B">
        <w:rPr>
          <w:rFonts w:ascii="Times New Roman" w:hAnsi="Times New Roman"/>
          <w:b/>
          <w:sz w:val="24"/>
          <w:szCs w:val="24"/>
          <w:lang w:eastAsia="pt-BR"/>
        </w:rPr>
        <w:t>CAPÍTULO III</w:t>
      </w:r>
    </w:p>
    <w:p w:rsidR="002F742B" w:rsidRPr="002F742B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F742B">
        <w:rPr>
          <w:rFonts w:ascii="Times New Roman" w:hAnsi="Times New Roman"/>
          <w:b/>
          <w:sz w:val="24"/>
          <w:szCs w:val="24"/>
          <w:lang w:eastAsia="pt-BR"/>
        </w:rPr>
        <w:t>DAS ETAPAS DO MANEJO</w:t>
      </w:r>
    </w:p>
    <w:p w:rsidR="002F742B" w:rsidRPr="002F742B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F742B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:rsidR="002F742B" w:rsidRPr="002F742B" w:rsidRDefault="00D7353F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F742B">
        <w:rPr>
          <w:rFonts w:ascii="Times New Roman" w:hAnsi="Times New Roman"/>
          <w:b/>
          <w:sz w:val="24"/>
          <w:szCs w:val="24"/>
          <w:lang w:eastAsia="pt-BR"/>
        </w:rPr>
        <w:t>Segregação, acondicionamento e identificação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11 Os RSS devem ser segregados no momento de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geração, conforme classificação por Grupos constante no Anexo I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desta Resolução, em função do risco presente.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12 Quando, no momento da geração de RSS, não for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possível a segregação de acordo com os diferentes grupos,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coletores e os sacos devem ter seu manejo com observância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regras relativas à classificação do Anexo I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13 Os RSS no estado sólido, quando não houver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orientação específica, devem ser acondicionados em saco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constituído de material resistente a ruptura, vazamento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impermeável.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§ 1º Devem ser respeitados os limites de peso de cada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saco, assim como o limite de 2/3 (dois terços) de sua capacidade,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garantindo-se sua integridade e fechamento.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§ 2º É proibido o esvaziamento ou reaproveitamento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sacos.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14 Os sacos para acondicionamento de RSS do grupo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 devem ser substituídos ao atingirem o limite de 2/3 (dois terços)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de sua capacidade ou então a cada 48 (quarenta e oito) horas,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independentemente do volume, visando o conforto ambiental e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segurança dos usuários e profissionais.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lastRenderedPageBreak/>
        <w:t>Parágrafo único. Os sacos contendo RSS do grupo 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fácil putrefação devem ser substituídos no máximo a cada 24 (vinte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e quatro) horas, independentemente do volume.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15 Os RSS do Grupo A que não precisam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obrigatoriamente tratados e os RSS após o tratamento são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considerados rejeitos e devem ser acondicionados em saco branco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leitoso.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Parágrafo único. Os rejeitos, tratados ou não,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acondicionados em sacos brancos leitosos devem ser encaminhados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para disposição 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Art. 16 Quando houver a obrigação do tratamento dos RSS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do Grupo A, estes devem ser acondicionados em sacos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vermelhos.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7353F" w:rsidRDefault="00D7353F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7353F">
        <w:rPr>
          <w:rFonts w:ascii="Times New Roman" w:hAnsi="Times New Roman"/>
          <w:sz w:val="24"/>
          <w:szCs w:val="24"/>
          <w:lang w:eastAsia="pt-BR"/>
        </w:rPr>
        <w:t>Parágrafo único. O saco vermelho pode ser substituído pelo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saco branco leitoso sempre que as regulamentações estaduais,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municipais ou do Distrito Federal exigirem o tratamento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 xml:space="preserve">indiscriminado de todos os RSS do Grupo </w:t>
      </w:r>
      <w:proofErr w:type="gramStart"/>
      <w:r w:rsidRPr="00D7353F">
        <w:rPr>
          <w:rFonts w:ascii="Times New Roman" w:hAnsi="Times New Roman"/>
          <w:sz w:val="24"/>
          <w:szCs w:val="24"/>
          <w:lang w:eastAsia="pt-BR"/>
        </w:rPr>
        <w:t>A, exceto</w:t>
      </w:r>
      <w:proofErr w:type="gramEnd"/>
      <w:r w:rsidRPr="00D7353F">
        <w:rPr>
          <w:rFonts w:ascii="Times New Roman" w:hAnsi="Times New Roman"/>
          <w:sz w:val="24"/>
          <w:szCs w:val="24"/>
          <w:lang w:eastAsia="pt-BR"/>
        </w:rPr>
        <w:t xml:space="preserve">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7353F">
        <w:rPr>
          <w:rFonts w:ascii="Times New Roman" w:hAnsi="Times New Roman"/>
          <w:sz w:val="24"/>
          <w:szCs w:val="24"/>
          <w:lang w:eastAsia="pt-BR"/>
        </w:rPr>
        <w:t>acondicionamento dos RSS do subgrupo A5.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17 O coletor do saco para acondicionamento dos RSS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deve ser de material liso, lavável, resistente à punctura, ruptura,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vazamento e tombamento, com tampa provida de sistema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abertura sem contato manual, com cantos arredondados.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1º O coletor não necessitará de tampa para fechamento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sempre que ocorrer a substituição imediata do saco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acondicionamento após a realização de cada procedimento.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2ºApós sua substituição, o saco para acondicionamento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usado deve ser fechado e transferido para o carro de coleta.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18 Os RSS líquidos devem ser acondicionados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recipientes constituídos de material compatível com o líquido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armazenado, resistentes, rígidos e estanques, com tampa que garanta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 contenção do RSS e identificação conforme o Anexo II desta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19 Os recipientes de acondicionamento para RSS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químicos no estado sólido devem ser constituídos de material rígido,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resistente, compatível com as características do produto químico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acondicionado e identificados conforme o Anexo II desta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20 Os rejeitos radioativos devem ser acondicionados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conforme procedimentos definidos pelo supervisor de proteção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radiológica, com certificado de qualificação emitido pela CNEN,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equivalente de acordo com normas da CNEN, na área de atuação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correspondente.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21 Os RSS do Grupo D devem ser acondicionados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acordo com as orientações dos órgãos locais responsáveis pelo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serviço de limpeza urbana.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22 A identificação dos RSS deve estar afixada 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carros de coleta, nos locais de armazenamento e nos sacos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acondicionam os resíduos.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1º Os sacos que acondicionam os RSS do Grupo D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precisam ser identificados.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lastRenderedPageBreak/>
        <w:t>§ 2º A identificação de que trata este artigo deve estar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afixada em local de fácil visualização, de forma clara e legível,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utilizando-se símbolos e expressões descritos no Anexo II, cores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frases, e outras exigências relacionadas à identificação de conteúdo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 à periculosidade específica de cada grupo de RSS.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3º A identificação dos sacos para acondicionamento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estar impressa, sendo vedado o uso de adesivo.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23 Os RSS gerados pelos serviços de atenção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domiciliar, devem ser acondicionados e recolhidos pelos próprios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agentes de atendimento ou por pessoa treinada para a atividade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encaminhados à destinação 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O transporte destes RSS pode ser feito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próprio veículo utilizado para o atendimento e deve ser realizado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em coletores de material resistente, rígido, identificados e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sistema de fechamento dotado de dispositivo de vedação, garantindo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 estanqueidade e o não tombamento.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24 O descarte de produtos para saúde oriundos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2F742B">
        <w:rPr>
          <w:rFonts w:ascii="Times New Roman" w:hAnsi="Times New Roman"/>
          <w:sz w:val="24"/>
          <w:szCs w:val="24"/>
          <w:lang w:eastAsia="pt-BR"/>
        </w:rPr>
        <w:t>explante</w:t>
      </w:r>
      <w:proofErr w:type="spell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deve seguir o disposto na Resolução da Diretoria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Colegiada - RDC nº 15, de 2012, ou outra que vier a substituí</w:t>
      </w:r>
      <w:r>
        <w:rPr>
          <w:rFonts w:ascii="Times New Roman" w:hAnsi="Times New Roman"/>
          <w:sz w:val="24"/>
          <w:szCs w:val="24"/>
          <w:lang w:eastAsia="pt-BR"/>
        </w:rPr>
        <w:t>-</w:t>
      </w:r>
      <w:r w:rsidRPr="002F742B">
        <w:rPr>
          <w:rFonts w:ascii="Times New Roman" w:hAnsi="Times New Roman"/>
          <w:sz w:val="24"/>
          <w:szCs w:val="24"/>
          <w:lang w:eastAsia="pt-BR"/>
        </w:rPr>
        <w:t>la.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Pr="002F742B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F742B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:rsidR="002F742B" w:rsidRPr="002F742B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F742B">
        <w:rPr>
          <w:rFonts w:ascii="Times New Roman" w:hAnsi="Times New Roman"/>
          <w:b/>
          <w:sz w:val="24"/>
          <w:szCs w:val="24"/>
          <w:lang w:eastAsia="pt-BR"/>
        </w:rPr>
        <w:t>Coleta e transporte interno</w:t>
      </w:r>
    </w:p>
    <w:p w:rsidR="005E14C5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25 O transporte interno dos RSS deve ser realizado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atendendo a rota e a horários previamente definidos, em coletor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identificado de acordo com o Anexo II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E14C5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26 O coletor utilizado para transporte interno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constituído de material liso, rígido, lavável, impermeável, provido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 tampa articulada ao próprio corpo do equipamento, cantos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bordas arredondados.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E14C5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Os coletores com mais de quatrocentos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litros de capacidade devem possuir válvula de dreno no fundo.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5E14C5" w:rsidRPr="005E14C5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E14C5">
        <w:rPr>
          <w:rFonts w:ascii="Times New Roman" w:hAnsi="Times New Roman"/>
          <w:b/>
          <w:sz w:val="24"/>
          <w:szCs w:val="24"/>
          <w:lang w:eastAsia="pt-BR"/>
        </w:rPr>
        <w:t>Seção III</w:t>
      </w:r>
    </w:p>
    <w:p w:rsidR="005E14C5" w:rsidRPr="005E14C5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5E14C5">
        <w:rPr>
          <w:rFonts w:ascii="Times New Roman" w:hAnsi="Times New Roman"/>
          <w:b/>
          <w:sz w:val="24"/>
          <w:szCs w:val="24"/>
          <w:lang w:eastAsia="pt-BR"/>
        </w:rPr>
        <w:t>Armazenamento interno, temporário e externo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27 No armazenamento temporário e externo de RSS é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obrigatório manter os sacos acondicionados dentro de coletores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 tampa fechada.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28 Os procedimentos para o armazenamento interno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devem ser descritos e incorporados ao PGRSS do serviço.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A coleta e o transporte externo dos RSS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devem ser compatíveis com os Planos Municipais e do Distrito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Federal de Gestão Integrada de Resíduos Sólidos e com as demais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normativas aplicáveis.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29 O abrigo temporário de RSS deve: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lastRenderedPageBreak/>
        <w:t xml:space="preserve">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ser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provido de pisos e paredes revestidos de material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resistente, lavável e impermeável;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possuir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ponto de iluminação artificial e de água,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tomada elétrica alta e ralo sifonado com tampa;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III - quando provido de área de ventilação, esta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dotada de tela de proteção contra roedores e vetores;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ter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porta de largura compatível com as dimensões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coletores;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estar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identificado como "ABRIGO TEMPORÁRIO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RESÍDUOS".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30 O armazenamento temporário pode ser dispensado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no caso em que o fluxo de recolhimento e transporte justifique.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</w:t>
      </w:r>
      <w:r w:rsidR="002F742B" w:rsidRPr="002F742B">
        <w:rPr>
          <w:rFonts w:ascii="Times New Roman" w:hAnsi="Times New Roman"/>
          <w:sz w:val="24"/>
          <w:szCs w:val="24"/>
          <w:lang w:eastAsia="pt-BR"/>
        </w:rPr>
        <w:t>rt. 31 A sala de utilidades ou expurgo pode ser</w:t>
      </w:r>
      <w:r w:rsidR="002F742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F742B" w:rsidRPr="002F742B">
        <w:rPr>
          <w:rFonts w:ascii="Times New Roman" w:hAnsi="Times New Roman"/>
          <w:sz w:val="24"/>
          <w:szCs w:val="24"/>
          <w:lang w:eastAsia="pt-BR"/>
        </w:rPr>
        <w:t>compartilhada para o armazenamento temporário dos RSS dos</w:t>
      </w:r>
      <w:r w:rsidR="002F742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F742B" w:rsidRPr="002F742B">
        <w:rPr>
          <w:rFonts w:ascii="Times New Roman" w:hAnsi="Times New Roman"/>
          <w:sz w:val="24"/>
          <w:szCs w:val="24"/>
          <w:lang w:eastAsia="pt-BR"/>
        </w:rPr>
        <w:t xml:space="preserve">Grupos A, E </w:t>
      </w:r>
      <w:proofErr w:type="spellStart"/>
      <w:r w:rsidR="002F742B" w:rsidRPr="002F742B">
        <w:rPr>
          <w:rFonts w:ascii="Times New Roman" w:hAnsi="Times New Roman"/>
          <w:sz w:val="24"/>
          <w:szCs w:val="24"/>
          <w:lang w:eastAsia="pt-BR"/>
        </w:rPr>
        <w:t>e</w:t>
      </w:r>
      <w:proofErr w:type="spellEnd"/>
      <w:r w:rsidR="002F742B" w:rsidRPr="002F742B">
        <w:rPr>
          <w:rFonts w:ascii="Times New Roman" w:hAnsi="Times New Roman"/>
          <w:sz w:val="24"/>
          <w:szCs w:val="24"/>
          <w:lang w:eastAsia="pt-BR"/>
        </w:rPr>
        <w:t xml:space="preserve"> D, devendo ser compatível com a área a ser ocupada</w:t>
      </w:r>
      <w:r w:rsidR="002F742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F742B" w:rsidRPr="002F742B">
        <w:rPr>
          <w:rFonts w:ascii="Times New Roman" w:hAnsi="Times New Roman"/>
          <w:sz w:val="24"/>
          <w:szCs w:val="24"/>
          <w:lang w:eastAsia="pt-BR"/>
        </w:rPr>
        <w:t>pelos coletores em uso.</w:t>
      </w:r>
      <w:r w:rsidR="002F742B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Na hipótese descrita no caput, a sala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utilidades ou expurgo deve conter também a identificação com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inscrição "ABRIGO TEMPORÁRIO DE RESÍDUOS".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32 RSS de fácil putrefação devem ser submetidos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método de conservação em caso de armazenamento por período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superior a vinte e quatro horas.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33 O gerenciamento de rejeitos radioativos, grupo C,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deve obedecer ao Plano de Proteção Radiológica do Serviço,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Normas da CNEN e demais normas aplicáveis.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34 O abrigo externo deve ter, no mínimo, um ambiente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para armazenar os coletores dos RSS do Grupo A, podendo também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conter os RSS do grupo E, e outro ambiente exclusivo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armazenar os coletores de RSS do grupo D.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35 O abrigo externo deve: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permitir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fácil acesso às operações do transporte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interno;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permitir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fácil acesso aos veículos de coleta externa;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III - ser dimensionado com capacidade de armazenagem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mínima equivalente à ausência de uma coleta regular, obedecendo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frequência de coleta de cada grupo de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ser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construído com piso, paredes e teto de material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resistente, lavável e de fácil higienização, com aberturas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ventilação e com tela de proteção contra acesso de vetores;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ser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identificado conforme os Grupos de RSS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armazenados;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VI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ser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de acesso restrito às pessoas envolvidas no manejo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VII - possuir porta com abertura para fora, provida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proteção inferior contra roedores e vetores, com dimensões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compatíveis com as dos coletores utilizados;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lastRenderedPageBreak/>
        <w:t>VIII - ter ponto de iluminação;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IX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possuir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canaletas para o escoamento dos efluentes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lavagem, direcionadas para a rede de esgoto, com ralo sifonado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tampa;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X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possuir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área coberta para pesagem dos RSS, quando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couber;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XI - possuir área coberta, com ponto de saída de água,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higienização e limpeza dos coletores utilizados.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36 O abrigo externo dos RSS do Grupo B deve,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ainda: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respeitar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a segregação das categorias de RSS químicos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 incompatibilidade química, conforme os Anexos III e IV desta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estar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identificado com a simbologia de risco associado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à periculosidade do RSS químico, conforme Anexo II desta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Resolução;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III - possuir caixa de retenção a montante das canaletas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para o armazenamento de RSS líquidos ou outra forma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contenção validada;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possuir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sistema elétrico e de combate a incêndio,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 xml:space="preserve">atendam </w:t>
      </w:r>
      <w:proofErr w:type="spellStart"/>
      <w:r w:rsidRPr="002F742B">
        <w:rPr>
          <w:rFonts w:ascii="Times New Roman" w:hAnsi="Times New Roman"/>
          <w:sz w:val="24"/>
          <w:szCs w:val="24"/>
          <w:lang w:eastAsia="pt-BR"/>
        </w:rPr>
        <w:t>os</w:t>
      </w:r>
      <w:proofErr w:type="spell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requisitos de proteção estabelecidos pelos órgãos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competentes.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37 É proibido o armazenamento dos coletores em uso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fora de abrigos.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O armazenamento interno de RSS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químico ou rejeito radioativo pode ser feito no local de trabalho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onde foram gerados.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Seção IV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Coleta e transporte externos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0F3513" w:rsidRPr="00DD666A" w:rsidRDefault="000F3513" w:rsidP="000F3513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 xml:space="preserve">Seção </w:t>
      </w:r>
      <w:r>
        <w:rPr>
          <w:rFonts w:ascii="Times New Roman" w:hAnsi="Times New Roman"/>
          <w:b/>
          <w:sz w:val="24"/>
          <w:szCs w:val="24"/>
          <w:lang w:eastAsia="pt-BR"/>
        </w:rPr>
        <w:t>I</w:t>
      </w:r>
      <w:r w:rsidRPr="00DD666A">
        <w:rPr>
          <w:rFonts w:ascii="Times New Roman" w:hAnsi="Times New Roman"/>
          <w:b/>
          <w:sz w:val="24"/>
          <w:szCs w:val="24"/>
          <w:lang w:eastAsia="pt-BR"/>
        </w:rPr>
        <w:t>V</w:t>
      </w:r>
    </w:p>
    <w:p w:rsidR="000F3513" w:rsidRDefault="000F3513" w:rsidP="000F3513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F3513">
        <w:rPr>
          <w:rFonts w:ascii="Times New Roman" w:hAnsi="Times New Roman"/>
          <w:b/>
          <w:sz w:val="24"/>
          <w:szCs w:val="24"/>
          <w:lang w:eastAsia="pt-BR"/>
        </w:rPr>
        <w:t>Coleta e transporte externos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38 Os veículos de transporte externo dos RSS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podem ser dotados de sistema de compactação ou outro sistema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danifique os sacos contendo os RSS, exceto para os RSS do Grupo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39 O transporte externo de rejeitos radioativos,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seguir normas específicas, caso existam e as normas da CNEN.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Seção V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Destinação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40 Os RSS que não apresentam risco biológico,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químico ou radiológico podem ser encaminhados para reciclagem,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recuperação, reutilização, compostagem, aproveitamento energético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ou logística reversa.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41 Os rejeitos que não apresentam risco biológico,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químico ou radiológico devem ser encaminhados para disposição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lastRenderedPageBreak/>
        <w:t>Art. 42 As embalagens primárias vazias de medicamentos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cujas classes farmacêuticas constem no Art. 59 desta Resolução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devem ser descartadas como rejeitos e não precisam de tratamento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prévio à sua destinação.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43 Sempre que não houver indicação específica,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tratamento do RSS pode ser realizado dentro ou fora da unidade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geradora.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Parágrafo único. Os RSS tratados devem ser considerados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como rejeitos.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44 O tratamento dos RSS que apresentem múltiplos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riscos deve obedecer à seguinte sequência: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na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presença de risco radiológico associado, armazenar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 xml:space="preserve">para decaimento da atividade do </w:t>
      </w:r>
      <w:proofErr w:type="spellStart"/>
      <w:r w:rsidRPr="002F742B">
        <w:rPr>
          <w:rFonts w:ascii="Times New Roman" w:hAnsi="Times New Roman"/>
          <w:sz w:val="24"/>
          <w:szCs w:val="24"/>
          <w:lang w:eastAsia="pt-BR"/>
        </w:rPr>
        <w:t>radionuclídeo</w:t>
      </w:r>
      <w:proofErr w:type="spell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até que o nível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dispensa seja atingido;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2F742B">
        <w:rPr>
          <w:rFonts w:ascii="Times New Roman" w:hAnsi="Times New Roman"/>
          <w:sz w:val="24"/>
          <w:szCs w:val="24"/>
          <w:lang w:eastAsia="pt-BR"/>
        </w:rPr>
        <w:t>na</w:t>
      </w:r>
      <w:proofErr w:type="gram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presença de risco biológico associado contendo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agente biológico classe de risco 4, encaminhar para tratamento;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III - na presença de riscos químico e biológico,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tratamento deve ser compatível com ambos os riscos associados.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Após o tratamento, o símbolo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identificação relativo ao risco do resíduo tratado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retirado.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45 A destinação dos medicamentos recolhidos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apreendidos, objetos de ações de fiscalização sanitária, deve seguir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 determinação prevista no art. 59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É responsabilidade do serviço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providenciar o tratamento previsto no Art. 59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CAPÍTULO IV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DO GERENCIAMENTO DOS GRUPOS DE RESÍDUOS DE SERVIÇOS DE SAÚDE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Resíduos de Serviços de Saúde do Grupo A - Subgrupo A1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46 As culturas e os estoques de microrganismos;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resíduos de fabricação de produtos biológicos, exceto 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medicamentos hemoderivados; os meios de cultura 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instrumentais utilizados para transferência, inoculação ou mistura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culturas; e os resíduos de laboratórios de manipulação genética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devem ser tratados.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1º Devem ser submetidos a tratamento, utilizando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processos que vierem a ser validados para a obtenção de redução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eliminação da carga microbiana, em equipamento compatível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Nível III de inativação microbiana.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2º As culturas e os estoques de microrganismos, bem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como os meios de cultura e os instrumentais utilizados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transferência, inoculação ou mistura de culturas contendo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microrganismos das classes de risco 1 e 2 podem ser tratados fora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da unidade geradora, desde que este tratamento ocorra nas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dependências do serviço de saúde.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lastRenderedPageBreak/>
        <w:t>§ 3º As culturas e os estoques de microrganismos, bem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como os meios de cultura e os instrumentais utilizados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transferência, inoculação ou mistura de culturas contendo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microrganismos das classes de risco 3 e 4 devem ser tratados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unidade geradora.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4º Estes RSS devem ser acondicionados de maneira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compatível com o processo de tratamento.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5º Após o tratamento, os rejeitos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encaminhados para disposição 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47 Os RSS resultantes de atividades de vacinação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microrganismos vivos, atenuados ou inativados incluindo frascos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vacinas com expiração do prazo de validade, com conteúdo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inutilizado ou com restos do produto e seringas, quando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desconectadas, devem ser tratados antes da disposição final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As agulhas e o conjunto seringa-agulha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utilizadas na aplicação de vacinas, quando não desconectadas,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 xml:space="preserve">devem atender às regras de manejo dos resíduos </w:t>
      </w:r>
      <w:proofErr w:type="spellStart"/>
      <w:r w:rsidRPr="002F742B">
        <w:rPr>
          <w:rFonts w:ascii="Times New Roman" w:hAnsi="Times New Roman"/>
          <w:sz w:val="24"/>
          <w:szCs w:val="24"/>
          <w:lang w:eastAsia="pt-BR"/>
        </w:rPr>
        <w:t>perfurocortantes</w:t>
      </w:r>
      <w:proofErr w:type="spellEnd"/>
      <w:r w:rsidRPr="002F742B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48 Os RSS resultantes da atenção à saúde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indivíduos ou animais com suspeita ou certeza de contaminação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biológica por agentes classe de risco 4, por microrganismos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relevância epidemiológica e risco de disseminação, causadores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 xml:space="preserve">doença emergente que se tornem </w:t>
      </w:r>
      <w:proofErr w:type="spellStart"/>
      <w:r w:rsidRPr="002F742B">
        <w:rPr>
          <w:rFonts w:ascii="Times New Roman" w:hAnsi="Times New Roman"/>
          <w:sz w:val="24"/>
          <w:szCs w:val="24"/>
          <w:lang w:eastAsia="pt-BR"/>
        </w:rPr>
        <w:t>epidemiologicamente</w:t>
      </w:r>
      <w:proofErr w:type="spellEnd"/>
      <w:r w:rsidRPr="002F742B">
        <w:rPr>
          <w:rFonts w:ascii="Times New Roman" w:hAnsi="Times New Roman"/>
          <w:sz w:val="24"/>
          <w:szCs w:val="24"/>
          <w:lang w:eastAsia="pt-BR"/>
        </w:rPr>
        <w:t xml:space="preserve"> importantes,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ou cujos mecanismos de transmissão sejam desconhecidos,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ser tratados antes da disposição 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 xml:space="preserve">Art. 49 As bolsas de sangue e de </w:t>
      </w:r>
      <w:proofErr w:type="spellStart"/>
      <w:r w:rsidRPr="002F742B">
        <w:rPr>
          <w:rFonts w:ascii="Times New Roman" w:hAnsi="Times New Roman"/>
          <w:sz w:val="24"/>
          <w:szCs w:val="24"/>
          <w:lang w:eastAsia="pt-BR"/>
        </w:rPr>
        <w:t>hemocomponentes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rejeitadas por contaminação, por má conservação, com prazo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validade vencido e oriundas de coleta incompleta; as sobras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amostras de laboratório contendo sangue ou líquidos corpóreos; bem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como os recipientes e materiais resultantes do processo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assistência à saúde, contendo sangue ou líquidos corpóreos na forma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livre, devem ser tratados antes da disposição final ambientalmente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1º As sobras de amostras de laboratório contendo sangue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ou líquidos corpóreos podem ser descartadas diretamente no sistema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 coleta de esgotos, desde que atendam respectivamente as regras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estabelecidas pelos órgãos ambientais e pelos serviços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saneamento competentes.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2º Caso o tratamento venha a ser realizado fora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unidade geradora ou do serviço, estes RSS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acondicionados em saco vermelho e transportados em recipiente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rígido, impermeável, resistente à punctura, ruptura, vazamento,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tampa provida de controle de fechamento e identificado.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Resíduos de Serviços de Saúde do Grupo A - Subgrupo A2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50 Os RSS do Subgrupo A2 devem ser tratados antes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da disposição 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lastRenderedPageBreak/>
        <w:t>§ 1º Os RSS referidos no caput devem ser acondicionados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 maneira compatível com o processo de tratamento.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2º O tratamento pode ser realizado fora da unidade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geradora, desde que ocorra nas dependências do serviço.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3º Quando houver necessidade de outra solução,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função do porte do animal, deve haver autorização prévia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órgãos de saúde e ambiental competentes.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§ 4º Após o tratamento, os rejeitos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acondicionados em saco branco leitoso e identificados com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inscrição "PEÇAS ANATÔMICAS DE ANIMAIS".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51 Os RSS do Subgrupo A2 contendo microrganismos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com alto risco de transmissibilidade, alto potencial de letalidade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que representem risco caso sejam disseminados no meio ambiente,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devem ser submetidos, na unidade geradora, a tratamento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atenda ao Nível III de Inativação Microbiana.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Quando houver necessidade de outra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solução, em função do porte do animal, deve haver autorização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prévia dos órgãos de saúde e ambiental competentes.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Seção III</w:t>
      </w:r>
    </w:p>
    <w:p w:rsidR="00DD666A" w:rsidRPr="00DD666A" w:rsidRDefault="002F742B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Resíduos de Serviços de Saúde do Grupo A - Subgrupo A3</w:t>
      </w:r>
    </w:p>
    <w:p w:rsidR="00DD666A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Art. 52 Os RSS do Subgrupo A3 devem ser destinados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sepultamento, cremação, incineração ou outra destinação licenciada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pelo órgão ambiental competente.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F742B" w:rsidRDefault="002F742B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742B">
        <w:rPr>
          <w:rFonts w:ascii="Times New Roman" w:hAnsi="Times New Roman"/>
          <w:sz w:val="24"/>
          <w:szCs w:val="24"/>
          <w:lang w:eastAsia="pt-BR"/>
        </w:rPr>
        <w:t>Parágrafo único. Quando forem encaminhados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incineração, os RSS devem ser acondicionados em sacos vermelhos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F742B">
        <w:rPr>
          <w:rFonts w:ascii="Times New Roman" w:hAnsi="Times New Roman"/>
          <w:sz w:val="24"/>
          <w:szCs w:val="24"/>
          <w:lang w:eastAsia="pt-BR"/>
        </w:rPr>
        <w:t>e identificados com a inscrição "PEÇAS ANATÔMICAS".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P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Seção IV</w:t>
      </w:r>
    </w:p>
    <w:p w:rsidR="00DD666A" w:rsidRP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Resíduos de Serviços de Saúde do Grupo A - Subgrupo A4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53 Os RSS do Subgrupo A4 não necessitam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tratamento prévio.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Os RSS do Subgrupo A4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acondicionados em saco branco leitoso e encaminhados para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disposição 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54 Os cadáveres e as carcaças de animais podem ter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acondicionamento e transporte diferenciados, conforme o porte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animal, de acordo com a regulamentação definida pelos órgãos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ambientais e sanitários.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P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Seção V</w:t>
      </w:r>
    </w:p>
    <w:p w:rsidR="00DD666A" w:rsidRP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Resíduos de Serviços de Saúde do Grupo A - Subgrupo A5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55 Os RSS do Subgrupo A5 devem ser encaminhados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para tratamento por incineração.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lastRenderedPageBreak/>
        <w:t>Parágrafo único. Os RSS referidos no caput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segregados e acondicionados em saco vermelho duplo, como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barreira de proteção, e contidos em recipiente exclusivo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devidamente identificado.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P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Seção VI</w:t>
      </w:r>
    </w:p>
    <w:p w:rsidR="00DD666A" w:rsidRP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Resíduos de Serviços de Saúde do Grupo B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56 O gerenciamento dos RSS do Grupo B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observar a periculosidade das substâncias presentes, decorrentes 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características de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inflamabilidade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corrosividade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>, reatividade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toxicidade.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As características dos produtos químicos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estão identificadas nas Fichas de Informações de Segurança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Produtos Químicos (FISPQ), não se aplicando aos produtos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farmacêuticos e cosméticos.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57 Os RSS do Grupo B, no estado sólido e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características de periculosidade, sempre que considerados rejeitos,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devem ser dispostos em aterro de resíduos perigosos - Classe I.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58 Os RSS do Grupo B com características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periculosidade, no estado líquido, devem ser submetidos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tratamento antes da disposição 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§ 1º Quando submetidos a processo de solidificação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ser destinados conforme o risco presente.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§ 2º É vedado o encaminhamento de RSS na forma líquida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para disposição final em aterros sanitários.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59 Os resíduos de medicamentos contendo produtos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hormonais e produtos antimicrobianos; citostáticos;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antineoplásicos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imunossupressores; digitálicos,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imunomoduladores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;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anti-retrovirais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>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quando descartados por serviços assistenciais de saúde, farmácias,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drogarias e distribuidores de medicamentos ou apreendidos, devem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ser submetidos a tratamento ou dispostos em aterro de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perigosos - Classe I.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60 Para o acondicionamento dos RSS do Grupo B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devem ser observadas as incompatibilidades químicas descritas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Anexos IV e V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Os RSS do Grupo B destinados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recuperação ou reutilização devem ser acondicionados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recipientes individualizados, observados os requisitos de segurança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compatibilidade.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61 As embalagens e os materiais contaminados por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produtos químicos, exceto as embalagens primárias vazias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medicamentos cujas classes farmacêuticas constem no Art. 59 desta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Resolução, devem ser submetidos ao mesmo manejo do produto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químico que os contaminou.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§ 1º As embalagens primárias vazias podem ser utilizadas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para acondicionamento de RSS do Grupo B, observada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compatibilidade química, conforme Anexo IV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lastRenderedPageBreak/>
        <w:t>§ 2º As embalagens primárias vazias de produtos químicos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com algum tipo de periculosidade, submetidas à limpeza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técnicas validadas ou reconhecidas, são consideradas rejeitos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devem ser encaminhadas para disposição final ambientalmente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§ 3º Somente as embalagens vazias de produtos químicos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sem periculosidade podem ser encaminhadas para processos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reciclagem.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62 As embalagens secundárias de medicamentos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contaminadas devem ser descaracterizadas quanto às informações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rotulagem, podendo ser encaminhadas para reciclagem.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63 As excretas de pacientes tratados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quimioterápicos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antineoplásicos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podem ser lançadas em rede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coletora de esgotos sanitários, conectada à estação de tratamento,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desde que atendam às normas e diretrizes da concessionária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sistema de coleta e tratamento de esgotos sanitários ou lançadas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diretamente em corpos hídricos após tratamento próprio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serviço.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64 Os medicamentos hemoderivados devem ter seu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manejo como resíduo do Grupo B sem periculosidade.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65 Os resíduos de produtos e insumos farmacêuticos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sujeitos a controle especial devem atender à regulamentação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sanitária em vigor.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66 Os reveladores utilizados em radiologia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tratados, podendo ser submetidos a processo de neutralização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alcançarem pH entre 7 e 9 e serem posteriormente lançados na rede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coletora de esgoto com tratamento, atendendo às determinações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órgãos de meio ambiente e do serviço de saneamento.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67 Os fixadores usados em radiologia, quando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submetidos a processo de recuperação da prata,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encaminhados para tratamento antes da disposição final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68 Os RSS sólidos contendo metais pesados, quando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não submetidos a tratamento devem ser dispostos em aterro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resíduos perigosos - Classe I, conforme orientação do órgão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ambiental competente.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O descarte de pilhas, baterias,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acumuladores de carga e lâmpadas fluorescentes deve ser feito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acordo com as normas ambientais vigentes.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69 A destinação dos RSS líquidos contendo metais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pesados acima dos limites de descarte deve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obedecer as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orientações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dos órgãos ambientais competentes.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Os RSS contendo mercúrio (Hg) na forma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líquida devem ser acondicionados em recipientes sob selo d'água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encaminhados para recuperação ou para outra destinação que esteja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 acordo com as regras definidas pelo órgão ambiental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competente.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70 Os RSS do Grupo B que não apresentem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periculosidade à saúde pública ou ao meio ambiente não necessitam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 tratamento, podendo ser submetidos a processo de recuperação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ou reutilização.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lastRenderedPageBreak/>
        <w:t>Art. 71 A destinação dos resíduos dos equipamentos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automatizados e dos reagentes de laboratórios clínicos, incluindo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produtos para diagnóstico de uso in vitro deve considerar todos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riscos presentes, conforme normas ambientais vigentes.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P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Seção VII</w:t>
      </w:r>
    </w:p>
    <w:p w:rsidR="00DD666A" w:rsidRP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D666A">
        <w:rPr>
          <w:rFonts w:ascii="Times New Roman" w:hAnsi="Times New Roman"/>
          <w:b/>
          <w:sz w:val="24"/>
          <w:szCs w:val="24"/>
          <w:lang w:eastAsia="pt-BR"/>
        </w:rPr>
        <w:t>Resíduos de Serviços de Saúde do Grupo C - Rejeitos Radioativos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72 Os rejeitos radioativos devem ser segregados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acordo com o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radionuclídeo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ou natureza da radiação, estado físico,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concentração e taxa de exposição.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73 Os recipientes de acondicionamento de rejeitos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radioativos devem ser adequados às características físicas, químicas,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biológicas e radiológicas dos rejeitos, possuir vedação e ter o seu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conteúdo identificado, conforme especificado nas normas vigentes.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74 Os RSS químicos radioativos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acondicionados em coletores próprios, identificados quanto aos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riscos radiológico e químico presentes, e armazenados no local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decaimento até atingir o limite de dispensa.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Art. 75 Os RSS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perfurocortantes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radioativos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transportados do local de geração até o local de armazenamento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para decaimento em recipiente blindado.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É vedada a separação do conjunto seringa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agulha contendo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radionuclídeos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, assim como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reencape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manual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agulhas.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76 Os rejeitos radioativos devem ser armazenados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condições adequadas, para o decaimento do elemento radioativo,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podendo ser realizado na própria sala de manipulação ou em sala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específica, identificada como "SALA DE DECAIMENTO".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O armazenamento de rejeitos radioativos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líquidos deve ser feito sobre bacia de contenção, bandeja, recipiente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ou material absorvente com capacidade de conter ou absorver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dobro do volume do líquido presente na embalagem.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77 Os RSS de fácil putrefação contaminados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radionuclídeos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>, depois de acondicionados e identificados como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rejeito radioativo, devem ser mantidos sob refrigeração ou por outro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processo que evite a decomposição, durante o período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armazenamento para decaimento.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DD666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78 As sobras de alimentos provenientes de pacientes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submetidos à terapia com iodo 131, depois de acondicionadas,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devem ter seu nível de radiação medido.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440ABA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§1º Quando os valores de atividade ou de concentração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atividade forem superiores aos níveis de dispensa, o RSS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considerado como rejeito radioativo e deve observar as condições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conservação de RSS de fácil putrefação.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§2ºComo alternativa ao disposto no §1º, as sobras destes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alimentos podem ser trituradas na sala de decaimento ou nas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instalações sanitárias do quarto terapêutico, e posteriormente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direcionadas para a rede coletora de esgotos com tratamento.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lastRenderedPageBreak/>
        <w:t>§ 3º Quando os valores de atividade ou de concentração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atividade forem inferiores ou iguais aos níveis de dispensa,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resíduos sólidos podem ser descartados como resíduos do Grupo D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 os resíduos líquidos na rede coletora de esgotos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tratamento.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79 Quando o processo de decaimento do elemento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radioativo atingir o nível do limite de dispensa estabelecido pelas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normas vigentes, o rótulo de "REJEITO RADIOATIVO" deve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retirado, permanecendo a identificação dos demais riscos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presentes.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A retirada da identificação de risco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radiológico deve ser precedida de medição da radiação.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Seção VIII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Resíduos de Serviços de Saúde do Grupo D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80 Os RSS do Grupo D, quando não encaminhados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para reutilização, recuperação, reciclagem, compostagem, logística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reversa ou aproveitamento energético, devem ser classificados como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rejeitos.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§ 1º Os rejeitos sólidos devem ser dispostos conforme 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normas ambientais vigentes.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§ 2º Os efluentes líquidos podem ser lançados em rede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coletora de esgotos.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81 O lançamento de rejeitos líquidos em rede coletora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 esgotos, conectada à estação de tratamento, deve atender às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normas ambientais e às diretrizes do serviço de saneamento.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Quando não houver acesso à sistema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coleta e tratamento de esgoto por empresa de saneamento, estes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efluentes devem ser tratados em sistema ambientalmente licenciado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antes do lançamento em corpo receptor.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82 Artigos e materiais utilizados na área de trabalho,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incluindo vestimentas e Equipamento de Proteção Individual (EPI),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desde que não apresentem sinais ou suspeita de contaminação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química, biológica ou radiológica, podem ter seu manejo realizado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como RSS do Grupo D.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83 Os procedimentos de segregação, acondicionamento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 identificação dos coletores dos resíduos do Grupo D, para fins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reciclagem, devem estar descritos no PGRSS.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84 Só podem ser destinados para compostagem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forrações de animais de biotérios que não tenham risco biológico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associado, os resíduos de flores, podas de árvores, jardinagem,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sobras de alimentos e de seu pré-preparo, restos alimentares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refeitórios e restos alimentares de pacientes que não estejam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isolamento.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85 Os restos e sobras de alimentos só podem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utilizados como ração animal, se forem submetidos a processo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garanta a inocuidade do composto, com a concordância do órgão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competente do Ministério da Agricultura e de Vigilância Sanitária.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Pr="003C30A3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lastRenderedPageBreak/>
        <w:t>Seção IX</w:t>
      </w:r>
    </w:p>
    <w:p w:rsidR="003C30A3" w:rsidRPr="003C30A3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Resíduos de Serviços de Saúde do Grupo E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Art. 86 Os materiais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perfurocortantes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devem ser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descartados em recipientes identificados, rígidos, providos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tampa, resistentes à punctura, ruptura e vazamento.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87 Os recipientes de acondicionamento dos RSS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Grupo E devem ser substituídos de acordo com a demanda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quando o nível de preenchimento atingir 3/4 (três quartos)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capacidade ou de acordo com as instruções do fabricante, sendo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proibidos seu esvaziamento manual e seu reaproveitamento.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Admite-se o emprego de tecnologia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promova o esvaziamento automatizado de recipientes plásticos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específicos com posterior descontaminação, possibilitando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reutilização.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88 Os RSS do Grupo E, quando contaminados por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agentes biológicos, químicos e substâncias radioativas, devem ter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seu manejo de acordo com cada classe de risco associada.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O recipiente de acondicionamento deve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conter a identificação de todos os riscos presentes.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89 As seringas e agulhas, inclusive as usadas na coleta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laboratorial de amostra de doadores e de pacientes, e os demais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materiais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perfurocortantes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que não apresentem risco químico,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biológico ou radiológico não necessitam de tratamento prévio à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disposição final ambientalmente adequada.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Parágrafo único. É permitida a separação do conjunto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seringa agulha com auxílio de dispositivos de segurança, sendo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 xml:space="preserve">vedada a desconexão e o </w:t>
      </w:r>
      <w:proofErr w:type="spellStart"/>
      <w:r w:rsidRPr="00DD666A">
        <w:rPr>
          <w:rFonts w:ascii="Times New Roman" w:hAnsi="Times New Roman"/>
          <w:sz w:val="24"/>
          <w:szCs w:val="24"/>
          <w:lang w:eastAsia="pt-BR"/>
        </w:rPr>
        <w:t>reencape</w:t>
      </w:r>
      <w:proofErr w:type="spell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manual de agulhas.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Pr="003C30A3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CAPÍTULO V</w:t>
      </w:r>
    </w:p>
    <w:p w:rsidR="003C30A3" w:rsidRPr="003C30A3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DA SEGURANÇA OCUPACIONAL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90 O serviço deve garantir que os trabalhadores sejam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avaliados periodicamente, seguindo a legislação específica,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relação à saúde ocupacional, mantendo registros desta avaliação.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91 O serviço deve manter um programa de educação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continuada para os trabalhadores e todos os envolvidos nas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atividades de gerenciamento de resíduos, mesmo os que atuam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temporariamente, que contemplem os seguintes temas: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I -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sistema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adotado para o gerenciamento dos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II -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prática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de segregação dos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III - símbolos, expressões, padrões de cores adotadas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o gerenciamento de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IV -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localização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dos ambientes de armazenamento e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abrigos de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V -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ciclo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de vida dos materiais;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lastRenderedPageBreak/>
        <w:t xml:space="preserve">VI -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regulamentação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ambiental, de limpeza pública 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vigilância sanitária, relativas aos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VII - definições, tipo, classificação e risco no manejo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VIII - formas de reduzir a geração de RSS e reutilização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materiais;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IX -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responsabilidades e tarefas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X -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identificação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dos grupos de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XI - utilização dos coletores dos RSS;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XII - uso de Equipamentos de Proteção Individual (EPI)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Coletiva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(EPC);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XIII - biossegurança;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XIV - orientações quanto à higiene pessoal e 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ambientes;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 xml:space="preserve">XV - </w:t>
      </w:r>
      <w:proofErr w:type="gramStart"/>
      <w:r w:rsidRPr="00DD666A">
        <w:rPr>
          <w:rFonts w:ascii="Times New Roman" w:hAnsi="Times New Roman"/>
          <w:sz w:val="24"/>
          <w:szCs w:val="24"/>
          <w:lang w:eastAsia="pt-BR"/>
        </w:rPr>
        <w:t>orientações</w:t>
      </w:r>
      <w:proofErr w:type="gramEnd"/>
      <w:r w:rsidRPr="00DD666A">
        <w:rPr>
          <w:rFonts w:ascii="Times New Roman" w:hAnsi="Times New Roman"/>
          <w:sz w:val="24"/>
          <w:szCs w:val="24"/>
          <w:lang w:eastAsia="pt-BR"/>
        </w:rPr>
        <w:t xml:space="preserve"> especiais e treinamento em proteção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radiológica quando houver rejeitos radioativos;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XVI - providências a serem tomadas em caso de acidentes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 de situações emergenciais;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XVII - visão básica do gerenciamento dos resíduos sólidos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no município ou Distrito Federal;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XVIII - noções básicas de controle de infecção 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contaminação química;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XIX - conhecimento dos instrumentos de avaliação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controle do PGRSS.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Pr="003C30A3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CAPÍTULO VI</w:t>
      </w:r>
    </w:p>
    <w:p w:rsidR="003C30A3" w:rsidRPr="003C30A3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DAS DISPOSIÇÕES FINAIS E TRANSITÓRIAS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92 Fica revogada a Resolução da Diretoria Colegiada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RDC Anvisa nº 306, de 7 de dezembro de 2004, a partir da entrada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em vigor desta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93 Fica revogado o item 7 do Anexo 2 da Resolução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da Diretoria Colegiada - RDC nº 305, de 14 de novembro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2002.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94 O descumprimento das disposições contidas nesta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Resolução constitui infração sanitária, nos termos da Lei nº 6.437,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de 20 de agosto de 1977, sem prejuízo das responsabilidades civil,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administrativa e penal cabíveis.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DD666A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Art. 95 Esta Resolução entra em vigor 180 (cento e oitenta)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DD666A">
        <w:rPr>
          <w:rFonts w:ascii="Times New Roman" w:hAnsi="Times New Roman"/>
          <w:sz w:val="24"/>
          <w:szCs w:val="24"/>
          <w:lang w:eastAsia="pt-BR"/>
        </w:rPr>
        <w:t>dias a partir da data da sua 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D666A" w:rsidRDefault="00DD666A" w:rsidP="00046CC5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DD666A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3C30A3" w:rsidRDefault="003C30A3" w:rsidP="00046CC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lastRenderedPageBreak/>
        <w:br w:type="page"/>
      </w:r>
    </w:p>
    <w:p w:rsidR="003C30A3" w:rsidRP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lastRenderedPageBreak/>
        <w:t>ANEXO I</w:t>
      </w:r>
    </w:p>
    <w:p w:rsidR="003C30A3" w:rsidRP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CLASSIFICAÇÃO DOS RESÍDUOS DE SERVIÇOS DE</w:t>
      </w:r>
      <w:r>
        <w:rPr>
          <w:rFonts w:ascii="Times New Roman" w:hAnsi="Times New Roman"/>
          <w:b/>
          <w:sz w:val="24"/>
          <w:szCs w:val="24"/>
          <w:lang w:eastAsia="pt-BR"/>
        </w:rPr>
        <w:t>~</w:t>
      </w:r>
      <w:r w:rsidRPr="003C30A3">
        <w:rPr>
          <w:rFonts w:ascii="Times New Roman" w:hAnsi="Times New Roman"/>
          <w:b/>
          <w:sz w:val="24"/>
          <w:szCs w:val="24"/>
          <w:lang w:eastAsia="pt-BR"/>
        </w:rPr>
        <w:t>SAÚDE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GRUPO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Resíduos com a possível presença de agentes biológicos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que, por suas características, podem apresentar risco de infecção.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Subgrupo A1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Culturas e estoques de micro-organismos; resíduos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fabricação de produtos biológicos, exceto os medicamentos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hemoderivados; descarte de vacinas de microrganismos vivos,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atenuados ou inativados; meios de cultura e instrumentais utilizados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para transferência, inoculação ou mistura de culturas; resíduos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laboratórios de manipulação genética.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Resíduos resultantes da atividade de ensino e pesquisa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atenção à saúde de indivíduos ou animais, com suspeita ou certeza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de contaminação biológica por agentes classe de risco 4,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microrganismos com relevância epidemiológica e risco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disseminação ou causador de doença emergente que se torne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epidemiologicamente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importante ou cujo mecanismo de transmissão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seja desconhecido.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- Bolsas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transfusionais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contendo sangue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hemocomponentes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rejeitadas por contaminação ou por má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conservação, ou com prazo de validade vencido, e aquelas oriundas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de coleta incompleta.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Sobras de amostras de laboratório contendo sangue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líquidos corpóreos, recipientes e materiais resultantes do processo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de assistência à saúde, contendo sangue ou líquidos corpóreos na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forma livre.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Subgrupo A2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Carcaças, peças anatômicas, vísceras e outros resíduos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provenientes de animais submetidos a processos de experimentação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com inoculação de microrganismos, bem como suas forrações, e 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cadáveres de animais suspeitos de serem portadores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microrganismos de relevância epidemiológica e com risco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disseminação, que foram submetidos ou não a estudo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anatomopatológico ou confirmação diagnóstica.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Subgrupo A3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- Peças anatômicas (membros) do ser humano; produto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fecundação sem sinais vitais, com peso menor que 500 gramas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estatura menor que 25 centímetros ou idade gestacional menor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20 semanas, que não tenham valor científico ou legal e não tenha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havido requisição pelo paciente ou seus familiares.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Subgrupo A4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Kits de linhas arteriais, endovenosas e dialisadores,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quando descartados.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Filtros de ar e gases aspirados de área contaminada;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membrana filtrante de equipamento médico-hospitalar e de pesquisa,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entre outros similares.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lastRenderedPageBreak/>
        <w:t>- Sobras de amostras de laboratório e seus recipientes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contendo fezes, urina e secreções, provenientes de pacientes que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contenham e nem sejam suspeitos de conter agentes classe de risco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4, e nem apresentem relevância epidemiológica e risco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disseminação, ou microrganismo causador de doença emergente que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 xml:space="preserve">se torne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epidemiologicamente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importante ou cujo mecanismo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transmissão seja desconhecido ou com suspeita de contaminação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com príons.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Resíduos de tecido adiposo proveniente de lipoaspiração,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lipoescultura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ou outro procedimento de cirurgia plástica que gere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este tipo de resíduo.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Recipientes e materiais resultantes do processo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assistência à saúde, que não contenha sangue ou líquidos corpóreos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na forma livre.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Peças anatômicas (órgãos e tecidos), incluindo a placenta,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e outros resíduos provenientes de procedimentos cirúrgicos ou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estudos anatomopatológicos ou de confirmação diagnóstica.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Cadáveres, carcaças, peças anatômicas, vísceras e outros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resíduos provenientes de animais não submetidos a processos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experimentação com inoculação de microrganismos.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- Bolsas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transfusionais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vazias ou com volume residual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póstransfusão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Subgrupo A5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Órgãos, tecidos e fluidos orgânicos de alta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infectividade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para príons, de casos suspeitos ou confirmados, bem como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quaisquer materiais resultantes da atenção à saúde de indivíduos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animais, suspeitos ou confirmados, e que tiveram contato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 xml:space="preserve">órgãos, tecidos e fluidos de alta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infectividade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para príons.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- Tecidos de alta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infectividade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para príons são aqueles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assim definidos em documentos oficiais pelos órgãos sanitários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 xml:space="preserve">competentes.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proofErr w:type="spellStart"/>
      <w:r w:rsidRPr="003C30A3">
        <w:rPr>
          <w:rFonts w:ascii="Times New Roman" w:hAnsi="Times New Roman"/>
          <w:sz w:val="24"/>
          <w:szCs w:val="24"/>
          <w:lang w:val="en-US" w:eastAsia="pt-BR"/>
        </w:rPr>
        <w:t>Referência</w:t>
      </w:r>
      <w:proofErr w:type="spellEnd"/>
      <w:r w:rsidRPr="003C30A3">
        <w:rPr>
          <w:rFonts w:ascii="Times New Roman" w:hAnsi="Times New Roman"/>
          <w:sz w:val="24"/>
          <w:szCs w:val="24"/>
          <w:lang w:val="en-US" w:eastAsia="pt-BR"/>
        </w:rPr>
        <w:t>: World Health Organization, 2010. WHO Tables</w:t>
      </w:r>
      <w:r>
        <w:rPr>
          <w:rFonts w:ascii="Times New Roman" w:hAnsi="Times New Roman"/>
          <w:sz w:val="24"/>
          <w:szCs w:val="24"/>
          <w:lang w:val="en-US"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val="en-US" w:eastAsia="pt-BR"/>
        </w:rPr>
        <w:t>on Tissue Infectivity Distribution in Transmissible Spongiform</w:t>
      </w:r>
      <w:r>
        <w:rPr>
          <w:rFonts w:ascii="Times New Roman" w:hAnsi="Times New Roman"/>
          <w:sz w:val="24"/>
          <w:szCs w:val="24"/>
          <w:lang w:val="en-US"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val="en-US" w:eastAsia="pt-BR"/>
        </w:rPr>
        <w:t xml:space="preserve">Encephalopathies.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GRUPO B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Resíduos contendo produtos químicos que apresentam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periculosidade à saúde pública ou ao meio ambiente, dependendo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 xml:space="preserve">suas características de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inflamabilidade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corrosividade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>, reatividade,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 xml:space="preserve">toxicidade,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carcinogenicidade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teratogenicidade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mutagenicidade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quantidade.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Produtos farmacêuticos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- Resíduos de saneantes, desinfetantes,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desinfestantes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>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resíduos contendo metais pesados; reagentes para laboratório,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inclusive os recipientes contaminados por estes.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Efluentes de processadores de imagem (reveladores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fixadores).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Efluentes dos equipamentos automatizados utilizados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análises clínicas.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lastRenderedPageBreak/>
        <w:t>- Demais produtos considerados perigosos: tóxicos,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corrosivos, inflamáveis e reativos.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GRUPO C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Qualquer material que contenha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radionuclídeo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quantidade superior aos níveis de dispensa especificados em norma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da CNEN e para os quais a reutilização é imprópria ou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prevista.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Enquadra-se neste grupo o rejeito radioativo, proveniente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de laboratório de pesquisa e ensino na área da saúde, laboratório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análise clínica, serviço de medicina nuclear e radioterapia, segundo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Resolução da CNEN e Plano de Proteção Radiológica aprovado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para a instalação radiativa.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GRUPO D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Resíduos que não apresentam risco biológico, químico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radiológico à saúde ou ao meio ambiente, podendo ser equiparados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aos resíduos domiciliares.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Papel de uso sanitário e fralda, absorventes higiênicos,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peças descartáveis de vestuário, gorros e máscaras descartáveis,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resto alimentar de paciente, material utilizado em antissepsia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 xml:space="preserve">hemostasia de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venóclises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>, luvas de procedimentos que não entraram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em contato com sangue ou líquidos corpóreos, equipo de soro,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abaixadores de língua e outros similares não classificados como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A1.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Sobras de alimentos e do preparo de alimentos.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Resto alimentar de refeitório.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Resíduos provenientes das áreas administrativas.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Resíduos de varrição, flores, podas e jardins.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Resíduos de gesso provenientes de assistência à saúde.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Forrações de animais de biotérios sem risco biológico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associado.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Resíduos recicláveis sem contaminação biológica, química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e radiológica associada.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Pelos de animais.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GRUPO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Materiais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perfurocortantes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 xml:space="preserve"> ou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escarificantes</w:t>
      </w:r>
      <w:proofErr w:type="spellEnd"/>
      <w:r w:rsidRPr="003C30A3">
        <w:rPr>
          <w:rFonts w:ascii="Times New Roman" w:hAnsi="Times New Roman"/>
          <w:sz w:val="24"/>
          <w:szCs w:val="24"/>
          <w:lang w:eastAsia="pt-BR"/>
        </w:rPr>
        <w:t>, tais como: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lâminas de barbear, agulhas, escalpes, ampolas de vidro, brocas,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limas endodônticas, pontas diamantadas, lâminas de bisturi,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lancetas; tubos capilares; ponteiras de micropipetas; lâminas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lamínulas; espátulas; e todos os utensílios de vidro quebrados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laboratório (pipetas, tubos de coleta sanguínea e placas de Petri)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eastAsia="pt-BR"/>
        </w:rPr>
        <w:t>outros similares.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3C30A3" w:rsidRDefault="003C30A3" w:rsidP="00046CC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br w:type="page"/>
      </w:r>
    </w:p>
    <w:p w:rsidR="003C30A3" w:rsidRP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lastRenderedPageBreak/>
        <w:t>ANEXO II</w:t>
      </w:r>
    </w:p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IDENTIFICAÇÃO DOS GRUPOS DOS RESÍDUOS DE SERVIÇOS DE SAÚDE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3C30A3" w:rsidTr="003C30A3">
        <w:tc>
          <w:tcPr>
            <w:tcW w:w="7083" w:type="dxa"/>
          </w:tcPr>
          <w:p w:rsidR="003C30A3" w:rsidRDefault="003C30A3" w:rsidP="00046CC5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O grupo A é identificado, no mínimo, pelo símbolo 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risco biológico, com rótulo de fundo branco, desenho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e contornos pretos, acrescido da expressão RESÍDUO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INFECTANTE.</w:t>
            </w:r>
          </w:p>
        </w:tc>
        <w:tc>
          <w:tcPr>
            <w:tcW w:w="1411" w:type="dxa"/>
          </w:tcPr>
          <w:p w:rsidR="003C30A3" w:rsidRDefault="003C30A3" w:rsidP="00046CC5">
            <w:pPr>
              <w:spacing w:after="200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</w:p>
        </w:tc>
      </w:tr>
    </w:tbl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softHyphen/>
      </w:r>
      <w:r w:rsidRPr="003C30A3"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609725" cy="1915854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91" cy="19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3C30A3" w:rsidTr="00834815">
        <w:tc>
          <w:tcPr>
            <w:tcW w:w="7083" w:type="dxa"/>
          </w:tcPr>
          <w:p w:rsidR="003C30A3" w:rsidRPr="003C30A3" w:rsidRDefault="003C30A3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O grupo B é identificado por meio de símbolo 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frase de risco associado à periculosidade do resíduo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químico.</w:t>
            </w:r>
          </w:p>
          <w:p w:rsidR="003C30A3" w:rsidRDefault="003C30A3" w:rsidP="00046CC5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Observação - outros símbolos e frases do GHS também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podem ser utilizados.</w:t>
            </w:r>
          </w:p>
        </w:tc>
        <w:tc>
          <w:tcPr>
            <w:tcW w:w="1411" w:type="dxa"/>
          </w:tcPr>
          <w:p w:rsidR="003C30A3" w:rsidRDefault="003C30A3" w:rsidP="00046CC5">
            <w:pPr>
              <w:spacing w:after="200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</w:p>
        </w:tc>
      </w:tr>
    </w:tbl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263351" cy="334301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18" cy="33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3C30A3" w:rsidTr="00834815">
        <w:tc>
          <w:tcPr>
            <w:tcW w:w="7083" w:type="dxa"/>
          </w:tcPr>
          <w:p w:rsidR="003C30A3" w:rsidRDefault="003C30A3" w:rsidP="00046CC5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O grupo C é representado pelo símbolo internacional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de presença de radiação ionizante (trifólio de cor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magenta ou púrpura) em rótulo de fundo amarelo,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acrescido da expressão MATERIAL RADIOATIVO,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REJEITO RADIOATIVO ou RADIOATIVO.</w:t>
            </w:r>
          </w:p>
        </w:tc>
        <w:tc>
          <w:tcPr>
            <w:tcW w:w="1411" w:type="dxa"/>
          </w:tcPr>
          <w:p w:rsidR="003C30A3" w:rsidRDefault="003C30A3" w:rsidP="00046CC5">
            <w:pPr>
              <w:spacing w:after="200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</w:p>
        </w:tc>
      </w:tr>
    </w:tbl>
    <w:p w:rsidR="003C30A3" w:rsidRDefault="003C30A3" w:rsidP="00046CC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pt-BR"/>
        </w:rPr>
      </w:pPr>
    </w:p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263797" cy="298132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60" cy="29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17"/>
        <w:gridCol w:w="2577"/>
      </w:tblGrid>
      <w:tr w:rsidR="003C30A3" w:rsidTr="003C30A3">
        <w:tc>
          <w:tcPr>
            <w:tcW w:w="5917" w:type="dxa"/>
          </w:tcPr>
          <w:p w:rsidR="003C30A3" w:rsidRDefault="003C30A3" w:rsidP="00046CC5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O grupo D deve ser identificado conforme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definido pelo órgão de limpeza urbana.</w:t>
            </w:r>
          </w:p>
        </w:tc>
        <w:tc>
          <w:tcPr>
            <w:tcW w:w="2577" w:type="dxa"/>
          </w:tcPr>
          <w:p w:rsidR="003C30A3" w:rsidRDefault="003C30A3" w:rsidP="00046CC5">
            <w:pPr>
              <w:spacing w:after="200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</w:p>
        </w:tc>
      </w:tr>
      <w:tr w:rsidR="003C30A3" w:rsidTr="003C30A3">
        <w:tc>
          <w:tcPr>
            <w:tcW w:w="5917" w:type="dxa"/>
          </w:tcPr>
          <w:p w:rsidR="003C30A3" w:rsidRPr="003C30A3" w:rsidRDefault="003C30A3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O grupo E é identificado pelo símbolo 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risco biológico, com rótulo de fundo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branco, desenho e contorno preto, acrescido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da inscrição de RESÍDUO PERFUROCORTANTE.</w:t>
            </w:r>
          </w:p>
        </w:tc>
        <w:tc>
          <w:tcPr>
            <w:tcW w:w="2577" w:type="dxa"/>
          </w:tcPr>
          <w:p w:rsidR="003C30A3" w:rsidRPr="003C30A3" w:rsidRDefault="003C30A3" w:rsidP="00046CC5">
            <w:pPr>
              <w:spacing w:after="200"/>
              <w:ind w:right="-1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OU</w:t>
            </w:r>
          </w:p>
          <w:p w:rsidR="003C30A3" w:rsidRDefault="003C30A3" w:rsidP="00046CC5">
            <w:pPr>
              <w:spacing w:after="200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C30A3">
              <w:rPr>
                <w:rFonts w:ascii="Times New Roman" w:hAnsi="Times New Roman"/>
                <w:sz w:val="24"/>
                <w:szCs w:val="24"/>
                <w:lang w:eastAsia="pt-BR"/>
              </w:rPr>
              <w:t>PERFUROCORTANTE</w:t>
            </w:r>
          </w:p>
        </w:tc>
      </w:tr>
    </w:tbl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632529" cy="177482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68" cy="177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447925" cy="1762760"/>
            <wp:effectExtent l="0" t="0" r="952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64"/>
                    <a:stretch/>
                  </pic:blipFill>
                  <pic:spPr bwMode="auto">
                    <a:xfrm>
                      <a:off x="0" y="0"/>
                      <a:ext cx="2448160" cy="17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0A3" w:rsidRP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ANEXO III</w:t>
      </w:r>
    </w:p>
    <w:p w:rsidR="003C30A3" w:rsidRP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SUBSTÂNCIAS QUE DEVEM SER SEGREGADAS, ACONDICIONADAS E</w:t>
      </w:r>
      <w:r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b/>
          <w:sz w:val="24"/>
          <w:szCs w:val="24"/>
          <w:lang w:eastAsia="pt-BR"/>
        </w:rPr>
        <w:t>IDENTIFICADAS SEPARADAMENTE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Ácidos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Asfixiantes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Bases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- Brometo de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etídio</w:t>
      </w:r>
      <w:proofErr w:type="spellEnd"/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Carcinogênicas, mutagênicas e teratogênicas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- Compostos orgânicos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halogenados</w:t>
      </w:r>
      <w:proofErr w:type="spellEnd"/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- Compostos orgânicos não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halogenados</w:t>
      </w:r>
      <w:proofErr w:type="spellEnd"/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Corrosivas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Criogênicas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De combustão espontânea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 xml:space="preserve">-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Ecotóxicas</w:t>
      </w:r>
      <w:proofErr w:type="spellEnd"/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Explosivas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Formalina ou formaldeído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Gases comprimidos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Líquidos inflamáveis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Materiais reativos com a água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Materiais reativos com o ar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Mercúrio e compostos de mercúrio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Metais pesados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lastRenderedPageBreak/>
        <w:t xml:space="preserve">- Mistura </w:t>
      </w:r>
      <w:proofErr w:type="spellStart"/>
      <w:r w:rsidRPr="003C30A3">
        <w:rPr>
          <w:rFonts w:ascii="Times New Roman" w:hAnsi="Times New Roman"/>
          <w:sz w:val="24"/>
          <w:szCs w:val="24"/>
          <w:lang w:eastAsia="pt-BR"/>
        </w:rPr>
        <w:t>sulfocrômica</w:t>
      </w:r>
      <w:proofErr w:type="spellEnd"/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Óleos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Oxidantes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Resíduo fotográfico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Sensíveis ao choque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C30A3">
        <w:rPr>
          <w:rFonts w:ascii="Times New Roman" w:hAnsi="Times New Roman"/>
          <w:sz w:val="24"/>
          <w:szCs w:val="24"/>
          <w:lang w:eastAsia="pt-BR"/>
        </w:rPr>
        <w:t>- Soluções aquosas</w:t>
      </w:r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3C30A3">
        <w:rPr>
          <w:rFonts w:ascii="Times New Roman" w:hAnsi="Times New Roman"/>
          <w:sz w:val="24"/>
          <w:szCs w:val="24"/>
          <w:lang w:val="en-US" w:eastAsia="pt-BR"/>
        </w:rPr>
        <w:t xml:space="preserve">- </w:t>
      </w:r>
      <w:proofErr w:type="spellStart"/>
      <w:r w:rsidRPr="003C30A3">
        <w:rPr>
          <w:rFonts w:ascii="Times New Roman" w:hAnsi="Times New Roman"/>
          <w:sz w:val="24"/>
          <w:szCs w:val="24"/>
          <w:lang w:val="en-US" w:eastAsia="pt-BR"/>
        </w:rPr>
        <w:t>Venenos</w:t>
      </w:r>
      <w:proofErr w:type="spellEnd"/>
    </w:p>
    <w:p w:rsidR="003C30A3" w:rsidRPr="003C30A3" w:rsidRDefault="003C30A3" w:rsidP="00046CC5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3C30A3">
        <w:rPr>
          <w:rFonts w:ascii="Times New Roman" w:hAnsi="Times New Roman"/>
          <w:sz w:val="24"/>
          <w:szCs w:val="24"/>
          <w:lang w:val="en-US" w:eastAsia="pt-BR"/>
        </w:rPr>
        <w:t>Fonte: Chemical Waste Management Guide. University of Florida - Division of Environmental</w:t>
      </w:r>
      <w:r>
        <w:rPr>
          <w:rFonts w:ascii="Times New Roman" w:hAnsi="Times New Roman"/>
          <w:sz w:val="24"/>
          <w:szCs w:val="24"/>
          <w:lang w:val="en-US" w:eastAsia="pt-BR"/>
        </w:rPr>
        <w:t xml:space="preserve"> </w:t>
      </w:r>
      <w:r w:rsidRPr="003C30A3">
        <w:rPr>
          <w:rFonts w:ascii="Times New Roman" w:hAnsi="Times New Roman"/>
          <w:sz w:val="24"/>
          <w:szCs w:val="24"/>
          <w:lang w:val="en-US" w:eastAsia="pt-BR"/>
        </w:rPr>
        <w:t xml:space="preserve">Health &amp; Safety - </w:t>
      </w:r>
      <w:proofErr w:type="spellStart"/>
      <w:r w:rsidRPr="003C30A3">
        <w:rPr>
          <w:rFonts w:ascii="Times New Roman" w:hAnsi="Times New Roman"/>
          <w:sz w:val="24"/>
          <w:szCs w:val="24"/>
          <w:lang w:val="en-US" w:eastAsia="pt-BR"/>
        </w:rPr>
        <w:t>abril</w:t>
      </w:r>
      <w:proofErr w:type="spellEnd"/>
      <w:r w:rsidRPr="003C30A3">
        <w:rPr>
          <w:rFonts w:ascii="Times New Roman" w:hAnsi="Times New Roman"/>
          <w:sz w:val="24"/>
          <w:szCs w:val="24"/>
          <w:lang w:val="en-US" w:eastAsia="pt-BR"/>
        </w:rPr>
        <w:t xml:space="preserve"> de 2001</w:t>
      </w:r>
    </w:p>
    <w:p w:rsidR="003C30A3" w:rsidRP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ANEXO IV</w:t>
      </w:r>
    </w:p>
    <w:p w:rsidR="003C30A3" w:rsidRDefault="003C30A3" w:rsidP="00046CC5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C30A3">
        <w:rPr>
          <w:rFonts w:ascii="Times New Roman" w:hAnsi="Times New Roman"/>
          <w:b/>
          <w:sz w:val="24"/>
          <w:szCs w:val="24"/>
          <w:lang w:eastAsia="pt-BR"/>
        </w:rPr>
        <w:t>INCOMPATIBILIDADE QUÍMICA ENTRE AS PRINCIPAIS SUBSTÂNCIAS UTILIZADAS</w:t>
      </w:r>
      <w:r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3C30A3">
        <w:rPr>
          <w:rFonts w:ascii="Times New Roman" w:hAnsi="Times New Roman"/>
          <w:b/>
          <w:sz w:val="24"/>
          <w:szCs w:val="24"/>
          <w:lang w:eastAsia="pt-BR"/>
        </w:rPr>
        <w:t>PELOS GERADORES DE RESÍDUOS DE SERVIÇOS DE SAÚDE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046CC5" w:rsidRPr="000821DE" w:rsidTr="000821DE">
        <w:tc>
          <w:tcPr>
            <w:tcW w:w="2689" w:type="dxa"/>
          </w:tcPr>
          <w:p w:rsidR="00046CC5" w:rsidRPr="000821DE" w:rsidRDefault="00046CC5" w:rsidP="00046CC5">
            <w:pPr>
              <w:spacing w:after="200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b/>
                <w:sz w:val="24"/>
                <w:szCs w:val="24"/>
                <w:lang w:val="en-US" w:eastAsia="pt-BR"/>
              </w:rPr>
              <w:t>Substância</w:t>
            </w:r>
            <w:proofErr w:type="spellEnd"/>
          </w:p>
        </w:tc>
        <w:tc>
          <w:tcPr>
            <w:tcW w:w="5805" w:type="dxa"/>
          </w:tcPr>
          <w:p w:rsidR="00046CC5" w:rsidRPr="000821DE" w:rsidRDefault="00046CC5" w:rsidP="00046CC5">
            <w:pPr>
              <w:spacing w:after="200"/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b/>
                <w:sz w:val="24"/>
                <w:szCs w:val="24"/>
                <w:lang w:val="en-US" w:eastAsia="pt-BR"/>
              </w:rPr>
              <w:t>Incompatibilidade</w:t>
            </w:r>
            <w:proofErr w:type="spellEnd"/>
            <w:r w:rsidRPr="000821DE">
              <w:rPr>
                <w:rFonts w:ascii="Times New Roman" w:hAnsi="Times New Roman"/>
                <w:b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0821DE">
              <w:rPr>
                <w:rFonts w:ascii="Times New Roman" w:hAnsi="Times New Roman"/>
                <w:b/>
                <w:sz w:val="24"/>
                <w:szCs w:val="24"/>
                <w:lang w:val="en-US" w:eastAsia="pt-BR"/>
              </w:rPr>
              <w:t>química</w:t>
            </w:r>
            <w:proofErr w:type="spellEnd"/>
            <w:r w:rsidRPr="000821DE">
              <w:rPr>
                <w:rFonts w:ascii="Times New Roman" w:hAnsi="Times New Roman"/>
                <w:b/>
                <w:sz w:val="24"/>
                <w:szCs w:val="24"/>
                <w:lang w:val="en-US"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val="en-US" w:eastAsia="pt-BR"/>
              </w:rPr>
              <w:t>Acetileno</w:t>
            </w:r>
            <w:proofErr w:type="spellEnd"/>
          </w:p>
        </w:tc>
        <w:tc>
          <w:tcPr>
            <w:tcW w:w="5805" w:type="dxa"/>
          </w:tcPr>
          <w:p w:rsid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Cloro, bromo, flúor, cobre, prata, Mercúrio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val="en-US" w:eastAsia="pt-BR"/>
              </w:rPr>
            </w:pP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val="en-US" w:eastAsia="pt-BR"/>
              </w:rPr>
              <w:t>Ácido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val="en-US" w:eastAsia="pt-BR"/>
              </w:rPr>
              <w:t>Acético</w:t>
            </w:r>
            <w:proofErr w:type="spellEnd"/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Acido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crômico, ácido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perclórico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peróxidos, permanganatos, ácido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nítrico,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etilenoglicol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Acetona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Misturas de ácidos sulfúrico e nítrico concentrados, Peróxido 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hidrogênio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crômico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Ácido acético, naftaleno, cânfora, glicerol,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turpentine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álcool, outros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líquidos inflamáveis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hidrociânico</w:t>
            </w:r>
            <w:proofErr w:type="spellEnd"/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nítrico, álcalis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fluorídrico anidro, fluoreto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de hidrogênio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Amônia (aquosa ou anidra)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nítrico concentrado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cianídrico, anilinas, Óxidos de cromo VI, Sulfeto de hidrogênio,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líquidos e gases combustíveis, ácido acético, ácido crômico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oxálico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Prata e Mercúrio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perclórico</w:t>
            </w:r>
            <w:proofErr w:type="spellEnd"/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Anidrido acético, álcoois, Bismuto e suas ligas, papel, madeira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sulfúrico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Cloratos,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percloratos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permanganatos e água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Alquil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alumínio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Água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Amônia anidra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Mercúrio, Cloro, Hipoclorito de cálcio, Iodo, Bromo, </w:t>
            </w:r>
            <w:proofErr w:type="gram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Acido</w:t>
            </w:r>
            <w:proofErr w:type="gram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fluorídrico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Anidrido acético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Compostos contendo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hidroxil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tais como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etilenoglicol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Acido</w:t>
            </w:r>
            <w:proofErr w:type="spellEnd"/>
            <w:proofErr w:type="gram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perclórico</w:t>
            </w:r>
            <w:proofErr w:type="spellEnd"/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Anilina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nítrico, Peróxido de hidrogênio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Azida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sódica</w:t>
            </w:r>
          </w:p>
        </w:tc>
        <w:tc>
          <w:tcPr>
            <w:tcW w:w="5805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Chumbo, Cobre e outros metais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046CC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Bromo e cloro</w:t>
            </w:r>
          </w:p>
        </w:tc>
        <w:tc>
          <w:tcPr>
            <w:tcW w:w="5805" w:type="dxa"/>
          </w:tcPr>
          <w:p w:rsidR="00046CC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Benzeno, Hidróxido de amônio, benzina de petróleo, Hidrogênio,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acetileno, etano, propano,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butadienos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pós-metálicos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46CC5" w:rsidTr="000821DE">
        <w:tc>
          <w:tcPr>
            <w:tcW w:w="2689" w:type="dxa"/>
          </w:tcPr>
          <w:p w:rsidR="00046CC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Carvão ativo</w:t>
            </w:r>
          </w:p>
        </w:tc>
        <w:tc>
          <w:tcPr>
            <w:tcW w:w="5805" w:type="dxa"/>
          </w:tcPr>
          <w:p w:rsidR="00046CC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Dicromatos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permanganatos, </w:t>
            </w:r>
            <w:proofErr w:type="spellStart"/>
            <w:proofErr w:type="gram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Acido</w:t>
            </w:r>
            <w:proofErr w:type="spellEnd"/>
            <w:proofErr w:type="gram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nítrico,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Acido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sulfúrico,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Hipoclorito de sódio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Cloro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Amônia, acetileno,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butadieno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butano, outros gases de petróleo,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Hidrogênio,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Carbeto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sódio,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turpentine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benzeno, metais finamente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divididos, benzinas e outras frações do petróleo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Cianetos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Ácidos e álcalis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Cloratos,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percloratos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clorato de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potássio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Sais de amônio, ácidos, metais em pó, matérias orgânicas particuladas,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substâncias combustíveis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Cobre metálico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Acetileno, peróxido de hidrogênio,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azidas</w:t>
            </w:r>
            <w:proofErr w:type="spellEnd"/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Dióxido de cloro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Amônia, metano, fósforo, sulfeto de hidrogênio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Flúor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Manter isolado de outros produtos químicos.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Fósforo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Enxofre, compostos oxigenados, cloratos,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percloratos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nitratos, permanganatos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Halogênios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(flúor, cloro, bromo e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iodo)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Amoníaco, acetileno e hidrocarbonetos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Hidrazida</w:t>
            </w:r>
            <w:proofErr w:type="spellEnd"/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Peróxido de hidrogênio, ácido nítrico e outros oxidantes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Hidrocarbonetos (butano,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propano, tolueno)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crômico, flúor, cloro, bromo, peróxidos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Iodo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Acetileno, hidróxido de amônio, hidrogênio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Líquidos inflamáveis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nítrico, nitrato de amônio, óxido de cromo VI, peróxidos, flúor,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cloro, bromo, hidrogênio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Mercúrio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Acetileno, ácido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fulmínico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amônia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Metais alcalinos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Dióxido de carbono, tetracloreto de carbono, outros hidrocarbonetos clorados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Nitrato de amônio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Ácidos, pós-metálicos, líquidos inflamáveis, cloretos, enxofre, compostos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orgânicos em pó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Nitrato de sódio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Nitrato de amônio e outros sais de amônio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Óxido de cálcio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Água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Óxido de cromo VI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acético, glicerina, benzina de petróleo, líquidos inflamáveis,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naftaleno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Oxigênio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Óleos, graxas, hidrogênio, líquidos, sólidos e gases inflamáveis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Perclorato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Permanganato de potássio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Glicerina,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etilenoglicol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ácido sulfúrico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Peróxido de hidrogênio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Cobre, cromo, ferro, álcoois, acetonas, substâncias combustíveis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Peróxido de sódio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Ácido acético, Anidrido acético,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benzaldeído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, etanol, metanol,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etilenoglicol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acetatos de metila e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etila</w:t>
            </w:r>
            <w:proofErr w:type="spellEnd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furfural</w:t>
            </w:r>
            <w:proofErr w:type="spellEnd"/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Prata e sais de prata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Acetileno, ácido tartárico, ácido oxálico, compostos de amônio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Sódio</w:t>
            </w:r>
          </w:p>
        </w:tc>
        <w:tc>
          <w:tcPr>
            <w:tcW w:w="5805" w:type="dxa"/>
          </w:tcPr>
          <w:p w:rsidR="00FA6345" w:rsidRPr="00046CC5" w:rsidRDefault="00FA6345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Dióxido de carbono, tetracloreto de carbono, outros hidrocarbonetos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clorados</w:t>
            </w:r>
            <w:r w:rsid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A6345" w:rsidTr="000821DE">
        <w:tc>
          <w:tcPr>
            <w:tcW w:w="2689" w:type="dxa"/>
          </w:tcPr>
          <w:p w:rsidR="00FA6345" w:rsidRPr="00046CC5" w:rsidRDefault="00FA6345" w:rsidP="00046CC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Sulfeto de hidrogênio</w:t>
            </w:r>
          </w:p>
        </w:tc>
        <w:tc>
          <w:tcPr>
            <w:tcW w:w="5805" w:type="dxa"/>
          </w:tcPr>
          <w:p w:rsidR="00FA6345" w:rsidRPr="00046CC5" w:rsidRDefault="000821DE" w:rsidP="00FA6345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46CC5">
              <w:rPr>
                <w:rFonts w:ascii="Times New Roman" w:hAnsi="Times New Roman"/>
                <w:sz w:val="24"/>
                <w:szCs w:val="24"/>
                <w:lang w:eastAsia="pt-BR"/>
              </w:rPr>
              <w:t>Ácido nítrico fumegante, gases oxidantes</w:t>
            </w:r>
          </w:p>
        </w:tc>
      </w:tr>
    </w:tbl>
    <w:p w:rsidR="000821DE" w:rsidRDefault="000821DE" w:rsidP="00046CC5">
      <w:pPr>
        <w:spacing w:after="200" w:line="240" w:lineRule="auto"/>
        <w:ind w:right="-1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046CC5" w:rsidRDefault="00046CC5" w:rsidP="00046CC5">
      <w:pPr>
        <w:spacing w:after="200" w:line="240" w:lineRule="auto"/>
        <w:ind w:right="-1"/>
        <w:jc w:val="both"/>
        <w:rPr>
          <w:rFonts w:ascii="Times New Roman" w:hAnsi="Times New Roman"/>
          <w:sz w:val="24"/>
          <w:szCs w:val="24"/>
          <w:lang w:eastAsia="pt-BR"/>
        </w:rPr>
      </w:pPr>
      <w:r w:rsidRPr="00046CC5">
        <w:rPr>
          <w:rFonts w:ascii="Times New Roman" w:hAnsi="Times New Roman"/>
          <w:sz w:val="24"/>
          <w:szCs w:val="24"/>
          <w:lang w:eastAsia="pt-BR"/>
        </w:rPr>
        <w:t xml:space="preserve">Fonte: Manual de Biossegurança - Mario </w:t>
      </w:r>
      <w:proofErr w:type="spellStart"/>
      <w:r w:rsidRPr="00046CC5">
        <w:rPr>
          <w:rFonts w:ascii="Times New Roman" w:hAnsi="Times New Roman"/>
          <w:sz w:val="24"/>
          <w:szCs w:val="24"/>
          <w:lang w:eastAsia="pt-BR"/>
        </w:rPr>
        <w:t>Hiroyuki</w:t>
      </w:r>
      <w:proofErr w:type="spellEnd"/>
      <w:r w:rsidRPr="00046CC5">
        <w:rPr>
          <w:rFonts w:ascii="Times New Roman" w:hAnsi="Times New Roman"/>
          <w:sz w:val="24"/>
          <w:szCs w:val="24"/>
          <w:lang w:eastAsia="pt-BR"/>
        </w:rPr>
        <w:t xml:space="preserve"> Hirata; Jorge Mancini Filho</w:t>
      </w:r>
    </w:p>
    <w:p w:rsidR="000821DE" w:rsidRDefault="000821DE" w:rsidP="00046CC5">
      <w:pPr>
        <w:spacing w:after="200" w:line="240" w:lineRule="auto"/>
        <w:ind w:right="-1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0821DE" w:rsidRDefault="000821DE">
      <w:pPr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br w:type="page"/>
      </w:r>
    </w:p>
    <w:p w:rsidR="000821DE" w:rsidRPr="000821DE" w:rsidRDefault="000821DE" w:rsidP="000821DE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821DE">
        <w:rPr>
          <w:rFonts w:ascii="Times New Roman" w:hAnsi="Times New Roman"/>
          <w:b/>
          <w:sz w:val="24"/>
          <w:szCs w:val="24"/>
          <w:lang w:eastAsia="pt-BR"/>
        </w:rPr>
        <w:lastRenderedPageBreak/>
        <w:t>ANEXO V</w:t>
      </w:r>
    </w:p>
    <w:p w:rsidR="000821DE" w:rsidRDefault="000821DE" w:rsidP="000821DE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0821DE">
        <w:rPr>
          <w:rFonts w:ascii="Times New Roman" w:hAnsi="Times New Roman"/>
          <w:b/>
          <w:sz w:val="24"/>
          <w:szCs w:val="24"/>
          <w:lang w:eastAsia="pt-BR"/>
        </w:rPr>
        <w:t>LISTA DAS PRINCIPAIS SUBSTÂNCIAS UTILIZADAS EM SERVIÇOS DE SAÚDE QUE REAGEM</w:t>
      </w:r>
      <w:r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0821DE">
        <w:rPr>
          <w:rFonts w:ascii="Times New Roman" w:hAnsi="Times New Roman"/>
          <w:b/>
          <w:sz w:val="24"/>
          <w:szCs w:val="24"/>
          <w:lang w:eastAsia="pt-BR"/>
        </w:rPr>
        <w:t>COM EMBALAGENS DE POLIETILENO DE ALTA DENSIDADE (PEAD)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21DE" w:rsidTr="000821DE">
        <w:tc>
          <w:tcPr>
            <w:tcW w:w="4247" w:type="dxa"/>
          </w:tcPr>
          <w:p w:rsid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butírico</w:t>
            </w:r>
            <w:proofErr w:type="spellEnd"/>
          </w:p>
        </w:tc>
        <w:tc>
          <w:tcPr>
            <w:tcW w:w="4247" w:type="dxa"/>
          </w:tcPr>
          <w:p w:rsid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Dietil</w:t>
            </w:r>
            <w:proofErr w:type="spellEnd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benzeno</w:t>
            </w:r>
          </w:p>
        </w:tc>
      </w:tr>
      <w:tr w:rsidR="000821DE" w:rsidTr="000821DE">
        <w:tc>
          <w:tcPr>
            <w:tcW w:w="4247" w:type="dxa"/>
          </w:tcPr>
          <w:p w:rsid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Ácido nítrico</w:t>
            </w:r>
          </w:p>
        </w:tc>
        <w:tc>
          <w:tcPr>
            <w:tcW w:w="4247" w:type="dxa"/>
          </w:tcPr>
          <w:p w:rsid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Dissulfeto</w:t>
            </w:r>
            <w:proofErr w:type="spellEnd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carbono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Ácidos concentrados</w:t>
            </w:r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Éter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Bromo</w:t>
            </w:r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Fenol / clorofórmio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Bromofórmio</w:t>
            </w:r>
            <w:proofErr w:type="spellEnd"/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Nitrobenzeno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Álcool benzílico</w:t>
            </w:r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o-</w:t>
            </w:r>
            <w:proofErr w:type="spellStart"/>
            <w:proofErr w:type="gram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diclorobenzeno</w:t>
            </w:r>
            <w:proofErr w:type="spellEnd"/>
            <w:proofErr w:type="gramEnd"/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Anilina</w:t>
            </w:r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Óleo de canela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Butadieno</w:t>
            </w:r>
            <w:proofErr w:type="spellEnd"/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Óleo de cedro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Ciclohexano</w:t>
            </w:r>
            <w:proofErr w:type="spellEnd"/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p-</w:t>
            </w: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diclorobenzeno</w:t>
            </w:r>
            <w:proofErr w:type="spellEnd"/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Cloreto de </w:t>
            </w: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etila</w:t>
            </w:r>
            <w:proofErr w:type="spellEnd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, forma líquida</w:t>
            </w:r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Percloroetileno</w:t>
            </w:r>
            <w:proofErr w:type="spellEnd"/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Cloreto de </w:t>
            </w: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tionila</w:t>
            </w:r>
            <w:proofErr w:type="spellEnd"/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solventes bromados &amp; fluorados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Bromobenzeno</w:t>
            </w:r>
            <w:proofErr w:type="spellEnd"/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solventes clorados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Cloreto de </w:t>
            </w: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Amila</w:t>
            </w:r>
            <w:proofErr w:type="spellEnd"/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Tolueno</w:t>
            </w:r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Cloreto de </w:t>
            </w: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vinilideno</w:t>
            </w:r>
            <w:proofErr w:type="spellEnd"/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Tricloroeteno</w:t>
            </w:r>
            <w:proofErr w:type="spellEnd"/>
          </w:p>
        </w:tc>
      </w:tr>
      <w:tr w:rsidR="000821DE" w:rsidTr="000821DE"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Cresol</w:t>
            </w:r>
          </w:p>
        </w:tc>
        <w:tc>
          <w:tcPr>
            <w:tcW w:w="4247" w:type="dxa"/>
          </w:tcPr>
          <w:p w:rsidR="000821DE" w:rsidRPr="000821DE" w:rsidRDefault="000821DE" w:rsidP="000821DE">
            <w:pPr>
              <w:spacing w:after="200"/>
              <w:ind w:right="-1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0821DE">
              <w:rPr>
                <w:rFonts w:ascii="Times New Roman" w:hAnsi="Times New Roman"/>
                <w:sz w:val="24"/>
                <w:szCs w:val="24"/>
                <w:lang w:eastAsia="pt-BR"/>
              </w:rPr>
              <w:t>Xileno</w:t>
            </w:r>
          </w:p>
        </w:tc>
      </w:tr>
    </w:tbl>
    <w:p w:rsidR="000821DE" w:rsidRDefault="000821DE" w:rsidP="000821DE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0821DE" w:rsidRPr="000821DE" w:rsidRDefault="000821DE" w:rsidP="000821DE">
      <w:pPr>
        <w:spacing w:after="200" w:line="240" w:lineRule="auto"/>
        <w:ind w:right="-1"/>
        <w:jc w:val="both"/>
        <w:rPr>
          <w:rFonts w:ascii="Times New Roman" w:hAnsi="Times New Roman"/>
          <w:sz w:val="24"/>
          <w:szCs w:val="24"/>
          <w:lang w:val="en-US" w:eastAsia="pt-BR"/>
        </w:rPr>
      </w:pPr>
      <w:r w:rsidRPr="000821DE">
        <w:rPr>
          <w:rFonts w:ascii="Times New Roman" w:hAnsi="Times New Roman"/>
          <w:sz w:val="24"/>
          <w:szCs w:val="24"/>
          <w:lang w:val="en-US" w:eastAsia="pt-BR"/>
        </w:rPr>
        <w:t>Fonte: Chemical Waste Management Guide - University of Florida - Division of Environmental Health &amp;</w:t>
      </w:r>
      <w:r>
        <w:rPr>
          <w:rFonts w:ascii="Times New Roman" w:hAnsi="Times New Roman"/>
          <w:sz w:val="24"/>
          <w:szCs w:val="24"/>
          <w:lang w:val="en-US" w:eastAsia="pt-BR"/>
        </w:rPr>
        <w:t xml:space="preserve"> </w:t>
      </w:r>
      <w:r w:rsidRPr="000821DE">
        <w:rPr>
          <w:rFonts w:ascii="Times New Roman" w:hAnsi="Times New Roman"/>
          <w:sz w:val="24"/>
          <w:szCs w:val="24"/>
          <w:lang w:val="en-US" w:eastAsia="pt-BR"/>
        </w:rPr>
        <w:t xml:space="preserve">Safety - </w:t>
      </w:r>
      <w:proofErr w:type="spellStart"/>
      <w:r w:rsidRPr="000821DE">
        <w:rPr>
          <w:rFonts w:ascii="Times New Roman" w:hAnsi="Times New Roman"/>
          <w:sz w:val="24"/>
          <w:szCs w:val="24"/>
          <w:lang w:val="en-US" w:eastAsia="pt-BR"/>
        </w:rPr>
        <w:t>abril</w:t>
      </w:r>
      <w:proofErr w:type="spellEnd"/>
      <w:r w:rsidRPr="000821DE">
        <w:rPr>
          <w:rFonts w:ascii="Times New Roman" w:hAnsi="Times New Roman"/>
          <w:sz w:val="24"/>
          <w:szCs w:val="24"/>
          <w:lang w:val="en-US" w:eastAsia="pt-BR"/>
        </w:rPr>
        <w:t xml:space="preserve"> de 2001</w:t>
      </w:r>
    </w:p>
    <w:sectPr w:rsidR="000821DE" w:rsidRPr="000821DE" w:rsidSect="00AA217E">
      <w:headerReference w:type="default" r:id="rId12"/>
      <w:footerReference w:type="default" r:id="rId13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66A" w:rsidRDefault="00DD666A" w:rsidP="007B10F4">
      <w:pPr>
        <w:spacing w:after="0" w:line="240" w:lineRule="auto"/>
      </w:pPr>
      <w:r>
        <w:separator/>
      </w:r>
    </w:p>
  </w:endnote>
  <w:endnote w:type="continuationSeparator" w:id="0">
    <w:p w:rsidR="00DD666A" w:rsidRDefault="00DD666A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66A" w:rsidRPr="007B10F4" w:rsidRDefault="00DD666A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66A" w:rsidRDefault="00DD666A" w:rsidP="007B10F4">
      <w:pPr>
        <w:spacing w:after="0" w:line="240" w:lineRule="auto"/>
      </w:pPr>
      <w:r>
        <w:separator/>
      </w:r>
    </w:p>
  </w:footnote>
  <w:footnote w:type="continuationSeparator" w:id="0">
    <w:p w:rsidR="00DD666A" w:rsidRDefault="00DD666A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66A" w:rsidRPr="00B517AC" w:rsidRDefault="00DD666A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D666A" w:rsidRPr="00B517AC" w:rsidRDefault="00DD666A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DD666A" w:rsidRPr="00B517AC" w:rsidRDefault="00DD666A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DD666A" w:rsidRDefault="00DD66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16"/>
    <w:rsid w:val="000050ED"/>
    <w:rsid w:val="00046CC5"/>
    <w:rsid w:val="000821DE"/>
    <w:rsid w:val="000B62DA"/>
    <w:rsid w:val="000C7672"/>
    <w:rsid w:val="000D27AC"/>
    <w:rsid w:val="000F3513"/>
    <w:rsid w:val="001354CB"/>
    <w:rsid w:val="001A1E9A"/>
    <w:rsid w:val="0020025F"/>
    <w:rsid w:val="002C19EC"/>
    <w:rsid w:val="002F742B"/>
    <w:rsid w:val="003C30A3"/>
    <w:rsid w:val="003D23F7"/>
    <w:rsid w:val="003F2D28"/>
    <w:rsid w:val="003F6E6F"/>
    <w:rsid w:val="0040340C"/>
    <w:rsid w:val="00440ABA"/>
    <w:rsid w:val="004707E4"/>
    <w:rsid w:val="00571816"/>
    <w:rsid w:val="005C3A41"/>
    <w:rsid w:val="005E14C5"/>
    <w:rsid w:val="005E4786"/>
    <w:rsid w:val="00691516"/>
    <w:rsid w:val="006F7A81"/>
    <w:rsid w:val="00780313"/>
    <w:rsid w:val="00792498"/>
    <w:rsid w:val="007B10F4"/>
    <w:rsid w:val="00A96837"/>
    <w:rsid w:val="00AA217E"/>
    <w:rsid w:val="00B63A5B"/>
    <w:rsid w:val="00C05AAE"/>
    <w:rsid w:val="00C73553"/>
    <w:rsid w:val="00D7353F"/>
    <w:rsid w:val="00DD666A"/>
    <w:rsid w:val="00DE207F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84A7CE7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table" w:styleId="Tabelacomgrade">
    <w:name w:val="Table Grid"/>
    <w:basedOn w:val="Tabelanormal"/>
    <w:uiPriority w:val="39"/>
    <w:rsid w:val="001A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E5E706-DE56-472B-891D-F2452F96EF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18DC76-3306-4FA3-ABB0-7C72B8523ED4}"/>
</file>

<file path=customXml/itemProps3.xml><?xml version="1.0" encoding="utf-8"?>
<ds:datastoreItem xmlns:ds="http://schemas.openxmlformats.org/officeDocument/2006/customXml" ds:itemID="{F8FF2EA1-A401-4ABD-B27C-9B47DDE8CA70}"/>
</file>

<file path=customXml/itemProps4.xml><?xml version="1.0" encoding="utf-8"?>
<ds:datastoreItem xmlns:ds="http://schemas.openxmlformats.org/officeDocument/2006/customXml" ds:itemID="{B9924BFF-EF7A-42EA-8E2D-49ECD8626E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33</Pages>
  <Words>9623</Words>
  <Characters>55933</Characters>
  <Application>Microsoft Office Word</Application>
  <DocSecurity>0</DocSecurity>
  <Lines>466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7</cp:revision>
  <cp:lastPrinted>2018-03-29T18:54:00Z</cp:lastPrinted>
  <dcterms:created xsi:type="dcterms:W3CDTF">2018-03-29T14:50:00Z</dcterms:created>
  <dcterms:modified xsi:type="dcterms:W3CDTF">2018-06-19T20:31:00Z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