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09" w:rsidRPr="003D7253" w:rsidRDefault="001E7F35" w:rsidP="00BF01E3">
      <w:pPr>
        <w:pStyle w:val="Ttulo4"/>
        <w:ind w:left="-142" w:right="-284"/>
        <w:jc w:val="center"/>
        <w:rPr>
          <w:rFonts w:ascii="Times New Roman" w:hAnsi="Times New Roman" w:cs="Times New Roman"/>
          <w:b w:val="0"/>
          <w:bCs w:val="0"/>
        </w:rPr>
      </w:pPr>
      <w:bookmarkStart w:id="0" w:name="_GoBack"/>
      <w:bookmarkEnd w:id="0"/>
      <w:r w:rsidRPr="003D7253">
        <w:rPr>
          <w:rFonts w:ascii="Times New Roman" w:hAnsi="Times New Roman" w:cs="Times New Roman"/>
          <w:bCs w:val="0"/>
          <w:sz w:val="22"/>
        </w:rPr>
        <w:t>RESOLUÇÃO DE DIRETORIA COLEGIADA - RDC Nº 23, DE 24 DE JANEIRO DE 2002</w:t>
      </w:r>
      <w:r w:rsidR="001A0509" w:rsidRPr="003D7253">
        <w:rPr>
          <w:rFonts w:ascii="Times New Roman" w:hAnsi="Times New Roman" w:cs="Times New Roman"/>
          <w:b w:val="0"/>
          <w:bCs w:val="0"/>
          <w:sz w:val="22"/>
        </w:rPr>
        <w:t>(</w:t>
      </w:r>
      <w:r w:rsidR="001A0509" w:rsidRPr="003D7253">
        <w:rPr>
          <w:rFonts w:ascii="Times New Roman" w:hAnsi="Times New Roman" w:cs="Times New Roman"/>
          <w:b w:val="0"/>
          <w:bCs w:val="0"/>
          <w:sz w:val="22"/>
          <w:szCs w:val="22"/>
        </w:rPr>
        <w:sym w:font="Symbol" w:char="F02A"/>
      </w:r>
      <w:r w:rsidR="001A0509" w:rsidRPr="003D7253">
        <w:rPr>
          <w:rFonts w:ascii="Times New Roman" w:hAnsi="Times New Roman" w:cs="Times New Roman"/>
          <w:b w:val="0"/>
          <w:bCs w:val="0"/>
          <w:sz w:val="22"/>
        </w:rPr>
        <w:t>)</w:t>
      </w:r>
    </w:p>
    <w:p w:rsidR="001A0509" w:rsidRPr="003D7253" w:rsidRDefault="001A0509" w:rsidP="001A0509">
      <w:pPr>
        <w:rPr>
          <w:rFonts w:ascii="Times New Roman" w:hAnsi="Times New Roman" w:cs="Times New Roman"/>
          <w:sz w:val="24"/>
          <w:szCs w:val="24"/>
        </w:rPr>
      </w:pPr>
    </w:p>
    <w:p w:rsidR="001A0509" w:rsidRPr="003D7253" w:rsidRDefault="001A0509" w:rsidP="001A0509">
      <w:pPr>
        <w:jc w:val="center"/>
        <w:rPr>
          <w:rFonts w:ascii="Times New Roman" w:hAnsi="Times New Roman" w:cs="Times New Roman"/>
          <w:b/>
          <w:color w:val="0000FF"/>
          <w:sz w:val="24"/>
          <w:szCs w:val="24"/>
        </w:rPr>
      </w:pPr>
      <w:r w:rsidRPr="003D7253">
        <w:rPr>
          <w:rFonts w:ascii="Times New Roman" w:hAnsi="Times New Roman" w:cs="Times New Roman"/>
          <w:b/>
          <w:color w:val="0000FF"/>
          <w:sz w:val="24"/>
          <w:szCs w:val="24"/>
        </w:rPr>
        <w:t>(Publicada em DOU nº 19, de 28 de janeiro de 2002)</w:t>
      </w:r>
    </w:p>
    <w:p w:rsidR="001A0509" w:rsidRPr="003D7253" w:rsidRDefault="001A0509" w:rsidP="001A0509">
      <w:pPr>
        <w:jc w:val="center"/>
        <w:rPr>
          <w:rFonts w:ascii="Times New Roman" w:hAnsi="Times New Roman" w:cs="Times New Roman"/>
          <w:b/>
          <w:color w:val="0000FF"/>
          <w:sz w:val="24"/>
          <w:szCs w:val="24"/>
        </w:rPr>
      </w:pPr>
    </w:p>
    <w:p w:rsidR="001A0509" w:rsidRPr="003D7253" w:rsidRDefault="00F74D6B" w:rsidP="001A0509">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(Republicada</w:t>
      </w:r>
      <w:r w:rsidR="001A0509" w:rsidRPr="003D7253">
        <w:rPr>
          <w:rFonts w:ascii="Times New Roman" w:hAnsi="Times New Roman" w:cs="Times New Roman"/>
          <w:b/>
          <w:color w:val="0000FF"/>
          <w:sz w:val="24"/>
          <w:szCs w:val="24"/>
        </w:rPr>
        <w:t xml:space="preserve"> em DOU nº 59, de 27 de março de 2003)</w:t>
      </w:r>
    </w:p>
    <w:p w:rsidR="001A0509" w:rsidRPr="003D7253" w:rsidRDefault="001A0509" w:rsidP="001A0509">
      <w:pPr>
        <w:jc w:val="center"/>
        <w:rPr>
          <w:rFonts w:ascii="Times New Roman" w:hAnsi="Times New Roman" w:cs="Times New Roman"/>
          <w:b/>
          <w:color w:val="0000FF"/>
          <w:sz w:val="24"/>
          <w:szCs w:val="24"/>
        </w:rPr>
      </w:pPr>
    </w:p>
    <w:p w:rsidR="001A0509" w:rsidRPr="003D7253" w:rsidRDefault="001A0509" w:rsidP="001A0509">
      <w:pPr>
        <w:jc w:val="center"/>
        <w:rPr>
          <w:rFonts w:ascii="Times New Roman" w:hAnsi="Times New Roman" w:cs="Times New Roman"/>
          <w:b/>
          <w:color w:val="0000FF"/>
          <w:sz w:val="24"/>
          <w:szCs w:val="24"/>
        </w:rPr>
      </w:pPr>
      <w:r w:rsidRPr="00B933BD">
        <w:rPr>
          <w:rFonts w:ascii="Times New Roman" w:hAnsi="Times New Roman" w:cs="Times New Roman"/>
          <w:b/>
          <w:color w:val="0000FF"/>
          <w:sz w:val="24"/>
          <w:szCs w:val="24"/>
        </w:rPr>
        <w:t>(Revogada pela Resolução</w:t>
      </w:r>
      <w:r w:rsidR="00F67903" w:rsidRPr="00B933BD">
        <w:rPr>
          <w:rFonts w:ascii="Times New Roman" w:hAnsi="Times New Roman" w:cs="Times New Roman"/>
          <w:b/>
          <w:color w:val="0000FF"/>
          <w:sz w:val="24"/>
          <w:szCs w:val="24"/>
        </w:rPr>
        <w:t xml:space="preserve"> </w:t>
      </w:r>
      <w:r w:rsidRPr="00B933BD">
        <w:rPr>
          <w:rFonts w:ascii="Times New Roman" w:hAnsi="Times New Roman" w:cs="Times New Roman"/>
          <w:b/>
          <w:color w:val="0000FF"/>
          <w:sz w:val="24"/>
          <w:szCs w:val="24"/>
        </w:rPr>
        <w:t>-</w:t>
      </w:r>
      <w:r w:rsidR="00F67903" w:rsidRPr="00B933BD">
        <w:rPr>
          <w:rFonts w:ascii="Times New Roman" w:hAnsi="Times New Roman" w:cs="Times New Roman"/>
          <w:b/>
          <w:color w:val="0000FF"/>
          <w:sz w:val="24"/>
          <w:szCs w:val="24"/>
        </w:rPr>
        <w:t xml:space="preserve"> </w:t>
      </w:r>
      <w:r w:rsidRPr="00B933BD">
        <w:rPr>
          <w:rFonts w:ascii="Times New Roman" w:hAnsi="Times New Roman" w:cs="Times New Roman"/>
          <w:b/>
          <w:color w:val="0000FF"/>
          <w:sz w:val="24"/>
          <w:szCs w:val="24"/>
        </w:rPr>
        <w:t>RDC nº 47, de 29 de agosto de 2012)</w:t>
      </w:r>
    </w:p>
    <w:p w:rsidR="001A0509" w:rsidRPr="003D7253" w:rsidRDefault="001A0509" w:rsidP="001A0509">
      <w:pPr>
        <w:jc w:val="center"/>
        <w:rPr>
          <w:rFonts w:ascii="Times New Roman" w:hAnsi="Times New Roman" w:cs="Times New Roman"/>
          <w:b/>
          <w:strike/>
          <w:color w:val="0000FF"/>
          <w:sz w:val="24"/>
          <w:szCs w:val="24"/>
        </w:rPr>
      </w:pPr>
    </w:p>
    <w:p w:rsidR="001A0509" w:rsidRDefault="001A0509">
      <w:pPr>
        <w:widowControl/>
        <w:ind w:firstLine="567"/>
        <w:jc w:val="both"/>
        <w:rPr>
          <w:rFonts w:ascii="Times New Roman" w:hAnsi="Times New Roman" w:cs="Times New Roman"/>
          <w:strike/>
          <w:sz w:val="24"/>
          <w:szCs w:val="24"/>
        </w:rPr>
      </w:pPr>
    </w:p>
    <w:p w:rsidR="001A0509" w:rsidRDefault="001A0509">
      <w:pPr>
        <w:pStyle w:val="Recuodecorpodetexto2"/>
        <w:spacing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A </w:t>
      </w:r>
      <w:r w:rsidRPr="00BF01E3">
        <w:rPr>
          <w:rFonts w:ascii="Times New Roman" w:hAnsi="Times New Roman" w:cs="Times New Roman"/>
          <w:b/>
          <w:strike/>
          <w:sz w:val="24"/>
          <w:szCs w:val="24"/>
        </w:rPr>
        <w:t>Diretoria Colegiada da Agência Nacional de Vigilância Sanitária</w:t>
      </w:r>
      <w:r w:rsidRPr="003D7253">
        <w:rPr>
          <w:rFonts w:ascii="Times New Roman" w:hAnsi="Times New Roman" w:cs="Times New Roman"/>
          <w:strike/>
          <w:sz w:val="24"/>
          <w:szCs w:val="24"/>
        </w:rPr>
        <w:t>, no uso da atribuição que lhe confere o art. 11, inciso IV, do Regulamento da ANVISA, aprovado pelo Decreto nº 3.029, de 16 de abril de 1999, em reunião realizada em 23, de janeiro de 2002.</w:t>
      </w:r>
    </w:p>
    <w:p w:rsidR="00F67903" w:rsidRPr="003D7253" w:rsidRDefault="00F67903">
      <w:pPr>
        <w:pStyle w:val="Recuodecorpodetexto2"/>
        <w:spacing w:line="240" w:lineRule="auto"/>
        <w:ind w:firstLine="567"/>
        <w:jc w:val="both"/>
        <w:rPr>
          <w:rFonts w:ascii="Times New Roman" w:hAnsi="Times New Roman" w:cs="Times New Roman"/>
          <w:strike/>
          <w:sz w:val="24"/>
          <w:szCs w:val="24"/>
        </w:rPr>
      </w:pPr>
    </w:p>
    <w:p w:rsidR="001A0509" w:rsidRDefault="001A0509">
      <w:pPr>
        <w:pStyle w:val="Corpodetexto"/>
        <w:spacing w:before="0" w:line="240" w:lineRule="auto"/>
        <w:ind w:firstLine="567"/>
        <w:jc w:val="both"/>
        <w:rPr>
          <w:rFonts w:ascii="Times New Roman" w:hAnsi="Times New Roman" w:cs="Times New Roman"/>
          <w:strike/>
        </w:rPr>
      </w:pPr>
      <w:r w:rsidRPr="003D7253">
        <w:rPr>
          <w:rFonts w:ascii="Times New Roman" w:hAnsi="Times New Roman" w:cs="Times New Roman"/>
          <w:strike/>
        </w:rPr>
        <w:t xml:space="preserve">considerando que a reposição de fatores VIII ou IX nos hemofílicos deve ser feita apenas com concentrados de fatores obtidos industrialmente; </w:t>
      </w:r>
    </w:p>
    <w:p w:rsidR="00F67903" w:rsidRPr="003D7253" w:rsidRDefault="00F67903">
      <w:pPr>
        <w:pStyle w:val="Corpodetexto"/>
        <w:spacing w:before="0" w:line="240" w:lineRule="auto"/>
        <w:ind w:firstLine="567"/>
        <w:jc w:val="both"/>
        <w:rPr>
          <w:rFonts w:ascii="Times New Roman" w:hAnsi="Times New Roman" w:cs="Times New Roman"/>
          <w:strike/>
        </w:rPr>
      </w:pPr>
    </w:p>
    <w:p w:rsidR="001A0509"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considerando que o Ministério da Saúde fornece gratuitamente concentrados de fatores VIII e IX para o tratamento de todo e qualquer hemofílico brasileiro; </w:t>
      </w:r>
    </w:p>
    <w:p w:rsidR="00F67903" w:rsidRPr="003D7253" w:rsidRDefault="00F67903">
      <w:pPr>
        <w:widowControl/>
        <w:ind w:firstLine="567"/>
        <w:jc w:val="both"/>
        <w:rPr>
          <w:rFonts w:ascii="Times New Roman" w:hAnsi="Times New Roman" w:cs="Times New Roman"/>
          <w:strike/>
          <w:sz w:val="24"/>
          <w:szCs w:val="24"/>
        </w:rPr>
      </w:pPr>
    </w:p>
    <w:p w:rsidR="001A0509" w:rsidRDefault="001A0509">
      <w:pPr>
        <w:pStyle w:val="Corpodetexto"/>
        <w:spacing w:before="0" w:line="240" w:lineRule="auto"/>
        <w:ind w:firstLine="567"/>
        <w:jc w:val="both"/>
        <w:rPr>
          <w:rFonts w:ascii="Times New Roman" w:hAnsi="Times New Roman" w:cs="Times New Roman"/>
          <w:strike/>
        </w:rPr>
      </w:pPr>
      <w:r w:rsidRPr="003D7253">
        <w:rPr>
          <w:rFonts w:ascii="Times New Roman" w:hAnsi="Times New Roman" w:cs="Times New Roman"/>
          <w:strike/>
        </w:rPr>
        <w:t xml:space="preserve">considerando que o Ministério da Saúde fornece gratuitamente concentrados de Fator VIII ricos em multímeros de von Willebrand para o tratamento dos pacientes com doença de von Willebrand, assim como o DDAVP; </w:t>
      </w:r>
    </w:p>
    <w:p w:rsidR="00F67903" w:rsidRPr="003D7253" w:rsidRDefault="00F67903">
      <w:pPr>
        <w:pStyle w:val="Corpodetexto"/>
        <w:spacing w:before="0" w:line="240" w:lineRule="auto"/>
        <w:ind w:firstLine="567"/>
        <w:jc w:val="both"/>
        <w:rPr>
          <w:rFonts w:ascii="Times New Roman" w:hAnsi="Times New Roman" w:cs="Times New Roman"/>
          <w:strike/>
        </w:rPr>
      </w:pPr>
    </w:p>
    <w:p w:rsidR="001A0509"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considerando que a utilização de crioprecipitado deve ficar restrita a casos específicos; </w:t>
      </w:r>
    </w:p>
    <w:p w:rsidR="00F67903" w:rsidRPr="003D7253" w:rsidRDefault="00F67903">
      <w:pPr>
        <w:widowControl/>
        <w:ind w:firstLine="567"/>
        <w:jc w:val="both"/>
        <w:rPr>
          <w:rFonts w:ascii="Times New Roman" w:hAnsi="Times New Roman" w:cs="Times New Roman"/>
          <w:strike/>
          <w:sz w:val="24"/>
          <w:szCs w:val="24"/>
        </w:rPr>
      </w:pPr>
    </w:p>
    <w:p w:rsidR="001A0509" w:rsidRDefault="001A0509">
      <w:pPr>
        <w:pStyle w:val="Corpodetexto"/>
        <w:spacing w:before="0" w:line="240" w:lineRule="auto"/>
        <w:ind w:firstLine="567"/>
        <w:jc w:val="both"/>
        <w:rPr>
          <w:rFonts w:ascii="Times New Roman" w:hAnsi="Times New Roman" w:cs="Times New Roman"/>
          <w:strike/>
        </w:rPr>
      </w:pPr>
      <w:r w:rsidRPr="003D7253">
        <w:rPr>
          <w:rFonts w:ascii="Times New Roman" w:hAnsi="Times New Roman" w:cs="Times New Roman"/>
          <w:strike/>
        </w:rPr>
        <w:t xml:space="preserve">considerando que o excedente do plasma de uso terapêutico coletado no país será destinado ao fracionamento industrial visando à produção de hemoderivados; </w:t>
      </w:r>
    </w:p>
    <w:p w:rsidR="00F67903" w:rsidRPr="003D7253" w:rsidRDefault="00F67903">
      <w:pPr>
        <w:pStyle w:val="Corpodetexto"/>
        <w:spacing w:before="0" w:line="240" w:lineRule="auto"/>
        <w:ind w:firstLine="567"/>
        <w:jc w:val="both"/>
        <w:rPr>
          <w:rFonts w:ascii="Times New Roman" w:hAnsi="Times New Roman" w:cs="Times New Roman"/>
          <w:strike/>
        </w:rPr>
      </w:pPr>
    </w:p>
    <w:p w:rsidR="001A0509" w:rsidRDefault="001A0509">
      <w:pPr>
        <w:pStyle w:val="Recuodecorpodetexto3"/>
        <w:spacing w:before="0"/>
        <w:ind w:firstLine="567"/>
        <w:rPr>
          <w:rFonts w:ascii="Times New Roman" w:hAnsi="Times New Roman" w:cs="Times New Roman"/>
          <w:strike/>
        </w:rPr>
      </w:pPr>
      <w:r w:rsidRPr="003D7253">
        <w:rPr>
          <w:rFonts w:ascii="Times New Roman" w:hAnsi="Times New Roman" w:cs="Times New Roman"/>
          <w:strike/>
        </w:rPr>
        <w:t xml:space="preserve">considerando que há necessidade de que este excedente do plasma satisfaça o nível de exigência estabelecido pelos órgãos normalizadores e pelos produtores de hemoderivados; </w:t>
      </w:r>
    </w:p>
    <w:p w:rsidR="00F67903" w:rsidRPr="003D7253" w:rsidRDefault="00F67903">
      <w:pPr>
        <w:pStyle w:val="Recuodecorpodetexto3"/>
        <w:spacing w:before="0"/>
        <w:ind w:firstLine="567"/>
        <w:rPr>
          <w:rFonts w:ascii="Times New Roman" w:hAnsi="Times New Roman" w:cs="Times New Roman"/>
          <w:strike/>
        </w:rPr>
      </w:pPr>
    </w:p>
    <w:p w:rsidR="001A0509"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considerando que a extração de crioprecipitado de um plasma exclui a possibilidade de obtenção de fator VIII pela indústria de fracionamento do plasma; </w:t>
      </w:r>
    </w:p>
    <w:p w:rsidR="00F67903" w:rsidRPr="003D7253" w:rsidRDefault="00F67903">
      <w:pPr>
        <w:widowControl/>
        <w:ind w:firstLine="567"/>
        <w:jc w:val="both"/>
        <w:rPr>
          <w:rFonts w:ascii="Times New Roman" w:hAnsi="Times New Roman" w:cs="Times New Roman"/>
          <w:strike/>
          <w:sz w:val="24"/>
          <w:szCs w:val="24"/>
        </w:rPr>
      </w:pPr>
    </w:p>
    <w:p w:rsidR="001A0509"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considerando ainda, os riscos transfusionais inerentes ao uso dos hemocomponentes, aí incluído o crioprecipitado:</w:t>
      </w:r>
    </w:p>
    <w:p w:rsidR="00F67903" w:rsidRPr="003D7253" w:rsidRDefault="00F67903">
      <w:pPr>
        <w:widowControl/>
        <w:ind w:firstLine="567"/>
        <w:jc w:val="both"/>
        <w:rPr>
          <w:rFonts w:ascii="Times New Roman" w:hAnsi="Times New Roman" w:cs="Times New Roman"/>
          <w:strike/>
          <w:sz w:val="24"/>
          <w:szCs w:val="24"/>
        </w:rPr>
      </w:pPr>
    </w:p>
    <w:p w:rsidR="001A0509" w:rsidRPr="003D7253"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Adota a seguinte Resolução de Diretoria Colegiada, e eu, Diretor-Presidente, determino a sua publicação.</w:t>
      </w:r>
    </w:p>
    <w:p w:rsidR="001E7F35" w:rsidRPr="003D7253" w:rsidRDefault="001E7F35">
      <w:pPr>
        <w:widowControl/>
        <w:ind w:firstLine="567"/>
        <w:jc w:val="both"/>
        <w:rPr>
          <w:rFonts w:ascii="Times New Roman" w:hAnsi="Times New Roman" w:cs="Times New Roman"/>
          <w:strike/>
          <w:sz w:val="24"/>
          <w:szCs w:val="24"/>
        </w:rPr>
      </w:pPr>
    </w:p>
    <w:p w:rsidR="001A0509" w:rsidRPr="003D7253"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Art. 1</w:t>
      </w:r>
      <w:r w:rsidRPr="003D7253">
        <w:rPr>
          <w:rFonts w:ascii="Times New Roman" w:hAnsi="Times New Roman" w:cs="Times New Roman"/>
          <w:strike/>
          <w:sz w:val="24"/>
          <w:szCs w:val="24"/>
          <w:vertAlign w:val="superscript"/>
        </w:rPr>
        <w:t>º</w:t>
      </w:r>
      <w:r w:rsidRPr="003D7253">
        <w:rPr>
          <w:rFonts w:ascii="Times New Roman" w:hAnsi="Times New Roman" w:cs="Times New Roman"/>
          <w:strike/>
          <w:sz w:val="24"/>
          <w:szCs w:val="24"/>
        </w:rPr>
        <w:t xml:space="preserve"> Aprovar o Regulamento Técnico sobre a indicação de uso de crioprecipitado conforme abaixo:</w:t>
      </w:r>
    </w:p>
    <w:p w:rsidR="001E7F35" w:rsidRPr="003D7253" w:rsidRDefault="001E7F35">
      <w:pPr>
        <w:widowControl/>
        <w:ind w:firstLine="567"/>
        <w:jc w:val="both"/>
        <w:rPr>
          <w:rFonts w:ascii="Times New Roman" w:hAnsi="Times New Roman" w:cs="Times New Roman"/>
          <w:strike/>
          <w:sz w:val="24"/>
          <w:szCs w:val="24"/>
        </w:rPr>
      </w:pPr>
    </w:p>
    <w:p w:rsidR="001A0509"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lastRenderedPageBreak/>
        <w:t>I - Repor fibrinogênio em pacientes com hemorragia e déficits isolados congênitos ou adquiridos de fibrinogênio, quando não se dispuser do concentrado de fibrinogênio industrial;</w:t>
      </w:r>
    </w:p>
    <w:p w:rsidR="00F67903" w:rsidRPr="003D7253" w:rsidRDefault="00F67903">
      <w:pPr>
        <w:widowControl/>
        <w:ind w:firstLine="567"/>
        <w:jc w:val="both"/>
        <w:rPr>
          <w:rFonts w:ascii="Times New Roman" w:hAnsi="Times New Roman" w:cs="Times New Roman"/>
          <w:strike/>
          <w:sz w:val="24"/>
          <w:szCs w:val="24"/>
        </w:rPr>
      </w:pPr>
    </w:p>
    <w:p w:rsidR="001A0509" w:rsidRDefault="001A0509">
      <w:pPr>
        <w:pStyle w:val="Ttulo3"/>
        <w:spacing w:before="0" w:line="240" w:lineRule="auto"/>
        <w:ind w:firstLine="567"/>
        <w:jc w:val="both"/>
        <w:rPr>
          <w:rFonts w:ascii="Times New Roman" w:hAnsi="Times New Roman" w:cs="Times New Roman"/>
          <w:strike/>
        </w:rPr>
      </w:pPr>
      <w:r w:rsidRPr="003D7253">
        <w:rPr>
          <w:rFonts w:ascii="Times New Roman" w:hAnsi="Times New Roman" w:cs="Times New Roman"/>
          <w:strike/>
        </w:rPr>
        <w:t>II - Repor fibrinogênio em pacientes com coagulação intra-vascular disseminada - CIVD e graves hipofibrinogenemias;</w:t>
      </w:r>
    </w:p>
    <w:p w:rsidR="00F67903" w:rsidRPr="00F67903" w:rsidRDefault="00F67903" w:rsidP="00F67903"/>
    <w:p w:rsidR="001A0509"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III - Repor Fator XIII em pacientes com hemorragias por déficits deste fator, só quando não se dispuser do concentrado de Fator XIII industrial; </w:t>
      </w:r>
    </w:p>
    <w:p w:rsidR="00BF01E3" w:rsidRPr="003D7253" w:rsidRDefault="00BF01E3">
      <w:pPr>
        <w:widowControl/>
        <w:ind w:firstLine="567"/>
        <w:jc w:val="both"/>
        <w:rPr>
          <w:rFonts w:ascii="Times New Roman" w:hAnsi="Times New Roman" w:cs="Times New Roman"/>
          <w:strike/>
          <w:sz w:val="24"/>
          <w:szCs w:val="24"/>
        </w:rPr>
      </w:pPr>
    </w:p>
    <w:p w:rsidR="001A0509" w:rsidRDefault="001A0509">
      <w:pPr>
        <w:pStyle w:val="Corpodetexto2"/>
        <w:spacing w:before="0"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IV - Repor Fator de von Willebrand em pacientes portadores da doença de von Willebrand que não têm  indicação de DDAVP ou  não respondem ao uso do DDA VP, apenas quando não se dispuser de concentrados de fator de von Willebrand ou de concentrados de Fator VIII ricos em multímeros de von Willebrand;</w:t>
      </w:r>
    </w:p>
    <w:p w:rsidR="00F67903" w:rsidRPr="003D7253" w:rsidRDefault="00F67903">
      <w:pPr>
        <w:pStyle w:val="Corpodetexto2"/>
        <w:spacing w:before="0" w:line="240" w:lineRule="auto"/>
        <w:ind w:firstLine="567"/>
        <w:jc w:val="both"/>
        <w:rPr>
          <w:rFonts w:ascii="Times New Roman" w:hAnsi="Times New Roman" w:cs="Times New Roman"/>
          <w:strike/>
          <w:sz w:val="24"/>
          <w:szCs w:val="24"/>
        </w:rPr>
      </w:pPr>
    </w:p>
    <w:p w:rsidR="001A0509" w:rsidRPr="003D7253" w:rsidRDefault="001A0509">
      <w:pPr>
        <w:widowControl/>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V - Compor a fórmula da cola de fibrina </w:t>
      </w:r>
      <w:r w:rsidRPr="003D7253">
        <w:rPr>
          <w:rFonts w:ascii="Times New Roman" w:hAnsi="Times New Roman" w:cs="Times New Roman"/>
          <w:strike/>
          <w:color w:val="000000"/>
          <w:sz w:val="24"/>
          <w:szCs w:val="24"/>
        </w:rPr>
        <w:t xml:space="preserve">autóloga </w:t>
      </w:r>
      <w:r w:rsidRPr="003D7253">
        <w:rPr>
          <w:rFonts w:ascii="Times New Roman" w:hAnsi="Times New Roman" w:cs="Times New Roman"/>
          <w:strike/>
          <w:sz w:val="24"/>
          <w:szCs w:val="24"/>
        </w:rPr>
        <w:t xml:space="preserve">para uso tópico. </w:t>
      </w:r>
    </w:p>
    <w:p w:rsidR="001E7F35" w:rsidRPr="003D7253" w:rsidRDefault="001E7F35">
      <w:pPr>
        <w:widowControl/>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color w:val="000000"/>
          <w:sz w:val="24"/>
          <w:szCs w:val="24"/>
        </w:rPr>
      </w:pPr>
      <w:r w:rsidRPr="003D7253">
        <w:rPr>
          <w:rFonts w:ascii="Times New Roman" w:hAnsi="Times New Roman" w:cs="Times New Roman"/>
          <w:strike/>
          <w:sz w:val="24"/>
          <w:szCs w:val="24"/>
        </w:rPr>
        <w:t xml:space="preserve">Art. 2º Fica vedada a utilização de crioprecipitado para tratamento das Hemofilias e Doença de von Willebrand, </w:t>
      </w:r>
      <w:r w:rsidRPr="003D7253">
        <w:rPr>
          <w:rFonts w:ascii="Times New Roman" w:hAnsi="Times New Roman" w:cs="Times New Roman"/>
          <w:strike/>
          <w:color w:val="000000"/>
          <w:sz w:val="24"/>
          <w:szCs w:val="24"/>
        </w:rPr>
        <w:t xml:space="preserve">salvo nas situações apontadas no item IV. </w:t>
      </w: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1º Os serviços que prestam assistência à saúde aos portadores de coagulopatias hereditárias deverão manter estoque de fatores da coagulação compatível com a demanda do serviço;</w:t>
      </w: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 2º No caso de desabastecimento dos fatores da coagulação os serviços assistenciais deverão  comunicar , por escrito,  a falta destes ao órgão responsável pela distribuição dos hemoderivados na localidade. </w:t>
      </w:r>
    </w:p>
    <w:p w:rsidR="001A0509" w:rsidRPr="003D7253" w:rsidRDefault="001A0509">
      <w:pPr>
        <w:widowControl/>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Art. 3º O uso de crioprecipitado nos casos não previstos no Art. 1</w:t>
      </w:r>
      <w:r w:rsidRPr="003D7253">
        <w:rPr>
          <w:rFonts w:ascii="Times New Roman" w:hAnsi="Times New Roman" w:cs="Times New Roman"/>
          <w:strike/>
          <w:sz w:val="24"/>
          <w:szCs w:val="24"/>
          <w:vertAlign w:val="superscript"/>
        </w:rPr>
        <w:t>o</w:t>
      </w:r>
      <w:r w:rsidRPr="003D7253">
        <w:rPr>
          <w:rFonts w:ascii="Times New Roman" w:hAnsi="Times New Roman" w:cs="Times New Roman"/>
          <w:strike/>
          <w:sz w:val="24"/>
          <w:szCs w:val="24"/>
        </w:rPr>
        <w:t>, deverá ser comunicado à Vigilância Sanitária, na localidade onde ocorreu o fato, por meio de documento, conforme modelo anexo.</w:t>
      </w: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color w:val="FF0000"/>
          <w:sz w:val="24"/>
          <w:szCs w:val="24"/>
        </w:rPr>
      </w:pPr>
      <w:r w:rsidRPr="003D7253">
        <w:rPr>
          <w:rFonts w:ascii="Times New Roman" w:hAnsi="Times New Roman" w:cs="Times New Roman"/>
          <w:strike/>
          <w:sz w:val="24"/>
          <w:szCs w:val="24"/>
        </w:rPr>
        <w:t xml:space="preserve">Art. 4º </w:t>
      </w:r>
      <w:r w:rsidRPr="003D7253">
        <w:rPr>
          <w:rFonts w:ascii="Times New Roman" w:hAnsi="Times New Roman" w:cs="Times New Roman"/>
          <w:strike/>
          <w:color w:val="000000"/>
          <w:sz w:val="24"/>
          <w:szCs w:val="24"/>
        </w:rPr>
        <w:t xml:space="preserve">Para a transfusão de crioprecipitado em crianças, deve haver compatibilidade entre o anticorpo do sistema ABO presente no plasma do doador e os antígenos do mesmo sistema presentes nas hemácias da criança. Caso isto não seja possível, a ocorrência de hemólise deverá ser criteriosamente monitorada. </w:t>
      </w:r>
      <w:r w:rsidRPr="003D7253">
        <w:rPr>
          <w:rFonts w:ascii="Times New Roman" w:hAnsi="Times New Roman" w:cs="Times New Roman"/>
          <w:strike/>
          <w:color w:val="FF0000"/>
          <w:sz w:val="24"/>
          <w:szCs w:val="24"/>
        </w:rPr>
        <w:t xml:space="preserve"> </w:t>
      </w: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 xml:space="preserve">Art. 5º O descumprimento dos termos desta resolução, constitui infração sanitária sujeito dos dispositivos da Lei nº 6.347, de 20 de agosto de 1977 e demais disposição. </w:t>
      </w: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p>
    <w:p w:rsidR="001A0509" w:rsidRPr="003D7253" w:rsidRDefault="001A0509">
      <w:pPr>
        <w:pStyle w:val="Corpodetexto2"/>
        <w:spacing w:before="0" w:line="240" w:lineRule="auto"/>
        <w:ind w:firstLine="567"/>
        <w:jc w:val="both"/>
        <w:rPr>
          <w:rFonts w:ascii="Times New Roman" w:hAnsi="Times New Roman" w:cs="Times New Roman"/>
          <w:strike/>
          <w:sz w:val="24"/>
          <w:szCs w:val="24"/>
        </w:rPr>
      </w:pPr>
      <w:r w:rsidRPr="003D7253">
        <w:rPr>
          <w:rFonts w:ascii="Times New Roman" w:hAnsi="Times New Roman" w:cs="Times New Roman"/>
          <w:strike/>
          <w:sz w:val="24"/>
          <w:szCs w:val="24"/>
        </w:rPr>
        <w:t>Art. 6º Esta Resolução entra em vigor na data de sua publicação.</w:t>
      </w:r>
    </w:p>
    <w:p w:rsidR="001A0509" w:rsidRPr="003D7253" w:rsidRDefault="001A0509">
      <w:pPr>
        <w:pStyle w:val="Corpodetexto2"/>
        <w:spacing w:before="0" w:line="240" w:lineRule="auto"/>
        <w:jc w:val="center"/>
        <w:rPr>
          <w:rFonts w:ascii="Times New Roman" w:hAnsi="Times New Roman" w:cs="Times New Roman"/>
          <w:strike/>
          <w:sz w:val="24"/>
          <w:szCs w:val="24"/>
        </w:rPr>
      </w:pPr>
    </w:p>
    <w:p w:rsidR="001E7F35" w:rsidRPr="003D7253" w:rsidRDefault="001E7F35">
      <w:pPr>
        <w:pStyle w:val="Corpodetexto2"/>
        <w:spacing w:before="0" w:line="240" w:lineRule="auto"/>
        <w:jc w:val="center"/>
        <w:rPr>
          <w:rFonts w:ascii="Times New Roman" w:hAnsi="Times New Roman" w:cs="Times New Roman"/>
          <w:strike/>
          <w:sz w:val="24"/>
          <w:szCs w:val="24"/>
          <w:lang w:val="es-ES_tradnl"/>
        </w:rPr>
      </w:pPr>
    </w:p>
    <w:p w:rsidR="001A0509" w:rsidRPr="003D7253" w:rsidRDefault="001A0509">
      <w:pPr>
        <w:pStyle w:val="Corpodetexto2"/>
        <w:spacing w:before="0" w:line="240" w:lineRule="auto"/>
        <w:jc w:val="center"/>
        <w:rPr>
          <w:rFonts w:ascii="Times New Roman" w:hAnsi="Times New Roman" w:cs="Times New Roman"/>
          <w:sz w:val="24"/>
          <w:szCs w:val="24"/>
          <w:lang w:val="es-ES_tradnl"/>
        </w:rPr>
      </w:pPr>
      <w:r w:rsidRPr="003D7253">
        <w:rPr>
          <w:rFonts w:ascii="Times New Roman" w:hAnsi="Times New Roman" w:cs="Times New Roman"/>
          <w:sz w:val="24"/>
          <w:szCs w:val="24"/>
          <w:lang w:val="es-ES_tradnl"/>
        </w:rPr>
        <w:t>GONZALO VECINA NETO</w:t>
      </w:r>
    </w:p>
    <w:p w:rsidR="001A0509" w:rsidRPr="003D7253" w:rsidRDefault="001A0509">
      <w:pPr>
        <w:pStyle w:val="Corpodetexto2"/>
        <w:spacing w:before="0" w:line="240" w:lineRule="auto"/>
        <w:jc w:val="center"/>
        <w:rPr>
          <w:rFonts w:ascii="Times New Roman" w:hAnsi="Times New Roman" w:cs="Times New Roman"/>
          <w:strike/>
          <w:sz w:val="24"/>
          <w:szCs w:val="24"/>
          <w:lang w:val="es-ES_tradnl"/>
        </w:rPr>
      </w:pPr>
    </w:p>
    <w:p w:rsidR="001A0509" w:rsidRPr="003D7253" w:rsidRDefault="005974EA" w:rsidP="001A0509">
      <w:pPr>
        <w:jc w:val="center"/>
        <w:rPr>
          <w:rFonts w:ascii="Times New Roman" w:hAnsi="Times New Roman" w:cs="Times New Roman"/>
          <w:strike/>
          <w:sz w:val="24"/>
          <w:szCs w:val="24"/>
        </w:rPr>
      </w:pPr>
      <w:r>
        <w:rPr>
          <w:noProof/>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6.3pt;margin-top:-.7pt;width:490.5pt;height:285.5pt;flip:x;z-index:251659264" o:connectortype="straight"/>
        </w:pict>
      </w:r>
      <w:r>
        <w:rPr>
          <w:noProof/>
        </w:rPr>
        <w:pict>
          <v:shape id="_x0000_s1027" type="#_x0000_t32" style="position:absolute;left:0;text-align:left;margin-left:6.3pt;margin-top:-5.7pt;width:452.5pt;height:287.5pt;z-index:251658240" o:connectortype="straight"/>
        </w:pict>
      </w:r>
      <w:r w:rsidR="00914F5B" w:rsidRPr="003D7253">
        <w:rPr>
          <w:rFonts w:ascii="Times New Roman" w:hAnsi="Times New Roman" w:cs="Times New Roman"/>
          <w:strike/>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1.25pt;height:268.5pt">
            <v:imagedata r:id="rId7" o:title=""/>
          </v:shape>
        </w:pict>
      </w:r>
    </w:p>
    <w:p w:rsidR="00F0101B" w:rsidRDefault="00A16DF7" w:rsidP="00A16DF7">
      <w:pPr>
        <w:pStyle w:val="Corpodetexto2"/>
        <w:spacing w:before="0" w:line="240" w:lineRule="auto"/>
        <w:rPr>
          <w:rFonts w:ascii="Times New Roman" w:hAnsi="Times New Roman" w:cs="Times New Roman"/>
          <w:strike/>
          <w:sz w:val="24"/>
          <w:szCs w:val="24"/>
        </w:rPr>
      </w:pPr>
      <w:r w:rsidRPr="00A16DF7">
        <w:rPr>
          <w:rFonts w:ascii="Times New Roman" w:hAnsi="Times New Roman" w:cs="Times New Roman"/>
          <w:strike/>
          <w:sz w:val="24"/>
          <w:szCs w:val="24"/>
        </w:rPr>
        <w:t xml:space="preserve"> </w:t>
      </w:r>
    </w:p>
    <w:p w:rsidR="00F0101B" w:rsidRDefault="00F0101B" w:rsidP="00A16DF7">
      <w:pPr>
        <w:pStyle w:val="Corpodetexto2"/>
        <w:spacing w:before="0" w:line="240" w:lineRule="auto"/>
        <w:rPr>
          <w:rFonts w:ascii="Times New Roman" w:hAnsi="Times New Roman" w:cs="Times New Roman"/>
          <w:strike/>
          <w:sz w:val="24"/>
          <w:szCs w:val="24"/>
        </w:rPr>
      </w:pPr>
    </w:p>
    <w:p w:rsidR="00F0101B" w:rsidRDefault="00F0101B" w:rsidP="00A16DF7">
      <w:pPr>
        <w:pStyle w:val="Corpodetexto2"/>
        <w:spacing w:before="0" w:line="240" w:lineRule="auto"/>
        <w:rPr>
          <w:rFonts w:ascii="Times New Roman" w:hAnsi="Times New Roman" w:cs="Times New Roman"/>
          <w:strike/>
          <w:sz w:val="24"/>
          <w:szCs w:val="24"/>
        </w:rPr>
      </w:pPr>
    </w:p>
    <w:p w:rsidR="00A16DF7" w:rsidRPr="00A16DF7" w:rsidRDefault="00A16DF7" w:rsidP="00A16DF7">
      <w:pPr>
        <w:pStyle w:val="Corpodetexto2"/>
        <w:spacing w:before="0" w:line="240" w:lineRule="auto"/>
        <w:rPr>
          <w:rFonts w:ascii="Times New Roman" w:hAnsi="Times New Roman" w:cs="Times New Roman"/>
          <w:strike/>
          <w:sz w:val="24"/>
          <w:szCs w:val="24"/>
        </w:rPr>
      </w:pPr>
      <w:r w:rsidRPr="00A16DF7">
        <w:rPr>
          <w:rFonts w:ascii="Times New Roman" w:hAnsi="Times New Roman" w:cs="Times New Roman"/>
          <w:strike/>
          <w:sz w:val="24"/>
          <w:szCs w:val="24"/>
        </w:rPr>
        <w:t>(*) Republicada por ter saído com incorreção, do original, no D.O. nº</w:t>
      </w:r>
      <w:r>
        <w:rPr>
          <w:rFonts w:ascii="Times New Roman" w:hAnsi="Times New Roman" w:cs="Times New Roman"/>
          <w:strike/>
          <w:sz w:val="24"/>
          <w:szCs w:val="24"/>
        </w:rPr>
        <w:t xml:space="preserve"> </w:t>
      </w:r>
      <w:r w:rsidRPr="00A16DF7">
        <w:rPr>
          <w:rFonts w:ascii="Times New Roman" w:hAnsi="Times New Roman" w:cs="Times New Roman"/>
          <w:strike/>
          <w:sz w:val="24"/>
          <w:szCs w:val="24"/>
        </w:rPr>
        <w:t>19, de 28-1-2002, Seção 1, pág. 25.</w:t>
      </w:r>
    </w:p>
    <w:p w:rsidR="00A16DF7" w:rsidRPr="003D7253" w:rsidRDefault="00A16DF7">
      <w:pPr>
        <w:pStyle w:val="Corpodetexto2"/>
        <w:spacing w:before="0" w:line="240" w:lineRule="auto"/>
        <w:rPr>
          <w:rFonts w:ascii="Times New Roman" w:hAnsi="Times New Roman" w:cs="Times New Roman"/>
          <w:strike/>
          <w:sz w:val="24"/>
          <w:szCs w:val="24"/>
        </w:rPr>
      </w:pPr>
    </w:p>
    <w:sectPr w:rsidR="00A16DF7" w:rsidRPr="003D7253" w:rsidSect="00160C43">
      <w:headerReference w:type="even" r:id="rId8"/>
      <w:headerReference w:type="default" r:id="rId9"/>
      <w:footerReference w:type="even" r:id="rId10"/>
      <w:footerReference w:type="default" r:id="rId11"/>
      <w:headerReference w:type="first" r:id="rId12"/>
      <w:footerReference w:type="first" r:id="rId13"/>
      <w:pgSz w:w="11907" w:h="16840" w:code="9"/>
      <w:pgMar w:top="1417" w:right="1701" w:bottom="1417" w:left="1701" w:header="0" w:footer="7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1C5" w:rsidRDefault="008E01C5" w:rsidP="00BF01E3">
      <w:r>
        <w:separator/>
      </w:r>
    </w:p>
  </w:endnote>
  <w:endnote w:type="continuationSeparator" w:id="0">
    <w:p w:rsidR="008E01C5" w:rsidRDefault="008E01C5" w:rsidP="00BF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Monotype Sorts">
    <w:panose1 w:val="00000000000000000000"/>
    <w:charset w:val="02"/>
    <w:family w:val="auto"/>
    <w:notTrueType/>
    <w:pitch w:val="variable"/>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C43" w:rsidRDefault="00160C4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C43" w:rsidRPr="00F408C2" w:rsidRDefault="00160C43" w:rsidP="00160C43">
    <w:pPr>
      <w:widowControl/>
      <w:tabs>
        <w:tab w:val="center" w:pos="4252"/>
        <w:tab w:val="right" w:pos="8504"/>
      </w:tabs>
      <w:jc w:val="center"/>
      <w:rPr>
        <w:rFonts w:ascii="Calibri" w:hAnsi="Calibri" w:cs="Times New Roman"/>
        <w:sz w:val="22"/>
        <w:szCs w:val="22"/>
        <w:lang w:eastAsia="en-US"/>
      </w:rPr>
    </w:pPr>
    <w:r w:rsidRPr="00F408C2">
      <w:rPr>
        <w:rFonts w:ascii="Calibri" w:hAnsi="Calibri" w:cs="Times New Roman"/>
        <w:color w:val="943634"/>
        <w:sz w:val="22"/>
        <w:szCs w:val="22"/>
        <w:lang w:eastAsia="en-US"/>
      </w:rPr>
      <w:t>Este texto não substitui o(s) publicado(s) em Diário Oficial da União.</w:t>
    </w:r>
  </w:p>
  <w:p w:rsidR="00160C43" w:rsidRDefault="00160C4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C43" w:rsidRDefault="00160C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1C5" w:rsidRDefault="008E01C5" w:rsidP="00BF01E3">
      <w:r>
        <w:separator/>
      </w:r>
    </w:p>
  </w:footnote>
  <w:footnote w:type="continuationSeparator" w:id="0">
    <w:p w:rsidR="008E01C5" w:rsidRDefault="008E01C5" w:rsidP="00BF0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C43" w:rsidRDefault="00160C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1E3" w:rsidRDefault="00BF01E3">
    <w:pPr>
      <w:pStyle w:val="Cabealho"/>
    </w:pPr>
  </w:p>
  <w:p w:rsidR="00BF01E3" w:rsidRPr="00BF01E3" w:rsidRDefault="00BF01E3" w:rsidP="00BF01E3">
    <w:pPr>
      <w:widowControl/>
      <w:tabs>
        <w:tab w:val="center" w:pos="4252"/>
        <w:tab w:val="right" w:pos="8504"/>
      </w:tabs>
      <w:jc w:val="center"/>
      <w:rPr>
        <w:rFonts w:ascii="Calibri" w:hAnsi="Calibri" w:cs="Times New Roman"/>
        <w:sz w:val="22"/>
        <w:szCs w:val="22"/>
        <w:lang w:eastAsia="en-US"/>
      </w:rPr>
    </w:pPr>
    <w:r w:rsidRPr="00BF01E3">
      <w:rPr>
        <w:rFonts w:ascii="Calibri" w:hAnsi="Calibri" w:cs="Times New Roman"/>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BF01E3" w:rsidRPr="00BF01E3" w:rsidRDefault="00BF01E3" w:rsidP="00BF01E3">
    <w:pPr>
      <w:widowControl/>
      <w:tabs>
        <w:tab w:val="center" w:pos="4252"/>
        <w:tab w:val="right" w:pos="8504"/>
      </w:tabs>
      <w:jc w:val="center"/>
      <w:rPr>
        <w:rFonts w:ascii="Calibri" w:hAnsi="Calibri" w:cs="Times New Roman"/>
        <w:b/>
        <w:sz w:val="24"/>
        <w:szCs w:val="22"/>
        <w:lang w:eastAsia="en-US"/>
      </w:rPr>
    </w:pPr>
    <w:r w:rsidRPr="00BF01E3">
      <w:rPr>
        <w:rFonts w:ascii="Calibri" w:hAnsi="Calibri" w:cs="Times New Roman"/>
        <w:b/>
        <w:sz w:val="24"/>
        <w:szCs w:val="22"/>
        <w:lang w:eastAsia="en-US"/>
      </w:rPr>
      <w:t>Ministério da Saúde - MS</w:t>
    </w:r>
  </w:p>
  <w:p w:rsidR="00BF01E3" w:rsidRPr="00BF01E3" w:rsidRDefault="00BF01E3" w:rsidP="00BF01E3">
    <w:pPr>
      <w:widowControl/>
      <w:tabs>
        <w:tab w:val="center" w:pos="4252"/>
        <w:tab w:val="right" w:pos="8504"/>
      </w:tabs>
      <w:jc w:val="center"/>
      <w:rPr>
        <w:rFonts w:ascii="Calibri" w:hAnsi="Calibri" w:cs="Times New Roman"/>
        <w:b/>
        <w:sz w:val="24"/>
        <w:szCs w:val="22"/>
        <w:lang w:eastAsia="en-US"/>
      </w:rPr>
    </w:pPr>
    <w:r w:rsidRPr="00BF01E3">
      <w:rPr>
        <w:rFonts w:ascii="Calibri" w:hAnsi="Calibri" w:cs="Times New Roman"/>
        <w:b/>
        <w:sz w:val="24"/>
        <w:szCs w:val="22"/>
        <w:lang w:eastAsia="en-US"/>
      </w:rPr>
      <w:t>Agência Nacional de Vigilância Sanitária - ANVISA</w:t>
    </w:r>
  </w:p>
  <w:p w:rsidR="00BF01E3" w:rsidRDefault="00BF01E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C43" w:rsidRDefault="00160C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6E3E"/>
    <w:multiLevelType w:val="singleLevel"/>
    <w:tmpl w:val="9B1885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D771B13"/>
    <w:multiLevelType w:val="singleLevel"/>
    <w:tmpl w:val="2F04F9DC"/>
    <w:lvl w:ilvl="0">
      <w:start w:val="1"/>
      <w:numFmt w:val="bullet"/>
      <w:lvlText w:val=""/>
      <w:lvlJc w:val="left"/>
      <w:pPr>
        <w:tabs>
          <w:tab w:val="num" w:pos="360"/>
        </w:tabs>
        <w:ind w:left="360" w:hanging="360"/>
      </w:pPr>
      <w:rPr>
        <w:rFonts w:ascii="Monotype Sorts" w:hAnsi="Monotype Sorts" w:hint="default"/>
        <w:color w:val="auto"/>
        <w:sz w:val="28"/>
      </w:rPr>
    </w:lvl>
  </w:abstractNum>
  <w:abstractNum w:abstractNumId="2" w15:restartNumberingAfterBreak="0">
    <w:nsid w:val="5C9B740B"/>
    <w:multiLevelType w:val="singleLevel"/>
    <w:tmpl w:val="9B1885CC"/>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E7F35"/>
    <w:rsid w:val="000212CA"/>
    <w:rsid w:val="00160C43"/>
    <w:rsid w:val="001A0509"/>
    <w:rsid w:val="001E7F35"/>
    <w:rsid w:val="00297892"/>
    <w:rsid w:val="003D7253"/>
    <w:rsid w:val="005974EA"/>
    <w:rsid w:val="007652A6"/>
    <w:rsid w:val="00777FB2"/>
    <w:rsid w:val="008E01C5"/>
    <w:rsid w:val="00914F5B"/>
    <w:rsid w:val="00A16DF7"/>
    <w:rsid w:val="00B933BD"/>
    <w:rsid w:val="00BF01E3"/>
    <w:rsid w:val="00EF3EEC"/>
    <w:rsid w:val="00F0101B"/>
    <w:rsid w:val="00F408C2"/>
    <w:rsid w:val="00F67903"/>
    <w:rsid w:val="00F74D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0" w:line="240" w:lineRule="auto"/>
    </w:pPr>
    <w:rPr>
      <w:rFonts w:ascii="Arial" w:hAnsi="Arial" w:cs="Arial"/>
      <w:sz w:val="20"/>
      <w:szCs w:val="20"/>
    </w:rPr>
  </w:style>
  <w:style w:type="paragraph" w:styleId="Ttulo1">
    <w:name w:val="heading 1"/>
    <w:basedOn w:val="Normal"/>
    <w:next w:val="Normal"/>
    <w:link w:val="Ttulo1Char"/>
    <w:uiPriority w:val="99"/>
    <w:qFormat/>
    <w:pPr>
      <w:keepNext/>
      <w:widowControl/>
      <w:outlineLvl w:val="0"/>
    </w:pPr>
    <w:rPr>
      <w:sz w:val="24"/>
      <w:szCs w:val="24"/>
    </w:rPr>
  </w:style>
  <w:style w:type="paragraph" w:styleId="Ttulo2">
    <w:name w:val="heading 2"/>
    <w:basedOn w:val="Normal"/>
    <w:next w:val="Normal"/>
    <w:link w:val="Ttulo2Char"/>
    <w:uiPriority w:val="99"/>
    <w:qFormat/>
    <w:pPr>
      <w:keepNext/>
      <w:widowControl/>
      <w:spacing w:before="120" w:line="360" w:lineRule="auto"/>
      <w:ind w:left="5245"/>
      <w:outlineLvl w:val="1"/>
    </w:pPr>
    <w:rPr>
      <w:sz w:val="24"/>
      <w:szCs w:val="24"/>
    </w:rPr>
  </w:style>
  <w:style w:type="paragraph" w:styleId="Ttulo3">
    <w:name w:val="heading 3"/>
    <w:basedOn w:val="Normal"/>
    <w:next w:val="Normal"/>
    <w:link w:val="Ttulo3Char"/>
    <w:uiPriority w:val="99"/>
    <w:qFormat/>
    <w:pPr>
      <w:keepNext/>
      <w:widowControl/>
      <w:spacing w:before="206" w:line="369" w:lineRule="exact"/>
      <w:ind w:firstLine="709"/>
      <w:outlineLvl w:val="2"/>
    </w:pPr>
    <w:rPr>
      <w:sz w:val="24"/>
      <w:szCs w:val="24"/>
    </w:rPr>
  </w:style>
  <w:style w:type="paragraph" w:styleId="Ttulo4">
    <w:name w:val="heading 4"/>
    <w:basedOn w:val="Normal"/>
    <w:next w:val="Normal"/>
    <w:link w:val="Ttulo4Char"/>
    <w:uiPriority w:val="99"/>
    <w:qFormat/>
    <w:pPr>
      <w:keepNext/>
      <w:widowControl/>
      <w:outlineLvl w:val="3"/>
    </w:pPr>
    <w:rPr>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Corpodetexto">
    <w:name w:val="Body Text"/>
    <w:basedOn w:val="Normal"/>
    <w:link w:val="CorpodetextoChar"/>
    <w:uiPriority w:val="99"/>
    <w:pPr>
      <w:widowControl/>
      <w:spacing w:before="571" w:line="259" w:lineRule="exact"/>
    </w:pPr>
    <w:rPr>
      <w:sz w:val="24"/>
      <w:szCs w:val="24"/>
    </w:rPr>
  </w:style>
  <w:style w:type="character" w:customStyle="1" w:styleId="CorpodetextoChar">
    <w:name w:val="Corpo de texto Char"/>
    <w:basedOn w:val="Fontepargpadro"/>
    <w:link w:val="Corpodetexto"/>
    <w:uiPriority w:val="99"/>
    <w:semiHidden/>
    <w:locked/>
    <w:rPr>
      <w:rFonts w:ascii="Arial" w:hAnsi="Arial" w:cs="Arial"/>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Arial" w:hAnsi="Arial" w:cs="Arial"/>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Arial" w:hAnsi="Arial" w:cs="Arial"/>
      <w:sz w:val="20"/>
      <w:szCs w:val="20"/>
    </w:rPr>
  </w:style>
  <w:style w:type="character" w:styleId="Nmerodepgina">
    <w:name w:val="page number"/>
    <w:basedOn w:val="Fontepargpadro"/>
    <w:uiPriority w:val="99"/>
    <w:rPr>
      <w:rFonts w:cs="Times New Roman"/>
    </w:rPr>
  </w:style>
  <w:style w:type="paragraph" w:styleId="Corpodetexto2">
    <w:name w:val="Body Text 2"/>
    <w:basedOn w:val="Normal"/>
    <w:link w:val="Corpodetexto2Char"/>
    <w:uiPriority w:val="99"/>
    <w:pPr>
      <w:widowControl/>
      <w:spacing w:before="120" w:line="360" w:lineRule="auto"/>
    </w:pPr>
    <w:rPr>
      <w:sz w:val="28"/>
      <w:szCs w:val="28"/>
    </w:rPr>
  </w:style>
  <w:style w:type="character" w:customStyle="1" w:styleId="Corpodetexto2Char">
    <w:name w:val="Corpo de texto 2 Char"/>
    <w:basedOn w:val="Fontepargpadro"/>
    <w:link w:val="Corpodetexto2"/>
    <w:uiPriority w:val="99"/>
    <w:semiHidden/>
    <w:locked/>
    <w:rPr>
      <w:rFonts w:ascii="Arial" w:hAnsi="Arial" w:cs="Arial"/>
      <w:sz w:val="20"/>
      <w:szCs w:val="20"/>
    </w:rPr>
  </w:style>
  <w:style w:type="paragraph" w:styleId="Recuodecorpodetexto2">
    <w:name w:val="Body Text Indent 2"/>
    <w:basedOn w:val="Normal"/>
    <w:link w:val="Recuodecorpodetexto2Char"/>
    <w:uiPriority w:val="99"/>
    <w:pPr>
      <w:widowControl/>
      <w:spacing w:line="259" w:lineRule="exact"/>
      <w:ind w:firstLine="1701"/>
    </w:pPr>
    <w:rPr>
      <w:sz w:val="28"/>
      <w:szCs w:val="28"/>
    </w:rPr>
  </w:style>
  <w:style w:type="character" w:customStyle="1" w:styleId="Recuodecorpodetexto2Char">
    <w:name w:val="Recuo de corpo de texto 2 Char"/>
    <w:basedOn w:val="Fontepargpadro"/>
    <w:link w:val="Recuodecorpodetexto2"/>
    <w:uiPriority w:val="99"/>
    <w:semiHidden/>
    <w:locked/>
    <w:rPr>
      <w:rFonts w:ascii="Arial" w:hAnsi="Arial" w:cs="Arial"/>
      <w:sz w:val="20"/>
      <w:szCs w:val="20"/>
    </w:rPr>
  </w:style>
  <w:style w:type="paragraph" w:styleId="Recuodecorpodetexto3">
    <w:name w:val="Body Text Indent 3"/>
    <w:basedOn w:val="Normal"/>
    <w:link w:val="Recuodecorpodetexto3Char"/>
    <w:uiPriority w:val="99"/>
    <w:pPr>
      <w:widowControl/>
      <w:spacing w:before="302"/>
      <w:ind w:firstLine="1418"/>
      <w:jc w:val="both"/>
    </w:pPr>
    <w:rPr>
      <w:sz w:val="24"/>
      <w:szCs w:val="24"/>
    </w:rPr>
  </w:style>
  <w:style w:type="character" w:customStyle="1" w:styleId="Recuodecorpodetexto3Char">
    <w:name w:val="Recuo de corpo de texto 3 Char"/>
    <w:basedOn w:val="Fontepargpadro"/>
    <w:link w:val="Recuodecorpodetexto3"/>
    <w:uiPriority w:val="99"/>
    <w:semiHidden/>
    <w:locked/>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3501</Characters>
  <Application>Microsoft Office Word</Application>
  <DocSecurity>0</DocSecurity>
  <Lines>29</Lines>
  <Paragraphs>8</Paragraphs>
  <ScaleCrop>false</ScaleCrop>
  <Company>anvs</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XXXXXXXX</dc:title>
  <dc:subject/>
  <dc:creator>Vera.Lucia</dc:creator>
  <cp:keywords/>
  <dc:description>ORIGEM:36688daTIPO:79daNUMERO:23daCORREIO:silesio.rodrigues@anvisa.gov.br</dc:description>
  <cp:lastModifiedBy>Julia de Souza Ferreira</cp:lastModifiedBy>
  <cp:revision>2</cp:revision>
  <cp:lastPrinted>2016-08-02T13:07:00Z</cp:lastPrinted>
  <dcterms:created xsi:type="dcterms:W3CDTF">2018-11-27T16:31:00Z</dcterms:created>
  <dcterms:modified xsi:type="dcterms:W3CDTF">2018-11-27T16:31:00Z</dcterms:modified>
</cp:coreProperties>
</file>