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329" w:rsidRDefault="00A52329" w:rsidP="002A6C31">
      <w:pPr>
        <w:pStyle w:val="Ttulo1"/>
        <w:ind w:left="-284" w:right="-285"/>
        <w:divId w:val="1854148437"/>
        <w:rPr>
          <w:rFonts w:ascii="Times New Roman" w:hAnsi="Times New Roman" w:cs="Times New Roman"/>
        </w:rPr>
      </w:pPr>
      <w:bookmarkStart w:id="0" w:name="_GoBack"/>
      <w:bookmarkEnd w:id="0"/>
      <w:r w:rsidRPr="002A6C31">
        <w:rPr>
          <w:rFonts w:ascii="Times New Roman" w:hAnsi="Times New Roman" w:cs="Times New Roman"/>
        </w:rPr>
        <w:t>RESOLUÇÃO DA DIRETORIA COLEGIADA - RDC N° 23 DE 5 DE JUNHO DE 2015</w:t>
      </w:r>
    </w:p>
    <w:p w:rsidR="002A6C31" w:rsidRPr="002A6C31" w:rsidRDefault="002A6C31" w:rsidP="002A6C31">
      <w:pPr>
        <w:pStyle w:val="Ttulo1"/>
        <w:ind w:left="-284" w:right="-285"/>
        <w:divId w:val="1854148437"/>
        <w:rPr>
          <w:rFonts w:ascii="Times New Roman" w:hAnsi="Times New Roman" w:cs="Times New Roman"/>
          <w:color w:val="0000FF"/>
          <w:sz w:val="24"/>
        </w:rPr>
      </w:pPr>
      <w:r w:rsidRPr="002A6C31">
        <w:rPr>
          <w:rFonts w:ascii="Times New Roman" w:hAnsi="Times New Roman" w:cs="Times New Roman"/>
          <w:caps w:val="0"/>
          <w:color w:val="0000FF"/>
          <w:sz w:val="24"/>
        </w:rPr>
        <w:t>(Publicada no DOU nº 106, de 8 de junho de 2015)</w:t>
      </w:r>
    </w:p>
    <w:p w:rsidR="00A52329" w:rsidRPr="002A6C31" w:rsidRDefault="00A52329" w:rsidP="00B41B86">
      <w:pPr>
        <w:ind w:left="3686"/>
        <w:jc w:val="both"/>
        <w:divId w:val="1854148437"/>
        <w:rPr>
          <w:bCs/>
        </w:rPr>
      </w:pPr>
      <w:r w:rsidRPr="002A6C31">
        <w:rPr>
          <w:bCs/>
        </w:rPr>
        <w:t>Altera a Resolução RDC nº 204, de 6 de julho de 2005, que dispõe sobre o procedimento de petições submetidas à análise pelos setores técnicos da ANVISA e revoga a Resolução RDC nº 206, de 14 de julho de 2005, que dispõe sobre normas que regulamentam a petição de arquivamento temporário e a guarda temporária e dá outras providências.</w:t>
      </w:r>
    </w:p>
    <w:p w:rsidR="00A52329" w:rsidRPr="002A6C31" w:rsidRDefault="00A52329" w:rsidP="00A52329">
      <w:pPr>
        <w:autoSpaceDE w:val="0"/>
        <w:autoSpaceDN w:val="0"/>
        <w:adjustRightInd w:val="0"/>
        <w:ind w:firstLine="567"/>
        <w:jc w:val="both"/>
        <w:divId w:val="1854148437"/>
        <w:rPr>
          <w:bCs/>
        </w:rPr>
      </w:pPr>
      <w:r w:rsidRPr="002A6C31">
        <w:rPr>
          <w:bCs/>
        </w:rPr>
        <w:t>A Diretoria Colegiada da Agência Nacional de Vigilância Sanitária</w:t>
      </w:r>
      <w:r w:rsidRPr="002A6C31">
        <w:t>, no uso das atribuições que lhe conferem os incisos III e IV, do art. 15 da Lei n.º 9.782, de 26 de janeiro de 1999, o inciso V e nos §§ 1º e 3º do art. 5º do Regimento Interno aprovado nos termos do Anexo I da Portaria nº 650 da ANVISA, de 29 de maio de 2014, publicada no DOU de 2 de junho de 2014</w:t>
      </w:r>
      <w:r w:rsidRPr="002A6C31">
        <w:rPr>
          <w:bCs/>
        </w:rPr>
        <w:t>, tendo em vista o disposto nos incisos III, do art. 2º, III e IV, do art. 7º da Lei nº 9.782, de 1999, e o Programa de Melhoria do Processo de Regulamentação da Agência, instituído por meio da Portaria nº 422, de 16 de abril de 2008, em reunião realizada em 22 de abril de 2015, adota a seguinte Resolução da Diretoria Colegiada e eu, Diretor-Presidente Substituto, determino a sua publicação:</w:t>
      </w:r>
    </w:p>
    <w:p w:rsidR="00A52329" w:rsidRPr="002A6C31" w:rsidRDefault="00A52329" w:rsidP="00A52329">
      <w:pPr>
        <w:pStyle w:val="NormalWeb"/>
        <w:divId w:val="1854148437"/>
        <w:rPr>
          <w:rFonts w:ascii="Times New Roman" w:hAnsi="Times New Roman" w:cs="Times New Roman"/>
          <w:bCs/>
          <w:sz w:val="24"/>
          <w:szCs w:val="24"/>
        </w:rPr>
      </w:pPr>
      <w:r w:rsidRPr="002A6C31">
        <w:rPr>
          <w:rFonts w:ascii="Times New Roman" w:hAnsi="Times New Roman" w:cs="Times New Roman"/>
          <w:bCs/>
          <w:sz w:val="24"/>
          <w:szCs w:val="24"/>
        </w:rPr>
        <w:t>Art. 1º O art. 6º da Resolução RDC nº 204, de 6 de julho de 2005, passa a vigorar com a seguinte redação:</w:t>
      </w:r>
    </w:p>
    <w:p w:rsidR="00A52329" w:rsidRPr="002A6C31" w:rsidRDefault="00A52329" w:rsidP="00A52329">
      <w:pPr>
        <w:pStyle w:val="NormalWeb"/>
        <w:divId w:val="1854148437"/>
        <w:rPr>
          <w:rFonts w:ascii="Times New Roman" w:hAnsi="Times New Roman" w:cs="Times New Roman"/>
          <w:bCs/>
          <w:sz w:val="24"/>
          <w:szCs w:val="24"/>
        </w:rPr>
      </w:pPr>
      <w:hyperlink r:id="rId7" w:anchor="art1" w:history="1">
        <w:r w:rsidRPr="002A6C31">
          <w:rPr>
            <w:rFonts w:ascii="Times New Roman" w:hAnsi="Times New Roman" w:cs="Times New Roman"/>
            <w:bCs/>
            <w:sz w:val="24"/>
            <w:szCs w:val="24"/>
          </w:rPr>
          <w:t xml:space="preserve">"Art. 6º </w:t>
        </w:r>
      </w:hyperlink>
      <w:r w:rsidRPr="002A6C31">
        <w:rPr>
          <w:rFonts w:ascii="Times New Roman" w:hAnsi="Times New Roman" w:cs="Times New Roman"/>
          <w:bCs/>
          <w:sz w:val="24"/>
          <w:szCs w:val="24"/>
        </w:rPr>
        <w:t xml:space="preserve">O prazo para cumprimento da exigência será de 120 (cento e vinte) dias, improrrogáveis, contados a partir da data da confirmação de recebimento da exigência. </w:t>
      </w:r>
    </w:p>
    <w:p w:rsidR="00A52329" w:rsidRPr="002A6C31" w:rsidRDefault="00A52329" w:rsidP="00A52329">
      <w:pPr>
        <w:ind w:firstLine="567"/>
        <w:jc w:val="both"/>
        <w:divId w:val="1854148437"/>
        <w:rPr>
          <w:bCs/>
        </w:rPr>
      </w:pPr>
      <w:r w:rsidRPr="002A6C31">
        <w:rPr>
          <w:bCs/>
        </w:rPr>
        <w:t xml:space="preserve">§1° O prazo de que trata o </w:t>
      </w:r>
      <w:r w:rsidRPr="002A6C31">
        <w:rPr>
          <w:bCs/>
          <w:i/>
        </w:rPr>
        <w:t>caput</w:t>
      </w:r>
      <w:r w:rsidRPr="002A6C31">
        <w:rPr>
          <w:bCs/>
        </w:rPr>
        <w:t xml:space="preserve"> deste artigo será de 60 (sessenta</w:t>
      </w:r>
      <w:r w:rsidRPr="002A6C31">
        <w:rPr>
          <w:rStyle w:val="Refdecomentrio"/>
          <w:sz w:val="24"/>
          <w:szCs w:val="24"/>
        </w:rPr>
        <w:t xml:space="preserve">) </w:t>
      </w:r>
      <w:r w:rsidRPr="002A6C31">
        <w:rPr>
          <w:bCs/>
        </w:rPr>
        <w:t>dias, improrrogáveis, contados a partir da data da confirmação de recebimento da exigência, para petições relacionadas a processos de registro de dados cadastrais de produtos fumígenos derivados ou não do tabaco.</w:t>
      </w:r>
    </w:p>
    <w:p w:rsidR="00A52329" w:rsidRPr="002A6C31" w:rsidRDefault="00A52329" w:rsidP="00A52329">
      <w:pPr>
        <w:ind w:firstLine="567"/>
        <w:jc w:val="both"/>
        <w:divId w:val="1854148437"/>
        <w:rPr>
          <w:bCs/>
        </w:rPr>
      </w:pPr>
      <w:r w:rsidRPr="002A6C31">
        <w:rPr>
          <w:bCs/>
        </w:rPr>
        <w:t xml:space="preserve">§2° O prazo de que trata o </w:t>
      </w:r>
      <w:r w:rsidRPr="002A6C31">
        <w:rPr>
          <w:bCs/>
          <w:i/>
        </w:rPr>
        <w:t>caput</w:t>
      </w:r>
      <w:r w:rsidRPr="002A6C31">
        <w:rPr>
          <w:bCs/>
        </w:rPr>
        <w:t xml:space="preserve"> deste artigo será de 15 (quinze) dias, improrrogáveis, contados a partir da data do registro da exigência nos sistemas informatizados para </w:t>
      </w:r>
      <w:r w:rsidRPr="002A6C31">
        <w:t>petições relacionadas a processos de importação</w:t>
      </w:r>
      <w:r w:rsidRPr="002A6C31">
        <w:rPr>
          <w:bCs/>
        </w:rPr>
        <w:t xml:space="preserve">. </w:t>
      </w:r>
    </w:p>
    <w:p w:rsidR="00A52329" w:rsidRPr="002A6C31" w:rsidRDefault="00A52329" w:rsidP="00A52329">
      <w:pPr>
        <w:ind w:firstLine="567"/>
        <w:jc w:val="both"/>
        <w:divId w:val="1854148437"/>
        <w:rPr>
          <w:bCs/>
        </w:rPr>
      </w:pPr>
      <w:r w:rsidRPr="002A6C31">
        <w:rPr>
          <w:bCs/>
        </w:rPr>
        <w:t>§3º No caso dos produtos agrotóxicos, componentes e afins, regulamentados pela Lei nº 7.802, de 11 de julho de 1989, o prazo para cumprimento da exigência e sua prorrogação devem seguir o estipulado no § 2° do artigo 15 do Decreto nº 4.074, de 4 de janeiro de 2002, que regulamenta a Lei.” (NR)</w:t>
      </w:r>
    </w:p>
    <w:p w:rsidR="00A52329" w:rsidRPr="002A6C31" w:rsidRDefault="00A52329" w:rsidP="00A52329">
      <w:pPr>
        <w:pStyle w:val="NormalWeb"/>
        <w:divId w:val="1854148437"/>
        <w:rPr>
          <w:rFonts w:ascii="Times New Roman" w:hAnsi="Times New Roman" w:cs="Times New Roman"/>
          <w:bCs/>
          <w:sz w:val="24"/>
          <w:szCs w:val="24"/>
        </w:rPr>
      </w:pPr>
      <w:bookmarkStart w:id="1" w:name="art3"/>
      <w:bookmarkEnd w:id="1"/>
      <w:r w:rsidRPr="002A6C31">
        <w:rPr>
          <w:rFonts w:ascii="Times New Roman" w:hAnsi="Times New Roman" w:cs="Times New Roman"/>
          <w:bCs/>
          <w:sz w:val="24"/>
          <w:szCs w:val="24"/>
        </w:rPr>
        <w:lastRenderedPageBreak/>
        <w:t xml:space="preserve">Art. 2º </w:t>
      </w:r>
      <w:r w:rsidRPr="002A6C31">
        <w:rPr>
          <w:rFonts w:ascii="Times New Roman" w:hAnsi="Times New Roman" w:cs="Times New Roman"/>
          <w:sz w:val="24"/>
          <w:szCs w:val="24"/>
        </w:rPr>
        <w:t>As petições que já tiveram exigência emitida, na data de publicação desta Resolução, terão seu prazo prorrogado automaticamente até o lapso final de 120 (cento e vinte) dias, contados a partir da data da confirmação de recebimento da exigência, não sendo permitido o arquivamento temporário da petição</w:t>
      </w:r>
      <w:r w:rsidRPr="002A6C31">
        <w:rPr>
          <w:rFonts w:ascii="Times New Roman" w:hAnsi="Times New Roman" w:cs="Times New Roman"/>
          <w:bCs/>
          <w:sz w:val="24"/>
          <w:szCs w:val="24"/>
        </w:rPr>
        <w:t>.</w:t>
      </w:r>
    </w:p>
    <w:p w:rsidR="00A52329" w:rsidRPr="002A6C31" w:rsidRDefault="00A52329" w:rsidP="00A52329">
      <w:pPr>
        <w:pStyle w:val="NormalWeb"/>
        <w:divId w:val="1854148437"/>
        <w:rPr>
          <w:rFonts w:ascii="Times New Roman" w:hAnsi="Times New Roman" w:cs="Times New Roman"/>
          <w:sz w:val="24"/>
          <w:szCs w:val="24"/>
        </w:rPr>
      </w:pPr>
      <w:r w:rsidRPr="002A6C31">
        <w:rPr>
          <w:rFonts w:ascii="Times New Roman" w:hAnsi="Times New Roman" w:cs="Times New Roman"/>
          <w:bCs/>
          <w:sz w:val="24"/>
          <w:szCs w:val="24"/>
        </w:rPr>
        <w:t>§1°</w:t>
      </w:r>
      <w:r w:rsidRPr="002A6C31">
        <w:rPr>
          <w:rFonts w:ascii="Times New Roman" w:hAnsi="Times New Roman" w:cs="Times New Roman"/>
          <w:sz w:val="24"/>
          <w:szCs w:val="24"/>
        </w:rPr>
        <w:t xml:space="preserve"> Nos processos </w:t>
      </w:r>
      <w:r w:rsidRPr="002A6C31">
        <w:rPr>
          <w:rFonts w:ascii="Times New Roman" w:hAnsi="Times New Roman" w:cs="Times New Roman"/>
          <w:bCs/>
          <w:sz w:val="24"/>
          <w:szCs w:val="24"/>
        </w:rPr>
        <w:t>de registro de dados cadastrais de produtos fumígenos derivados ou não do tabaco</w:t>
      </w:r>
      <w:r w:rsidRPr="002A6C31">
        <w:rPr>
          <w:rFonts w:ascii="Times New Roman" w:hAnsi="Times New Roman" w:cs="Times New Roman"/>
          <w:sz w:val="24"/>
          <w:szCs w:val="24"/>
        </w:rPr>
        <w:t xml:space="preserve">, o prazo será prorrogado automaticamente até o lapso final de 60 (sessenta) dias. </w:t>
      </w:r>
    </w:p>
    <w:p w:rsidR="00A52329" w:rsidRPr="002A6C31" w:rsidRDefault="00A52329" w:rsidP="00A52329">
      <w:pPr>
        <w:pStyle w:val="NormalWeb"/>
        <w:divId w:val="1854148437"/>
        <w:rPr>
          <w:rFonts w:ascii="Times New Roman" w:hAnsi="Times New Roman" w:cs="Times New Roman"/>
          <w:sz w:val="24"/>
          <w:szCs w:val="24"/>
        </w:rPr>
      </w:pPr>
      <w:r w:rsidRPr="002A6C31">
        <w:rPr>
          <w:rFonts w:ascii="Times New Roman" w:hAnsi="Times New Roman" w:cs="Times New Roman"/>
          <w:bCs/>
          <w:sz w:val="24"/>
          <w:szCs w:val="24"/>
        </w:rPr>
        <w:t>§2°</w:t>
      </w:r>
      <w:r w:rsidRPr="002A6C31">
        <w:rPr>
          <w:rFonts w:ascii="Times New Roman" w:hAnsi="Times New Roman" w:cs="Times New Roman"/>
          <w:sz w:val="24"/>
          <w:szCs w:val="24"/>
        </w:rPr>
        <w:t xml:space="preserve"> Nas petições relacionadas a processos de importação, as petições que já tiveram exigência emitida, o prazo será prorrogado automaticamente até o lapso final de 15 (quinze) dias.</w:t>
      </w:r>
    </w:p>
    <w:p w:rsidR="00A52329" w:rsidRPr="002A6C31" w:rsidRDefault="00A52329" w:rsidP="00A52329">
      <w:pPr>
        <w:pStyle w:val="NormalWeb"/>
        <w:divId w:val="1854148437"/>
        <w:rPr>
          <w:rFonts w:ascii="Times New Roman" w:hAnsi="Times New Roman" w:cs="Times New Roman"/>
          <w:sz w:val="24"/>
          <w:szCs w:val="24"/>
        </w:rPr>
      </w:pPr>
      <w:r w:rsidRPr="002A6C31">
        <w:rPr>
          <w:rFonts w:ascii="Times New Roman" w:hAnsi="Times New Roman" w:cs="Times New Roman"/>
          <w:sz w:val="24"/>
          <w:szCs w:val="24"/>
        </w:rPr>
        <w:t>Art. 3º A partir da data de publicação desta Resolução, não serão mais admitidas novas solicitações de arquivamento temporário, independente da situação processual.</w:t>
      </w:r>
    </w:p>
    <w:p w:rsidR="00A52329" w:rsidRPr="002A6C31" w:rsidRDefault="00A52329" w:rsidP="00A52329">
      <w:pPr>
        <w:pStyle w:val="NormalWeb"/>
        <w:divId w:val="1854148437"/>
        <w:rPr>
          <w:rFonts w:ascii="Times New Roman" w:hAnsi="Times New Roman" w:cs="Times New Roman"/>
          <w:bCs/>
          <w:sz w:val="24"/>
          <w:szCs w:val="24"/>
        </w:rPr>
      </w:pPr>
      <w:r w:rsidRPr="002A6C31">
        <w:rPr>
          <w:rFonts w:ascii="Times New Roman" w:hAnsi="Times New Roman" w:cs="Times New Roman"/>
          <w:sz w:val="24"/>
          <w:szCs w:val="24"/>
        </w:rPr>
        <w:t xml:space="preserve">Art. 4º As solicitações de arquivamento temporário já protocolizadas </w:t>
      </w:r>
      <w:r w:rsidRPr="002A6C31">
        <w:rPr>
          <w:rFonts w:ascii="Times New Roman" w:hAnsi="Times New Roman" w:cs="Times New Roman"/>
          <w:bCs/>
          <w:sz w:val="24"/>
          <w:szCs w:val="24"/>
        </w:rPr>
        <w:t>quando da publicação desta Resolução, porém ainda não analisadas pelas áreas técnicas, poderão ser deferidas, devendo o interessado solicitar o desarquivamento da petição em até 1 (um) ano, a contar da data do protocolo da solicitação de arquivamento, sob pena de indeferimento da petição arquivada.</w:t>
      </w:r>
    </w:p>
    <w:p w:rsidR="00A52329" w:rsidRPr="002A6C31" w:rsidRDefault="00A52329" w:rsidP="00A52329">
      <w:pPr>
        <w:pStyle w:val="NormalWeb"/>
        <w:divId w:val="1854148437"/>
        <w:rPr>
          <w:rFonts w:ascii="Times New Roman" w:hAnsi="Times New Roman" w:cs="Times New Roman"/>
          <w:bCs/>
          <w:sz w:val="24"/>
          <w:szCs w:val="24"/>
        </w:rPr>
      </w:pPr>
      <w:r w:rsidRPr="002A6C31">
        <w:rPr>
          <w:rFonts w:ascii="Times New Roman" w:hAnsi="Times New Roman" w:cs="Times New Roman"/>
          <w:bCs/>
          <w:sz w:val="24"/>
          <w:szCs w:val="24"/>
        </w:rPr>
        <w:t xml:space="preserve">§1° As petições já arquivadas temporariamente na data de publicação desta Resolução deverão ser desarquivadas a pedido do interessado no prazo de até 1 (um) ano, </w:t>
      </w:r>
      <w:r w:rsidRPr="002A6C31">
        <w:rPr>
          <w:rFonts w:ascii="Times New Roman" w:hAnsi="Times New Roman" w:cs="Times New Roman"/>
          <w:sz w:val="24"/>
          <w:szCs w:val="24"/>
        </w:rPr>
        <w:t xml:space="preserve">a contar da data do respectivo arquivamento, </w:t>
      </w:r>
      <w:r w:rsidRPr="002A6C31">
        <w:rPr>
          <w:rFonts w:ascii="Times New Roman" w:hAnsi="Times New Roman" w:cs="Times New Roman"/>
          <w:bCs/>
          <w:sz w:val="24"/>
          <w:szCs w:val="24"/>
        </w:rPr>
        <w:t>sob pena de indeferimento da petição arquivada.</w:t>
      </w:r>
    </w:p>
    <w:p w:rsidR="00A52329" w:rsidRPr="002A6C31" w:rsidRDefault="00A52329" w:rsidP="00A52329">
      <w:pPr>
        <w:pStyle w:val="NormalWeb"/>
        <w:divId w:val="1854148437"/>
        <w:rPr>
          <w:rFonts w:ascii="Times New Roman" w:hAnsi="Times New Roman" w:cs="Times New Roman"/>
          <w:bCs/>
          <w:sz w:val="24"/>
          <w:szCs w:val="24"/>
        </w:rPr>
      </w:pPr>
      <w:r w:rsidRPr="002A6C31">
        <w:rPr>
          <w:rFonts w:ascii="Times New Roman" w:hAnsi="Times New Roman" w:cs="Times New Roman"/>
          <w:bCs/>
          <w:sz w:val="24"/>
          <w:szCs w:val="24"/>
        </w:rPr>
        <w:t>§2° O arquivamento temporário previsto na regra de transição deste artigo não interrompe, suspende ou prorroga os prazos para efeitos de revalidação de registro, nem cancela as obrigações decorrentes de exigências técnicas efetivadas.</w:t>
      </w:r>
    </w:p>
    <w:p w:rsidR="00A52329" w:rsidRPr="002A6C31" w:rsidRDefault="00A52329" w:rsidP="00A52329">
      <w:pPr>
        <w:pStyle w:val="NormalWeb"/>
        <w:divId w:val="1854148437"/>
        <w:rPr>
          <w:rFonts w:ascii="Times New Roman" w:hAnsi="Times New Roman" w:cs="Times New Roman"/>
          <w:bCs/>
          <w:sz w:val="24"/>
          <w:szCs w:val="24"/>
        </w:rPr>
      </w:pPr>
      <w:r w:rsidRPr="002A6C31">
        <w:rPr>
          <w:rFonts w:ascii="Times New Roman" w:hAnsi="Times New Roman" w:cs="Times New Roman"/>
          <w:bCs/>
          <w:sz w:val="24"/>
          <w:szCs w:val="24"/>
        </w:rPr>
        <w:t>§3°</w:t>
      </w:r>
      <w:r w:rsidRPr="002A6C31">
        <w:rPr>
          <w:rFonts w:ascii="Times New Roman" w:hAnsi="Times New Roman" w:cs="Times New Roman"/>
          <w:sz w:val="24"/>
          <w:szCs w:val="24"/>
        </w:rPr>
        <w:t xml:space="preserve"> </w:t>
      </w:r>
      <w:r w:rsidRPr="002A6C31">
        <w:rPr>
          <w:rFonts w:ascii="Times New Roman" w:hAnsi="Times New Roman" w:cs="Times New Roman"/>
          <w:bCs/>
          <w:sz w:val="24"/>
          <w:szCs w:val="24"/>
        </w:rPr>
        <w:t xml:space="preserve">Quando ocorrer o arquivamento temporário do processo, este perderá a posição original na ordem cronológica de análise de petições. </w:t>
      </w:r>
    </w:p>
    <w:p w:rsidR="00A52329" w:rsidRPr="002A6C31" w:rsidRDefault="00A52329" w:rsidP="00A52329">
      <w:pPr>
        <w:pStyle w:val="NormalWeb"/>
        <w:divId w:val="1854148437"/>
        <w:rPr>
          <w:rFonts w:ascii="Times New Roman" w:hAnsi="Times New Roman" w:cs="Times New Roman"/>
          <w:bCs/>
          <w:sz w:val="24"/>
          <w:szCs w:val="24"/>
        </w:rPr>
      </w:pPr>
      <w:r w:rsidRPr="002A6C31">
        <w:rPr>
          <w:rFonts w:ascii="Times New Roman" w:hAnsi="Times New Roman" w:cs="Times New Roman"/>
          <w:bCs/>
          <w:sz w:val="24"/>
          <w:szCs w:val="24"/>
        </w:rPr>
        <w:t>Art. 5º Ficam revogados:</w:t>
      </w:r>
    </w:p>
    <w:p w:rsidR="00A52329" w:rsidRPr="002A6C31" w:rsidRDefault="00A52329" w:rsidP="00A52329">
      <w:pPr>
        <w:pStyle w:val="NormalWeb"/>
        <w:divId w:val="1854148437"/>
        <w:rPr>
          <w:rFonts w:ascii="Times New Roman" w:hAnsi="Times New Roman" w:cs="Times New Roman"/>
          <w:bCs/>
          <w:sz w:val="24"/>
          <w:szCs w:val="24"/>
        </w:rPr>
      </w:pPr>
      <w:r w:rsidRPr="002A6C31">
        <w:rPr>
          <w:rFonts w:ascii="Times New Roman" w:hAnsi="Times New Roman" w:cs="Times New Roman"/>
          <w:bCs/>
          <w:sz w:val="24"/>
          <w:szCs w:val="24"/>
        </w:rPr>
        <w:t>I - os incisos II e IV do art. 2º, os incisos II e IV do art. 7º; o art. 9º e o art.10 da Resolução RDC nº 204, de 6 de julho de 2005;</w:t>
      </w:r>
    </w:p>
    <w:p w:rsidR="00A52329" w:rsidRPr="002A6C31" w:rsidRDefault="00A52329" w:rsidP="00A52329">
      <w:pPr>
        <w:pStyle w:val="NormalWeb"/>
        <w:divId w:val="1854148437"/>
        <w:rPr>
          <w:rFonts w:ascii="Times New Roman" w:hAnsi="Times New Roman" w:cs="Times New Roman"/>
          <w:bCs/>
          <w:sz w:val="24"/>
          <w:szCs w:val="24"/>
        </w:rPr>
      </w:pPr>
      <w:r w:rsidRPr="002A6C31">
        <w:rPr>
          <w:rFonts w:ascii="Times New Roman" w:hAnsi="Times New Roman" w:cs="Times New Roman"/>
          <w:bCs/>
          <w:sz w:val="24"/>
          <w:szCs w:val="24"/>
        </w:rPr>
        <w:t>II - a Resolução RDC nº 206, de 14 de julho de 2005; e</w:t>
      </w:r>
    </w:p>
    <w:p w:rsidR="00A52329" w:rsidRPr="002A6C31" w:rsidRDefault="00A52329" w:rsidP="00A52329">
      <w:pPr>
        <w:pStyle w:val="NormalWeb"/>
        <w:divId w:val="1854148437"/>
        <w:rPr>
          <w:rFonts w:ascii="Times New Roman" w:hAnsi="Times New Roman" w:cs="Times New Roman"/>
          <w:bCs/>
          <w:sz w:val="24"/>
          <w:szCs w:val="24"/>
        </w:rPr>
      </w:pPr>
      <w:r w:rsidRPr="002A6C31">
        <w:rPr>
          <w:rFonts w:ascii="Times New Roman" w:hAnsi="Times New Roman" w:cs="Times New Roman"/>
          <w:bCs/>
          <w:sz w:val="24"/>
          <w:szCs w:val="24"/>
        </w:rPr>
        <w:t>III - a Resolução RDC nº 7, de 28 de fevereiro de 2014.</w:t>
      </w:r>
    </w:p>
    <w:p w:rsidR="00A52329" w:rsidRPr="002A6C31" w:rsidRDefault="00A52329" w:rsidP="00A52329">
      <w:pPr>
        <w:pStyle w:val="NormalWeb"/>
        <w:divId w:val="1854148437"/>
        <w:rPr>
          <w:rFonts w:ascii="Times New Roman" w:hAnsi="Times New Roman" w:cs="Times New Roman"/>
          <w:bCs/>
          <w:sz w:val="24"/>
          <w:szCs w:val="24"/>
        </w:rPr>
      </w:pPr>
      <w:r w:rsidRPr="002A6C31">
        <w:rPr>
          <w:rFonts w:ascii="Times New Roman" w:hAnsi="Times New Roman" w:cs="Times New Roman"/>
          <w:bCs/>
          <w:sz w:val="24"/>
          <w:szCs w:val="24"/>
        </w:rPr>
        <w:t>Art. 6º Esta Resolução entra em vigor na data de sua publicação.</w:t>
      </w:r>
    </w:p>
    <w:p w:rsidR="00A53197" w:rsidRPr="002A6C31" w:rsidRDefault="00A52329" w:rsidP="002A6C31">
      <w:pPr>
        <w:pStyle w:val="Ttulo2"/>
        <w:divId w:val="1854148437"/>
        <w:rPr>
          <w:rFonts w:ascii="Times New Roman" w:hAnsi="Times New Roman" w:cs="Times New Roman"/>
          <w:b w:val="0"/>
          <w:bCs w:val="0"/>
          <w:color w:val="003366"/>
          <w:sz w:val="24"/>
          <w:szCs w:val="24"/>
        </w:rPr>
      </w:pPr>
      <w:r w:rsidRPr="002A6C31">
        <w:rPr>
          <w:rFonts w:ascii="Times New Roman" w:hAnsi="Times New Roman" w:cs="Times New Roman"/>
          <w:b w:val="0"/>
          <w:sz w:val="24"/>
          <w:szCs w:val="24"/>
        </w:rPr>
        <w:t>IVO BUCARESKY</w:t>
      </w:r>
      <w:r w:rsidR="00A53197" w:rsidRPr="002A6C31">
        <w:rPr>
          <w:rFonts w:ascii="Times New Roman" w:hAnsi="Times New Roman" w:cs="Times New Roman"/>
          <w:b w:val="0"/>
          <w:bCs w:val="0"/>
          <w:color w:val="003366"/>
          <w:sz w:val="24"/>
          <w:szCs w:val="24"/>
        </w:rPr>
        <w:t xml:space="preserve"> </w:t>
      </w:r>
    </w:p>
    <w:sectPr w:rsidR="00A53197" w:rsidRPr="002A6C31" w:rsidSect="002A6C31">
      <w:headerReference w:type="default" r:id="rId8"/>
      <w:footerReference w:type="default" r:id="rId9"/>
      <w:pgSz w:w="11906" w:h="16838"/>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EB5" w:rsidRDefault="00456EB5" w:rsidP="002A6C31">
      <w:pPr>
        <w:spacing w:before="0" w:after="0"/>
      </w:pPr>
      <w:r>
        <w:separator/>
      </w:r>
    </w:p>
  </w:endnote>
  <w:endnote w:type="continuationSeparator" w:id="0">
    <w:p w:rsidR="00456EB5" w:rsidRDefault="00456EB5" w:rsidP="002A6C3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C31" w:rsidRPr="002A6C31" w:rsidRDefault="002A6C31" w:rsidP="002A6C31">
    <w:pPr>
      <w:tabs>
        <w:tab w:val="center" w:pos="4252"/>
        <w:tab w:val="right" w:pos="8504"/>
      </w:tabs>
      <w:spacing w:before="0" w:beforeAutospacing="0" w:after="0" w:afterAutospacing="0"/>
      <w:jc w:val="center"/>
      <w:rPr>
        <w:rFonts w:ascii="Calibri" w:hAnsi="Calibri"/>
        <w:sz w:val="22"/>
        <w:szCs w:val="22"/>
        <w:lang w:eastAsia="en-US"/>
      </w:rPr>
    </w:pPr>
    <w:r w:rsidRPr="002A6C31">
      <w:rPr>
        <w:rFonts w:ascii="Calibri" w:hAnsi="Calibri"/>
        <w:color w:val="943634"/>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EB5" w:rsidRDefault="00456EB5" w:rsidP="002A6C31">
      <w:pPr>
        <w:spacing w:before="0" w:after="0"/>
      </w:pPr>
      <w:r>
        <w:separator/>
      </w:r>
    </w:p>
  </w:footnote>
  <w:footnote w:type="continuationSeparator" w:id="0">
    <w:p w:rsidR="00456EB5" w:rsidRDefault="00456EB5" w:rsidP="002A6C3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C31" w:rsidRPr="002A6C31" w:rsidRDefault="00456EB5" w:rsidP="002A6C31">
    <w:pPr>
      <w:tabs>
        <w:tab w:val="center" w:pos="4252"/>
        <w:tab w:val="right" w:pos="8504"/>
      </w:tabs>
      <w:spacing w:before="0" w:beforeAutospacing="0" w:after="0" w:afterAutospacing="0"/>
      <w:jc w:val="center"/>
      <w:rPr>
        <w:rFonts w:ascii="Calibri" w:hAnsi="Calibri"/>
        <w:sz w:val="22"/>
        <w:szCs w:val="22"/>
        <w:lang w:eastAsia="en-US"/>
      </w:rPr>
    </w:pPr>
    <w:r w:rsidRPr="00456EB5">
      <w:rPr>
        <w:rFonts w:ascii="Calibri" w:hAnsi="Calibri"/>
        <w:noProof/>
        <w:sz w:val="22"/>
        <w:szCs w:val="22"/>
      </w:rPr>
      <w:drawing>
        <wp:inline distT="0" distB="0" distL="0" distR="0">
          <wp:extent cx="657225" cy="647700"/>
          <wp:effectExtent l="0" t="0" r="0" b="0"/>
          <wp:docPr id="2" name="Imagem 4"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2A6C31" w:rsidRPr="002A6C31" w:rsidRDefault="002A6C31" w:rsidP="002A6C31">
    <w:pPr>
      <w:tabs>
        <w:tab w:val="center" w:pos="4252"/>
        <w:tab w:val="right" w:pos="8504"/>
      </w:tabs>
      <w:spacing w:before="0" w:beforeAutospacing="0" w:after="0" w:afterAutospacing="0"/>
      <w:jc w:val="center"/>
      <w:rPr>
        <w:rFonts w:ascii="Calibri" w:hAnsi="Calibri"/>
        <w:b/>
        <w:szCs w:val="22"/>
        <w:lang w:eastAsia="en-US"/>
      </w:rPr>
    </w:pPr>
    <w:r w:rsidRPr="002A6C31">
      <w:rPr>
        <w:rFonts w:ascii="Calibri" w:hAnsi="Calibri"/>
        <w:b/>
        <w:szCs w:val="22"/>
        <w:lang w:eastAsia="en-US"/>
      </w:rPr>
      <w:t>Ministério da Saúde - MS</w:t>
    </w:r>
  </w:p>
  <w:p w:rsidR="002A6C31" w:rsidRPr="002A6C31" w:rsidRDefault="002A6C31" w:rsidP="002A6C31">
    <w:pPr>
      <w:tabs>
        <w:tab w:val="center" w:pos="4252"/>
        <w:tab w:val="right" w:pos="8504"/>
      </w:tabs>
      <w:spacing w:before="0" w:beforeAutospacing="0" w:after="0" w:afterAutospacing="0"/>
      <w:jc w:val="center"/>
      <w:rPr>
        <w:rFonts w:ascii="Calibri" w:hAnsi="Calibri"/>
        <w:b/>
        <w:szCs w:val="22"/>
        <w:lang w:eastAsia="en-US"/>
      </w:rPr>
    </w:pPr>
    <w:r w:rsidRPr="002A6C31">
      <w:rPr>
        <w:rFonts w:ascii="Calibri" w:hAnsi="Calibri"/>
        <w:b/>
        <w:szCs w:val="22"/>
        <w:lang w:eastAsia="en-US"/>
      </w:rPr>
      <w:t>Agência Nacional de Vigilância Sanitária - ANVISA</w:t>
    </w:r>
  </w:p>
  <w:p w:rsidR="002A6C31" w:rsidRPr="002A6C31" w:rsidRDefault="002A6C31">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0E4E89"/>
    <w:rsid w:val="00101181"/>
    <w:rsid w:val="001A1BCA"/>
    <w:rsid w:val="0026113A"/>
    <w:rsid w:val="00277E16"/>
    <w:rsid w:val="002A6C31"/>
    <w:rsid w:val="002B600C"/>
    <w:rsid w:val="00391360"/>
    <w:rsid w:val="003C4A39"/>
    <w:rsid w:val="00444D5A"/>
    <w:rsid w:val="00456EB5"/>
    <w:rsid w:val="00536C97"/>
    <w:rsid w:val="005B1313"/>
    <w:rsid w:val="00652E8A"/>
    <w:rsid w:val="00662C10"/>
    <w:rsid w:val="00771958"/>
    <w:rsid w:val="00867B72"/>
    <w:rsid w:val="008B7BC0"/>
    <w:rsid w:val="008D770F"/>
    <w:rsid w:val="00963BF1"/>
    <w:rsid w:val="009E6EB9"/>
    <w:rsid w:val="00A06235"/>
    <w:rsid w:val="00A52329"/>
    <w:rsid w:val="00A53197"/>
    <w:rsid w:val="00A533A1"/>
    <w:rsid w:val="00A66480"/>
    <w:rsid w:val="00AA1279"/>
    <w:rsid w:val="00AA72EF"/>
    <w:rsid w:val="00AC647E"/>
    <w:rsid w:val="00AF43E7"/>
    <w:rsid w:val="00B13D8C"/>
    <w:rsid w:val="00B41B86"/>
    <w:rsid w:val="00BA4BE8"/>
    <w:rsid w:val="00BC5F27"/>
    <w:rsid w:val="00BE676D"/>
    <w:rsid w:val="00C05434"/>
    <w:rsid w:val="00C95774"/>
    <w:rsid w:val="00C95A0B"/>
    <w:rsid w:val="00D01638"/>
    <w:rsid w:val="00D221EC"/>
    <w:rsid w:val="00D74B7B"/>
    <w:rsid w:val="00DF7C19"/>
    <w:rsid w:val="00E13B02"/>
    <w:rsid w:val="00E618EF"/>
    <w:rsid w:val="00F02B1C"/>
    <w:rsid w:val="00F278A7"/>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48439">
      <w:marLeft w:val="150"/>
      <w:marRight w:val="150"/>
      <w:marTop w:val="150"/>
      <w:marBottom w:val="0"/>
      <w:divBdr>
        <w:top w:val="none" w:sz="0" w:space="0" w:color="auto"/>
        <w:left w:val="none" w:sz="0" w:space="0" w:color="auto"/>
        <w:bottom w:val="none" w:sz="0" w:space="0" w:color="auto"/>
        <w:right w:val="none" w:sz="0" w:space="0" w:color="auto"/>
      </w:divBdr>
      <w:divsChild>
        <w:div w:id="1854148438">
          <w:marLeft w:val="0"/>
          <w:marRight w:val="0"/>
          <w:marTop w:val="0"/>
          <w:marBottom w:val="0"/>
          <w:divBdr>
            <w:top w:val="none" w:sz="0" w:space="0" w:color="auto"/>
            <w:left w:val="none" w:sz="0" w:space="0" w:color="auto"/>
            <w:bottom w:val="none" w:sz="0" w:space="0" w:color="auto"/>
            <w:right w:val="none" w:sz="0" w:space="0" w:color="auto"/>
          </w:divBdr>
          <w:divsChild>
            <w:div w:id="1854148437">
              <w:marLeft w:val="0"/>
              <w:marRight w:val="0"/>
              <w:marTop w:val="75"/>
              <w:marBottom w:val="300"/>
              <w:divBdr>
                <w:top w:val="none" w:sz="0" w:space="0" w:color="auto"/>
                <w:left w:val="none" w:sz="0" w:space="0" w:color="auto"/>
                <w:bottom w:val="none" w:sz="0" w:space="0" w:color="auto"/>
                <w:right w:val="none" w:sz="0" w:space="0" w:color="auto"/>
              </w:divBdr>
            </w:div>
            <w:div w:id="1854148440">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lanalto.gov.br/ccivil_03/decreto/Antigos/D7909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3848</Characters>
  <Application>Microsoft Office Word</Application>
  <DocSecurity>0</DocSecurity>
  <Lines>32</Lines>
  <Paragraphs>9</Paragraphs>
  <ScaleCrop>false</ScaleCrop>
  <Company>ANVISA</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2014-07-01T19:01:00Z</cp:lastPrinted>
  <dcterms:created xsi:type="dcterms:W3CDTF">2018-08-16T18:52:00Z</dcterms:created>
  <dcterms:modified xsi:type="dcterms:W3CDTF">2018-08-16T18:52:00Z</dcterms:modified>
</cp:coreProperties>
</file>