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F17" w:rsidRDefault="00866F17">
      <w:pPr>
        <w:tabs>
          <w:tab w:val="left" w:pos="3544"/>
        </w:tabs>
        <w:ind w:firstLine="567"/>
        <w:jc w:val="both"/>
        <w:rPr>
          <w:b/>
          <w:bCs/>
          <w:sz w:val="16"/>
          <w:szCs w:val="16"/>
        </w:rPr>
      </w:pPr>
      <w:bookmarkStart w:id="0" w:name="_GoBack"/>
      <w:bookmarkEnd w:id="0"/>
      <w:r>
        <w:rPr>
          <w:sz w:val="16"/>
          <w:szCs w:val="16"/>
        </w:rPr>
        <w:t xml:space="preserve">##ATO </w:t>
      </w:r>
      <w:r>
        <w:rPr>
          <w:b/>
          <w:bCs/>
          <w:sz w:val="16"/>
          <w:szCs w:val="16"/>
        </w:rPr>
        <w:t>Resolução de Diretoria Colegiada – RDC nº 268, de 22 de setembro de 2005.</w:t>
      </w:r>
    </w:p>
    <w:p w:rsidR="00866F17" w:rsidRDefault="00866F17">
      <w:pPr>
        <w:tabs>
          <w:tab w:val="left" w:pos="3544"/>
        </w:tabs>
        <w:ind w:firstLine="567"/>
        <w:rPr>
          <w:sz w:val="16"/>
          <w:szCs w:val="16"/>
        </w:rPr>
      </w:pPr>
    </w:p>
    <w:p w:rsidR="00866F17" w:rsidRDefault="00866F17">
      <w:pPr>
        <w:ind w:firstLine="567"/>
        <w:jc w:val="both"/>
        <w:rPr>
          <w:color w:val="000000"/>
          <w:sz w:val="16"/>
          <w:szCs w:val="16"/>
        </w:rPr>
      </w:pPr>
      <w:r>
        <w:rPr>
          <w:sz w:val="16"/>
          <w:szCs w:val="16"/>
        </w:rPr>
        <w:t xml:space="preserve">##TEX </w:t>
      </w:r>
      <w:r>
        <w:rPr>
          <w:b/>
          <w:bCs/>
          <w:sz w:val="16"/>
          <w:szCs w:val="16"/>
        </w:rPr>
        <w:t>A Diretoria Colegiada da Agência Nacional de Vigilância Sanitária</w:t>
      </w:r>
      <w:r>
        <w:rPr>
          <w:sz w:val="16"/>
          <w:szCs w:val="16"/>
        </w:rPr>
        <w:t>, no uso da atribuição que lhe confere o art. 11 inciso IV do Regulamento da ANVISA aprovado pelo Decreto 3.029, de 16 de abril de 1999, c/c do Art. 111, inciso I, alínea “b” § 1º do Regimento Interno aprovado pela Portaria nº 593, de 25 de agosto de 2000, republicada no DOU de 22 de dezembro de 2000, em reunião realizada em 29, de agosto de 2005,</w:t>
      </w:r>
    </w:p>
    <w:p w:rsidR="00866F17" w:rsidRDefault="00866F17">
      <w:pPr>
        <w:jc w:val="both"/>
        <w:rPr>
          <w:color w:val="000000"/>
          <w:sz w:val="16"/>
          <w:szCs w:val="16"/>
        </w:rPr>
      </w:pPr>
    </w:p>
    <w:p w:rsidR="00866F17" w:rsidRDefault="00866F17">
      <w:pPr>
        <w:pStyle w:val="Corpodetexto2"/>
        <w:ind w:firstLine="567"/>
        <w:rPr>
          <w:rFonts w:ascii="Times New Roman" w:hAnsi="Times New Roman" w:cs="Times New Roman"/>
          <w:color w:val="000000"/>
          <w:sz w:val="16"/>
          <w:szCs w:val="16"/>
        </w:rPr>
      </w:pPr>
      <w:r>
        <w:rPr>
          <w:rFonts w:ascii="Times New Roman" w:hAnsi="Times New Roman" w:cs="Times New Roman"/>
          <w:color w:val="000000"/>
          <w:sz w:val="16"/>
          <w:szCs w:val="16"/>
        </w:rPr>
        <w:t>considerando a necessidade de constante aperfeiçoamento das ações de controle sanitário na área de alimentos, visando a proteção à saúde da população;</w:t>
      </w:r>
    </w:p>
    <w:p w:rsidR="00866F17" w:rsidRDefault="00866F17">
      <w:pPr>
        <w:pStyle w:val="Default"/>
        <w:rPr>
          <w:rFonts w:ascii="Times New Roman" w:hAnsi="Times New Roman" w:cs="Times New Roman"/>
          <w:sz w:val="16"/>
          <w:szCs w:val="16"/>
        </w:rPr>
      </w:pPr>
    </w:p>
    <w:p w:rsidR="00866F17" w:rsidRDefault="00866F17">
      <w:pPr>
        <w:ind w:firstLine="567"/>
        <w:jc w:val="both"/>
        <w:rPr>
          <w:color w:val="000000"/>
          <w:sz w:val="16"/>
          <w:szCs w:val="16"/>
        </w:rPr>
      </w:pPr>
      <w:r>
        <w:rPr>
          <w:color w:val="000000"/>
          <w:sz w:val="16"/>
          <w:szCs w:val="16"/>
        </w:rPr>
        <w:t xml:space="preserve">considerando a necessidade de atualização da legislação sanitária de alimentos, com base no enfoque da avaliação de risco e da prevenção do dano à saúde da população; </w:t>
      </w:r>
    </w:p>
    <w:p w:rsidR="00866F17" w:rsidRDefault="00866F17">
      <w:pPr>
        <w:ind w:firstLine="567"/>
        <w:jc w:val="both"/>
        <w:rPr>
          <w:color w:val="000000"/>
          <w:sz w:val="16"/>
          <w:szCs w:val="16"/>
        </w:rPr>
      </w:pPr>
    </w:p>
    <w:p w:rsidR="00866F17" w:rsidRDefault="00866F17">
      <w:pPr>
        <w:ind w:firstLine="567"/>
        <w:jc w:val="both"/>
        <w:rPr>
          <w:color w:val="000000"/>
          <w:sz w:val="16"/>
          <w:szCs w:val="16"/>
        </w:rPr>
      </w:pPr>
      <w:r>
        <w:rPr>
          <w:color w:val="000000"/>
          <w:sz w:val="16"/>
          <w:szCs w:val="16"/>
        </w:rPr>
        <w:t xml:space="preserve">considerando que os regulamentos técnicos da ANVISA de padrões de identidade e qualidade de alimentos devem priorizar os parâmetros sanitários; </w:t>
      </w:r>
    </w:p>
    <w:p w:rsidR="00866F17" w:rsidRDefault="00866F17">
      <w:pPr>
        <w:ind w:firstLine="567"/>
        <w:jc w:val="both"/>
        <w:rPr>
          <w:color w:val="000000"/>
          <w:sz w:val="16"/>
          <w:szCs w:val="16"/>
        </w:rPr>
      </w:pPr>
    </w:p>
    <w:p w:rsidR="00866F17" w:rsidRDefault="00866F17">
      <w:pPr>
        <w:pStyle w:val="Recuodecorpodetexto2"/>
        <w:rPr>
          <w:rFonts w:ascii="Times New Roman" w:hAnsi="Times New Roman" w:cs="Times New Roman"/>
          <w:strike w:val="0"/>
          <w:sz w:val="16"/>
          <w:szCs w:val="16"/>
        </w:rPr>
      </w:pPr>
      <w:r>
        <w:rPr>
          <w:rFonts w:ascii="Times New Roman" w:hAnsi="Times New Roman" w:cs="Times New Roman"/>
          <w:strike w:val="0"/>
          <w:sz w:val="16"/>
          <w:szCs w:val="16"/>
        </w:rPr>
        <w:t xml:space="preserve">considerando que o foco da ação de vigilância sanitária é a inspeção do processo de produção visando a qualidade do produto final; </w:t>
      </w:r>
    </w:p>
    <w:p w:rsidR="00866F17" w:rsidRDefault="00866F17">
      <w:pPr>
        <w:ind w:firstLine="567"/>
        <w:jc w:val="both"/>
        <w:rPr>
          <w:sz w:val="16"/>
          <w:szCs w:val="16"/>
        </w:rPr>
      </w:pPr>
    </w:p>
    <w:p w:rsidR="00866F17" w:rsidRDefault="00866F17">
      <w:pPr>
        <w:ind w:firstLine="567"/>
        <w:jc w:val="both"/>
        <w:rPr>
          <w:sz w:val="16"/>
          <w:szCs w:val="16"/>
        </w:rPr>
      </w:pPr>
      <w:r>
        <w:rPr>
          <w:sz w:val="16"/>
          <w:szCs w:val="16"/>
        </w:rPr>
        <w:t xml:space="preserve">adota a seguinte Resolução de Diretoria Colegiada e eu, Diretor-Presidente, determino a sua publicação: </w:t>
      </w:r>
    </w:p>
    <w:p w:rsidR="00866F17" w:rsidRDefault="00866F17">
      <w:pPr>
        <w:ind w:firstLine="567"/>
        <w:jc w:val="both"/>
        <w:rPr>
          <w:sz w:val="16"/>
          <w:szCs w:val="16"/>
        </w:rPr>
      </w:pPr>
    </w:p>
    <w:p w:rsidR="00866F17" w:rsidRDefault="00866F17">
      <w:pPr>
        <w:ind w:firstLine="567"/>
        <w:jc w:val="both"/>
        <w:rPr>
          <w:sz w:val="16"/>
          <w:szCs w:val="16"/>
        </w:rPr>
      </w:pPr>
      <w:r>
        <w:rPr>
          <w:sz w:val="16"/>
          <w:szCs w:val="16"/>
        </w:rPr>
        <w:t xml:space="preserve">Art. 1º Aprovar o “REGULAMENTO TÉCNICO PARA PRODUTOS PROTÉICOS DE ORIGEM VEGETAL”, constante do Anexo desta Resolução. </w:t>
      </w:r>
    </w:p>
    <w:p w:rsidR="00866F17" w:rsidRDefault="00866F17">
      <w:pPr>
        <w:ind w:firstLine="567"/>
        <w:jc w:val="both"/>
        <w:rPr>
          <w:sz w:val="16"/>
          <w:szCs w:val="16"/>
        </w:rPr>
      </w:pPr>
    </w:p>
    <w:p w:rsidR="00866F17" w:rsidRDefault="00866F17">
      <w:pPr>
        <w:ind w:firstLine="567"/>
        <w:jc w:val="both"/>
        <w:rPr>
          <w:sz w:val="16"/>
          <w:szCs w:val="16"/>
        </w:rPr>
      </w:pPr>
      <w:r>
        <w:rPr>
          <w:sz w:val="16"/>
          <w:szCs w:val="16"/>
        </w:rPr>
        <w:t xml:space="preserve">Art. 2º As empresas têm o prazo de 01(um) ano a contar da data da publicação deste Regulamento para adequarem seus produtos. </w:t>
      </w:r>
    </w:p>
    <w:p w:rsidR="00866F17" w:rsidRDefault="00866F17">
      <w:pPr>
        <w:ind w:firstLine="567"/>
        <w:jc w:val="both"/>
        <w:rPr>
          <w:sz w:val="16"/>
          <w:szCs w:val="16"/>
        </w:rPr>
      </w:pPr>
    </w:p>
    <w:p w:rsidR="00866F17" w:rsidRDefault="00866F17">
      <w:pPr>
        <w:ind w:firstLine="567"/>
        <w:jc w:val="both"/>
        <w:rPr>
          <w:sz w:val="16"/>
          <w:szCs w:val="16"/>
        </w:rPr>
      </w:pPr>
      <w:r>
        <w:rPr>
          <w:sz w:val="16"/>
          <w:szCs w:val="16"/>
        </w:rPr>
        <w:t xml:space="preserve">Art. 3º O descumprimento aos termos desta Resolução constitui infração sanitária sujeitando os infratores às penalidades previstas na Lei nº 6.437, de 20 de agosto de 1977 e demais disposições aplicáveis. </w:t>
      </w:r>
    </w:p>
    <w:p w:rsidR="00866F17" w:rsidRDefault="00866F17">
      <w:pPr>
        <w:ind w:firstLine="567"/>
        <w:jc w:val="both"/>
        <w:rPr>
          <w:sz w:val="16"/>
          <w:szCs w:val="16"/>
        </w:rPr>
      </w:pPr>
    </w:p>
    <w:p w:rsidR="00866F17" w:rsidRDefault="00866F17">
      <w:pPr>
        <w:ind w:firstLine="567"/>
        <w:jc w:val="both"/>
        <w:rPr>
          <w:sz w:val="16"/>
          <w:szCs w:val="16"/>
        </w:rPr>
      </w:pPr>
      <w:r>
        <w:rPr>
          <w:sz w:val="16"/>
          <w:szCs w:val="16"/>
        </w:rPr>
        <w:t xml:space="preserve">Art. 4º Revogam-se as disposições em contrário, em especial, a Resolução CNNPA  nº 14/78 e a Resolução CNNPA  nº 15/78. </w:t>
      </w:r>
    </w:p>
    <w:p w:rsidR="00866F17" w:rsidRDefault="00866F17">
      <w:pPr>
        <w:ind w:firstLine="567"/>
        <w:jc w:val="both"/>
        <w:rPr>
          <w:sz w:val="16"/>
          <w:szCs w:val="16"/>
        </w:rPr>
      </w:pPr>
    </w:p>
    <w:p w:rsidR="00866F17" w:rsidRDefault="00866F17">
      <w:pPr>
        <w:ind w:firstLine="567"/>
        <w:jc w:val="both"/>
        <w:rPr>
          <w:sz w:val="16"/>
          <w:szCs w:val="16"/>
        </w:rPr>
      </w:pPr>
      <w:r>
        <w:rPr>
          <w:sz w:val="16"/>
          <w:szCs w:val="16"/>
        </w:rPr>
        <w:t xml:space="preserve">Art. 5º Esta Resolução de Diretoria Colegiada entra em vigor na data de sua publicação. </w:t>
      </w:r>
    </w:p>
    <w:p w:rsidR="00866F17" w:rsidRDefault="00866F17">
      <w:pPr>
        <w:ind w:firstLine="567"/>
        <w:jc w:val="both"/>
        <w:rPr>
          <w:sz w:val="16"/>
          <w:szCs w:val="16"/>
        </w:rPr>
      </w:pPr>
    </w:p>
    <w:p w:rsidR="00866F17" w:rsidRDefault="00866F17">
      <w:pPr>
        <w:ind w:firstLine="567"/>
        <w:jc w:val="both"/>
        <w:rPr>
          <w:sz w:val="16"/>
          <w:szCs w:val="16"/>
        </w:rPr>
      </w:pPr>
    </w:p>
    <w:p w:rsidR="00866F17" w:rsidRDefault="00866F17">
      <w:pPr>
        <w:ind w:firstLine="567"/>
        <w:jc w:val="both"/>
        <w:rPr>
          <w:sz w:val="16"/>
          <w:szCs w:val="16"/>
        </w:rPr>
      </w:pPr>
    </w:p>
    <w:p w:rsidR="00866F17" w:rsidRDefault="00866F17">
      <w:pPr>
        <w:jc w:val="center"/>
        <w:rPr>
          <w:sz w:val="16"/>
          <w:szCs w:val="16"/>
        </w:rPr>
      </w:pPr>
      <w:r>
        <w:rPr>
          <w:sz w:val="16"/>
          <w:szCs w:val="16"/>
        </w:rPr>
        <w:t>##ASS DIRCEU RAPOSO DE MELLO</w:t>
      </w:r>
    </w:p>
    <w:p w:rsidR="00866F17" w:rsidRDefault="00866F17">
      <w:pPr>
        <w:ind w:firstLine="567"/>
        <w:jc w:val="both"/>
        <w:rPr>
          <w:sz w:val="16"/>
          <w:szCs w:val="16"/>
        </w:rPr>
      </w:pPr>
    </w:p>
    <w:p w:rsidR="00866F17" w:rsidRDefault="00866F17">
      <w:pPr>
        <w:pStyle w:val="Ttulo1"/>
        <w:jc w:val="center"/>
        <w:rPr>
          <w:rFonts w:ascii="Times New Roman" w:hAnsi="Times New Roman" w:cs="Times New Roman"/>
          <w:sz w:val="16"/>
          <w:szCs w:val="16"/>
        </w:rPr>
      </w:pPr>
      <w:r>
        <w:rPr>
          <w:rFonts w:ascii="Times New Roman" w:hAnsi="Times New Roman" w:cs="Times New Roman"/>
          <w:sz w:val="16"/>
          <w:szCs w:val="16"/>
        </w:rPr>
        <w:t xml:space="preserve">ANEXO </w:t>
      </w:r>
    </w:p>
    <w:p w:rsidR="00866F17" w:rsidRDefault="00866F17">
      <w:pPr>
        <w:pStyle w:val="Default"/>
        <w:rPr>
          <w:rFonts w:ascii="Times New Roman" w:hAnsi="Times New Roman" w:cs="Times New Roman"/>
          <w:sz w:val="16"/>
          <w:szCs w:val="16"/>
        </w:rPr>
      </w:pPr>
    </w:p>
    <w:p w:rsidR="00866F17" w:rsidRDefault="00866F17">
      <w:pPr>
        <w:pStyle w:val="Ttulo1"/>
        <w:jc w:val="center"/>
        <w:rPr>
          <w:rFonts w:ascii="Times New Roman" w:hAnsi="Times New Roman" w:cs="Times New Roman"/>
          <w:sz w:val="16"/>
          <w:szCs w:val="16"/>
        </w:rPr>
      </w:pPr>
      <w:r>
        <w:rPr>
          <w:rFonts w:ascii="Times New Roman" w:hAnsi="Times New Roman" w:cs="Times New Roman"/>
          <w:sz w:val="16"/>
          <w:szCs w:val="16"/>
        </w:rPr>
        <w:t xml:space="preserve">REGULAMENTO TÉCNICO PARA PRODUTOS PROTÉICOS DE ORIGEM VEGETAL </w:t>
      </w:r>
    </w:p>
    <w:p w:rsidR="00866F17" w:rsidRDefault="00866F17">
      <w:pPr>
        <w:pStyle w:val="Default"/>
        <w:rPr>
          <w:rFonts w:ascii="Times New Roman" w:hAnsi="Times New Roman" w:cs="Times New Roman"/>
          <w:sz w:val="16"/>
          <w:szCs w:val="16"/>
        </w:rPr>
      </w:pPr>
    </w:p>
    <w:p w:rsidR="00866F17" w:rsidRDefault="00866F17">
      <w:pPr>
        <w:jc w:val="both"/>
        <w:rPr>
          <w:sz w:val="16"/>
          <w:szCs w:val="16"/>
        </w:rPr>
      </w:pPr>
      <w:r>
        <w:rPr>
          <w:sz w:val="16"/>
          <w:szCs w:val="16"/>
        </w:rPr>
        <w:t xml:space="preserve">1. ALCANCE </w:t>
      </w:r>
    </w:p>
    <w:p w:rsidR="00866F17" w:rsidRDefault="00866F17">
      <w:pPr>
        <w:pStyle w:val="Corpodetexto3"/>
        <w:jc w:val="both"/>
        <w:rPr>
          <w:rFonts w:ascii="Times New Roman" w:hAnsi="Times New Roman" w:cs="Times New Roman"/>
          <w:sz w:val="16"/>
          <w:szCs w:val="16"/>
        </w:rPr>
      </w:pPr>
      <w:r>
        <w:rPr>
          <w:rFonts w:ascii="Times New Roman" w:hAnsi="Times New Roman" w:cs="Times New Roman"/>
          <w:sz w:val="16"/>
          <w:szCs w:val="16"/>
        </w:rPr>
        <w:t xml:space="preserve">Fixar a identidade e as características mínimas de qualidade a que devem obedecer os Produtos Protéicos de Origem Vegetal. </w:t>
      </w:r>
    </w:p>
    <w:p w:rsidR="00866F17" w:rsidRDefault="00866F17">
      <w:pPr>
        <w:pStyle w:val="Default"/>
        <w:rPr>
          <w:rFonts w:ascii="Times New Roman" w:hAnsi="Times New Roman" w:cs="Times New Roman"/>
          <w:sz w:val="16"/>
          <w:szCs w:val="16"/>
        </w:rPr>
      </w:pPr>
    </w:p>
    <w:p w:rsidR="00866F17" w:rsidRDefault="00866F17">
      <w:pPr>
        <w:jc w:val="both"/>
        <w:rPr>
          <w:sz w:val="16"/>
          <w:szCs w:val="16"/>
        </w:rPr>
      </w:pPr>
      <w:r>
        <w:rPr>
          <w:sz w:val="16"/>
          <w:szCs w:val="16"/>
        </w:rPr>
        <w:t xml:space="preserve">2. DEFINIÇÃO </w:t>
      </w:r>
    </w:p>
    <w:p w:rsidR="00866F17" w:rsidRDefault="00866F17">
      <w:pPr>
        <w:pStyle w:val="NormalWeb"/>
        <w:spacing w:before="0" w:after="0"/>
        <w:jc w:val="both"/>
        <w:rPr>
          <w:rFonts w:ascii="Times New Roman" w:hAnsi="Times New Roman" w:cs="Times New Roman"/>
          <w:sz w:val="16"/>
          <w:szCs w:val="16"/>
        </w:rPr>
      </w:pPr>
      <w:r>
        <w:rPr>
          <w:rFonts w:ascii="Times New Roman" w:hAnsi="Times New Roman" w:cs="Times New Roman"/>
          <w:sz w:val="16"/>
          <w:szCs w:val="16"/>
        </w:rPr>
        <w:t xml:space="preserve">2.1. Produtos Protéicos de Origem Vegetal: são os alimentos obtidos a partir de partes protéicas de espécie(s) vegetal(is), podendo ser apresentados em grânulo, pó, líquido, ou outras formas com exceção daquelas não convencionais para alimentos. Podem ser adicionados de outros ingredientes, desde que não descaracterizem o produto. </w:t>
      </w:r>
    </w:p>
    <w:p w:rsidR="00866F17" w:rsidRDefault="00866F17">
      <w:pPr>
        <w:pStyle w:val="Default"/>
        <w:jc w:val="both"/>
        <w:rPr>
          <w:rFonts w:ascii="Times New Roman" w:hAnsi="Times New Roman" w:cs="Times New Roman"/>
          <w:color w:val="auto"/>
          <w:sz w:val="16"/>
          <w:szCs w:val="16"/>
        </w:rPr>
      </w:pPr>
      <w:r>
        <w:rPr>
          <w:rFonts w:ascii="Times New Roman" w:hAnsi="Times New Roman" w:cs="Times New Roman"/>
          <w:color w:val="auto"/>
          <w:sz w:val="16"/>
          <w:szCs w:val="16"/>
        </w:rPr>
        <w:t>2.2. Glúten de trigo: é o produto obtido do grão do trigo ou farinha de trigo pela separação dos constituintes não protéicos (amido e outros carboidratos).</w:t>
      </w:r>
    </w:p>
    <w:p w:rsidR="00866F17" w:rsidRDefault="00866F17">
      <w:pPr>
        <w:pStyle w:val="Default"/>
        <w:rPr>
          <w:rFonts w:ascii="Times New Roman" w:hAnsi="Times New Roman" w:cs="Times New Roman"/>
          <w:color w:val="auto"/>
          <w:sz w:val="16"/>
          <w:szCs w:val="16"/>
        </w:rPr>
      </w:pPr>
    </w:p>
    <w:p w:rsidR="00866F17" w:rsidRDefault="00866F17">
      <w:pPr>
        <w:jc w:val="both"/>
        <w:rPr>
          <w:sz w:val="16"/>
          <w:szCs w:val="16"/>
        </w:rPr>
      </w:pPr>
      <w:r>
        <w:rPr>
          <w:sz w:val="16"/>
          <w:szCs w:val="16"/>
        </w:rPr>
        <w:t xml:space="preserve">3. DESIGNAÇÃO </w:t>
      </w:r>
    </w:p>
    <w:p w:rsidR="00866F17" w:rsidRDefault="00866F17">
      <w:pPr>
        <w:jc w:val="both"/>
        <w:rPr>
          <w:sz w:val="16"/>
          <w:szCs w:val="16"/>
        </w:rPr>
      </w:pPr>
      <w:r>
        <w:rPr>
          <w:sz w:val="16"/>
          <w:szCs w:val="16"/>
        </w:rPr>
        <w:t xml:space="preserve">Os produtos devem ser designados de “Proteína” ou “Extrato” ou “Farinha”, conforme o teor protéico mínimo, ou “Glúten”, seguido do(s) nome(s) comum(ns) da(s) espécie(s) vegetal(is) de origem. Na designação, pode(m) ser usada(s) expressão(ões) consagrada(s) pelo uso, processo de obtenção, forma de apresentação, finalidade de uso e ou característica específica. Quando adicionados de outro(s) ingrediente(s), o(s) mesmo(s) deve(m) fazer parte da designação. </w:t>
      </w:r>
    </w:p>
    <w:p w:rsidR="00866F17" w:rsidRDefault="00866F17">
      <w:pPr>
        <w:jc w:val="both"/>
        <w:rPr>
          <w:sz w:val="16"/>
          <w:szCs w:val="16"/>
        </w:rPr>
      </w:pPr>
    </w:p>
    <w:p w:rsidR="00866F17" w:rsidRDefault="00866F17">
      <w:pPr>
        <w:jc w:val="both"/>
        <w:rPr>
          <w:sz w:val="16"/>
          <w:szCs w:val="16"/>
        </w:rPr>
      </w:pPr>
      <w:r>
        <w:rPr>
          <w:sz w:val="16"/>
          <w:szCs w:val="16"/>
        </w:rPr>
        <w:t xml:space="preserve">4. REFERÊNCIAS BIBLIOGRÁFICAS </w:t>
      </w:r>
    </w:p>
    <w:p w:rsidR="00866F17" w:rsidRDefault="00866F17">
      <w:pPr>
        <w:jc w:val="both"/>
        <w:rPr>
          <w:sz w:val="16"/>
          <w:szCs w:val="16"/>
        </w:rPr>
      </w:pPr>
      <w:r>
        <w:rPr>
          <w:sz w:val="16"/>
          <w:szCs w:val="16"/>
        </w:rPr>
        <w:t xml:space="preserve">4.1. BRASIL. Decreto nº. 55.871, de 26 de março de 1965. Modifica o Decreto nº 50.040, de 24 de janeiro de 1961, referente a normas reguladoras do emprego de aditivos para alimentos, alterado pelo Decreto nº 691, de 13 de março de 1962. Diário Oficial da União, Brasília, DF, 09 abr. 1965. Seção 1. </w:t>
      </w:r>
    </w:p>
    <w:p w:rsidR="00866F17" w:rsidRDefault="00866F17">
      <w:pPr>
        <w:jc w:val="both"/>
        <w:rPr>
          <w:sz w:val="16"/>
          <w:szCs w:val="16"/>
        </w:rPr>
      </w:pPr>
      <w:r>
        <w:rPr>
          <w:sz w:val="16"/>
          <w:szCs w:val="16"/>
        </w:rPr>
        <w:t xml:space="preserve">4.2. BRASIL. Decreto - Lei nº. 986, de 21 de outubro de 1969. Institui normas básicas sobre alimentos. Diário Oficial da União, Brasília, DF, 21 out. 1969. Seção 1. </w:t>
      </w:r>
    </w:p>
    <w:p w:rsidR="00866F17" w:rsidRDefault="00866F17">
      <w:pPr>
        <w:jc w:val="both"/>
        <w:rPr>
          <w:sz w:val="16"/>
          <w:szCs w:val="16"/>
        </w:rPr>
      </w:pPr>
      <w:r>
        <w:rPr>
          <w:sz w:val="16"/>
          <w:szCs w:val="16"/>
        </w:rPr>
        <w:t xml:space="preserve">4.3. BRASIL. Resolução nº 4, de 24 de novembro de 1988. Aprova revisão das Tabelas I, III, IV e V referente a Aditivos Intencionais, bem como os anexos I, II, III e VII, todos do Decreto nº 55.871, de 26 de março de 1965. Diário Oficial da União, Brasília, DF, 19 dez. 1988. Seção 1. </w:t>
      </w:r>
    </w:p>
    <w:p w:rsidR="00866F17" w:rsidRDefault="00866F17">
      <w:pPr>
        <w:jc w:val="both"/>
        <w:rPr>
          <w:sz w:val="16"/>
          <w:szCs w:val="16"/>
        </w:rPr>
      </w:pPr>
      <w:r>
        <w:rPr>
          <w:sz w:val="16"/>
          <w:szCs w:val="16"/>
        </w:rPr>
        <w:t xml:space="preserve">4.4. BRASIL. Lei nº. 8.078, de 11 de setembro de 1990. Código de Defesa do Consumidor. Diário Oficial da União, Brasília, DF, 12 set. 1990. Suplemento. </w:t>
      </w:r>
    </w:p>
    <w:p w:rsidR="00866F17" w:rsidRDefault="00866F17">
      <w:pPr>
        <w:jc w:val="both"/>
        <w:rPr>
          <w:sz w:val="16"/>
          <w:szCs w:val="16"/>
        </w:rPr>
      </w:pPr>
      <w:r>
        <w:rPr>
          <w:sz w:val="16"/>
          <w:szCs w:val="16"/>
        </w:rPr>
        <w:t xml:space="preserve">4.5. BRASIL. Portaria SVS/MS nº. 1.428, de 26 de novembro de 1993. Regulamento Técnico para Inspeção Sanitária de Alimentos. Diário Oficial da União, Brasília, DF, 02 dez. 1993. Seção 1. </w:t>
      </w:r>
    </w:p>
    <w:p w:rsidR="00866F17" w:rsidRDefault="00866F17">
      <w:pPr>
        <w:jc w:val="both"/>
        <w:rPr>
          <w:sz w:val="16"/>
          <w:szCs w:val="16"/>
        </w:rPr>
      </w:pPr>
      <w:r>
        <w:rPr>
          <w:sz w:val="16"/>
          <w:szCs w:val="16"/>
        </w:rPr>
        <w:t xml:space="preserve">4.6. BRASIL. Portaria SVS/MS nº. 326, de 30 de julho de 1997. Regulamento Técnico sobre as Condições Higiênico-Sanitárias e de Boas Práticas de Fabricação para Estabelecimentos Produtores/Industrializadores de Alimentos. Diário Oficial da União, Brasília, DF, 01 ago. 1997. Seção 1. </w:t>
      </w:r>
    </w:p>
    <w:p w:rsidR="00866F17" w:rsidRDefault="00866F17">
      <w:pPr>
        <w:jc w:val="both"/>
        <w:rPr>
          <w:sz w:val="16"/>
          <w:szCs w:val="16"/>
        </w:rPr>
      </w:pPr>
      <w:r>
        <w:rPr>
          <w:sz w:val="16"/>
          <w:szCs w:val="16"/>
        </w:rPr>
        <w:t xml:space="preserve">4.7. BRASIL. Portaria SVS/MS nº. 27, de 13 de janeiro de 1998. Regulamento Técnico Referente à Informação Nutricional Complementar. Diário Oficial da União, Brasília, DF, 16 jan. 1998. Seção 1. </w:t>
      </w:r>
    </w:p>
    <w:p w:rsidR="00866F17" w:rsidRDefault="00866F17">
      <w:pPr>
        <w:jc w:val="both"/>
        <w:rPr>
          <w:sz w:val="16"/>
          <w:szCs w:val="16"/>
        </w:rPr>
      </w:pPr>
      <w:r>
        <w:rPr>
          <w:sz w:val="16"/>
          <w:szCs w:val="16"/>
        </w:rPr>
        <w:t xml:space="preserve">4.8. BRASIL. Portaria SVS/MS nº. 29, de 13 de janeiro de 1998. Regulamento Técnico referente a Alimentos para Fins Especiais. Diário Oficial da União, Brasília, DF, 15 jan. 1998. Seção 1. </w:t>
      </w:r>
    </w:p>
    <w:p w:rsidR="00866F17" w:rsidRDefault="00866F17">
      <w:pPr>
        <w:jc w:val="both"/>
        <w:rPr>
          <w:sz w:val="16"/>
          <w:szCs w:val="16"/>
        </w:rPr>
      </w:pPr>
      <w:r>
        <w:rPr>
          <w:sz w:val="16"/>
          <w:szCs w:val="16"/>
        </w:rPr>
        <w:t xml:space="preserve">4.9. BRASIL. Resolução ANVISA/MS nº. 17, de 30 de abril de 1999. Regulamento Técnico que estabelece as Diretrizes Básicas para a Avaliação de Risco e Segurança dos Alimentos. Diário Oficial da União, Brasília, DF, 03 mai. 2004. Seção 1. </w:t>
      </w:r>
    </w:p>
    <w:p w:rsidR="00866F17" w:rsidRDefault="00866F17">
      <w:pPr>
        <w:jc w:val="both"/>
        <w:rPr>
          <w:sz w:val="16"/>
          <w:szCs w:val="16"/>
        </w:rPr>
      </w:pPr>
      <w:r>
        <w:rPr>
          <w:sz w:val="16"/>
          <w:szCs w:val="16"/>
        </w:rPr>
        <w:t xml:space="preserve">4.10. BRASIL. Resolução ANVISA/MS nº. 386 de 05 de agosto de 1999. Regulamento Técnico que aprova o uso de Aditivos Alimentares segundo as Boas Práticas de Fabricação e suas funções. Diário Oficial da União, Brasília, DF, 09 ago. 1999, Seção 1. </w:t>
      </w:r>
    </w:p>
    <w:p w:rsidR="00866F17" w:rsidRDefault="00866F17">
      <w:pPr>
        <w:jc w:val="both"/>
        <w:rPr>
          <w:sz w:val="16"/>
          <w:szCs w:val="16"/>
        </w:rPr>
      </w:pPr>
      <w:r>
        <w:rPr>
          <w:sz w:val="16"/>
          <w:szCs w:val="16"/>
        </w:rPr>
        <w:t>4.11. BRASIL. Resolução ANVS/MS nº. 22, de 15 de março de 2000. Procedimentos de Registro e Dispensa da Obrigatoriedade de Registro de Produtos Importados Pertinentes à Área de Alimentos. Diário Oficial da União, Brasília, DF, 16 mar. 2000. Seção 1.</w:t>
      </w:r>
    </w:p>
    <w:p w:rsidR="00866F17" w:rsidRDefault="00866F17">
      <w:pPr>
        <w:jc w:val="both"/>
        <w:rPr>
          <w:sz w:val="16"/>
          <w:szCs w:val="16"/>
        </w:rPr>
      </w:pPr>
      <w:r>
        <w:rPr>
          <w:sz w:val="16"/>
          <w:szCs w:val="16"/>
        </w:rPr>
        <w:t xml:space="preserve">4.12. BRASIL. Resolução ANVS/MS nº. 23, de 15 de março de 2000. Manual de Procedimentos Básicos para Registro e Dispensa da Obrigatoriedade de Registro de Produtos Pertinentes à Área de Alimentos. Diário Oficial da União, Brasília, 16 mar. 2000. Seção 1. </w:t>
      </w:r>
    </w:p>
    <w:p w:rsidR="00866F17" w:rsidRDefault="00866F17">
      <w:pPr>
        <w:jc w:val="both"/>
        <w:rPr>
          <w:sz w:val="16"/>
          <w:szCs w:val="16"/>
        </w:rPr>
      </w:pPr>
      <w:r>
        <w:rPr>
          <w:sz w:val="16"/>
          <w:szCs w:val="16"/>
        </w:rPr>
        <w:t xml:space="preserve">4.13. BRASIL. Resolução RDC ANVISA/MS nº. 12, de 02 de janeiro de 2001. Regulamento Técnico sobre os Padrões Microbiológicos para Alimentos. Diário Oficial da União, Brasília, DF, 10 jan. 2001. Seção 1. </w:t>
      </w:r>
    </w:p>
    <w:p w:rsidR="00866F17" w:rsidRDefault="00866F17">
      <w:pPr>
        <w:jc w:val="both"/>
        <w:rPr>
          <w:sz w:val="16"/>
          <w:szCs w:val="16"/>
        </w:rPr>
      </w:pPr>
      <w:r>
        <w:rPr>
          <w:sz w:val="16"/>
          <w:szCs w:val="16"/>
        </w:rPr>
        <w:t xml:space="preserve">4.14. BRASIL. Resolução RDC ANVISA/MS nº. 234, de 19 de agosto de 2002. Regulamento Técnico sobre aditivos utilizados segundo as Boas Práticas de Fabricação e suas Funções. Diário Oficial da União, Brasília, DF, 21 ago. 2002. Seção 1. </w:t>
      </w:r>
    </w:p>
    <w:p w:rsidR="00866F17" w:rsidRDefault="00866F17">
      <w:pPr>
        <w:jc w:val="both"/>
        <w:rPr>
          <w:sz w:val="16"/>
          <w:szCs w:val="16"/>
        </w:rPr>
      </w:pPr>
      <w:r>
        <w:rPr>
          <w:sz w:val="16"/>
          <w:szCs w:val="16"/>
        </w:rPr>
        <w:t xml:space="preserve">4.15. BRASIL. Resolução RDC ANVISA/MS nº. 259, de 20 de setembro de 2002. Regulamento Técnico para Rotulagem de Alimentos Embalados. Diário Oficial da União, Brasília, DF, 23 set. 2002. Seção 1. </w:t>
      </w:r>
    </w:p>
    <w:p w:rsidR="00866F17" w:rsidRDefault="00866F17">
      <w:pPr>
        <w:jc w:val="both"/>
        <w:rPr>
          <w:sz w:val="16"/>
          <w:szCs w:val="16"/>
        </w:rPr>
      </w:pPr>
      <w:r>
        <w:rPr>
          <w:sz w:val="16"/>
          <w:szCs w:val="16"/>
        </w:rPr>
        <w:t xml:space="preserve">4.16. BRASIL. Resolução RDC ANVISA/MS nº. 275, de 21 de outubro de 2002. Regulamento Técnico de Procedimentos Operacionais Padronizados aplicados aos Estabelecimentos Produtores/Industrializadores de Alimentos e a Lista de Verificação das Boas Práticas de Fabricação em Estabelecimentos Produtores/Industrializadores de Alimentos. Diário Oficial da União, Brasília, DF, 06 nov. 2002. Seção 1. </w:t>
      </w:r>
    </w:p>
    <w:p w:rsidR="00866F17" w:rsidRDefault="00866F17">
      <w:pPr>
        <w:jc w:val="both"/>
        <w:rPr>
          <w:sz w:val="16"/>
          <w:szCs w:val="16"/>
        </w:rPr>
      </w:pPr>
      <w:r>
        <w:rPr>
          <w:sz w:val="16"/>
          <w:szCs w:val="16"/>
        </w:rPr>
        <w:t xml:space="preserve">4.17. BRASIL. Lei nº 10.674, de 16 de maio de 2003. Obriga a que os produtos alimentícios comercializados informem sobre a presença de glúten, como medida preventiva e de controle da doença celíaca. Diário Oficial da União, Brasília, DF, 19 mai. 2003. Seção 1. </w:t>
      </w:r>
    </w:p>
    <w:p w:rsidR="00866F17" w:rsidRDefault="00866F17">
      <w:pPr>
        <w:jc w:val="both"/>
        <w:rPr>
          <w:sz w:val="16"/>
          <w:szCs w:val="16"/>
        </w:rPr>
      </w:pPr>
      <w:r>
        <w:rPr>
          <w:sz w:val="16"/>
          <w:szCs w:val="16"/>
        </w:rPr>
        <w:t>4.18. BRASIL. Resolução RDC ANVISA/MS nº. 175, de 08 de julho de 2003. Regulamento Técnico de Avaliação de Matérias Macroscópicas e Microscópicas Prejudiciais à Saúde Humana em Alimentos Embalados. Diário Oficial da União, Brasília, DF, 09 jul. 2003. Seção 1.</w:t>
      </w:r>
    </w:p>
    <w:p w:rsidR="00866F17" w:rsidRDefault="00866F17">
      <w:pPr>
        <w:jc w:val="both"/>
        <w:rPr>
          <w:sz w:val="16"/>
          <w:szCs w:val="16"/>
        </w:rPr>
      </w:pPr>
      <w:r>
        <w:rPr>
          <w:sz w:val="16"/>
          <w:szCs w:val="16"/>
        </w:rPr>
        <w:lastRenderedPageBreak/>
        <w:t xml:space="preserve">4.19. BRASIL. Resolução RDC ANVISA/MS nº. 359, de 23 de dezembro de 2003. Regulamento Técnico de Porções de Alimentos Embalados para Fins de Rotulagem Nutricional. Diário Oficial da União, Brasília, DF, 26 dez. 2003. Seção 1. </w:t>
      </w:r>
    </w:p>
    <w:p w:rsidR="00866F17" w:rsidRPr="00866F17" w:rsidRDefault="00866F17">
      <w:pPr>
        <w:jc w:val="both"/>
        <w:rPr>
          <w:sz w:val="16"/>
          <w:szCs w:val="16"/>
          <w:lang w:val="en-US"/>
        </w:rPr>
      </w:pPr>
      <w:r>
        <w:rPr>
          <w:sz w:val="16"/>
          <w:szCs w:val="16"/>
        </w:rPr>
        <w:t xml:space="preserve">4.20. BRASIL. Resolução RDC ANVISA/MS nº. 360, de 23 de dezembro de 2003. Regulamento Técnico sobre Rotulagem Nutricional de Alimentos Embalados. Diário Oficial da União, Brasília, DF, 26 dez. 2003. </w:t>
      </w:r>
      <w:r w:rsidRPr="00866F17">
        <w:rPr>
          <w:sz w:val="16"/>
          <w:szCs w:val="16"/>
          <w:lang w:val="en-US"/>
        </w:rPr>
        <w:t xml:space="preserve">Seção 1. </w:t>
      </w:r>
    </w:p>
    <w:p w:rsidR="00866F17" w:rsidRPr="00866F17" w:rsidRDefault="00866F17">
      <w:pPr>
        <w:autoSpaceDE w:val="0"/>
        <w:autoSpaceDN w:val="0"/>
        <w:adjustRightInd w:val="0"/>
        <w:jc w:val="both"/>
        <w:rPr>
          <w:sz w:val="16"/>
          <w:szCs w:val="16"/>
        </w:rPr>
      </w:pPr>
      <w:r w:rsidRPr="00866F17">
        <w:rPr>
          <w:sz w:val="16"/>
          <w:szCs w:val="16"/>
          <w:lang w:val="en-US"/>
        </w:rPr>
        <w:t xml:space="preserve">4.21. CODEX ALIMENTARIUS </w:t>
      </w:r>
      <w:r>
        <w:rPr>
          <w:sz w:val="16"/>
          <w:szCs w:val="16"/>
          <w:lang w:val="en-US"/>
        </w:rPr>
        <w:t>(FAO/WHO)</w:t>
      </w:r>
      <w:r w:rsidRPr="00866F17">
        <w:rPr>
          <w:sz w:val="16"/>
          <w:szCs w:val="16"/>
          <w:lang w:val="en-US"/>
        </w:rPr>
        <w:t xml:space="preserve">. </w:t>
      </w:r>
      <w:r>
        <w:rPr>
          <w:sz w:val="16"/>
          <w:szCs w:val="16"/>
          <w:lang w:val="en-US"/>
        </w:rPr>
        <w:t xml:space="preserve">Codex General Standard for vegetable protein products (VPP). </w:t>
      </w:r>
      <w:r w:rsidRPr="00866F17">
        <w:rPr>
          <w:sz w:val="16"/>
          <w:szCs w:val="16"/>
        </w:rPr>
        <w:t>CODEX STAN 174-1989. Codex Alimentarius, Roma, Itália, 4p.</w:t>
      </w:r>
    </w:p>
    <w:p w:rsidR="00866F17" w:rsidRPr="00866F17" w:rsidRDefault="00866F17">
      <w:pPr>
        <w:autoSpaceDE w:val="0"/>
        <w:autoSpaceDN w:val="0"/>
        <w:adjustRightInd w:val="0"/>
        <w:jc w:val="both"/>
        <w:rPr>
          <w:sz w:val="16"/>
          <w:szCs w:val="16"/>
        </w:rPr>
      </w:pPr>
      <w:r w:rsidRPr="00866F17">
        <w:rPr>
          <w:sz w:val="16"/>
          <w:szCs w:val="16"/>
        </w:rPr>
        <w:t xml:space="preserve">4.22. CODEX ALIMENTARIUS (FAO/WHO). </w:t>
      </w:r>
      <w:r>
        <w:rPr>
          <w:sz w:val="16"/>
          <w:szCs w:val="16"/>
          <w:lang w:val="en-US"/>
        </w:rPr>
        <w:t xml:space="preserve">Codex Standard for wheat protein products including wheat gluten. </w:t>
      </w:r>
      <w:r w:rsidRPr="00866F17">
        <w:rPr>
          <w:sz w:val="16"/>
          <w:szCs w:val="16"/>
        </w:rPr>
        <w:t xml:space="preserve">CODEX STAN 163-1987, rev. 1-2001. Codex Alimentarius, Roma, Itália, 4p. </w:t>
      </w:r>
    </w:p>
    <w:p w:rsidR="00866F17" w:rsidRPr="00866F17" w:rsidRDefault="00866F17">
      <w:pPr>
        <w:jc w:val="both"/>
        <w:rPr>
          <w:sz w:val="16"/>
          <w:szCs w:val="16"/>
        </w:rPr>
      </w:pPr>
    </w:p>
    <w:p w:rsidR="00866F17" w:rsidRDefault="00866F17">
      <w:pPr>
        <w:pStyle w:val="NormalWeb"/>
        <w:spacing w:before="0" w:after="0"/>
        <w:jc w:val="both"/>
        <w:rPr>
          <w:rFonts w:ascii="Times New Roman" w:hAnsi="Times New Roman" w:cs="Times New Roman"/>
          <w:sz w:val="16"/>
          <w:szCs w:val="16"/>
        </w:rPr>
      </w:pPr>
      <w:r w:rsidRPr="00866F17">
        <w:rPr>
          <w:rFonts w:ascii="Times New Roman" w:hAnsi="Times New Roman" w:cs="Times New Roman"/>
          <w:sz w:val="16"/>
          <w:szCs w:val="16"/>
        </w:rPr>
        <w:t>5. REQUISITOS ESPECÍF</w:t>
      </w:r>
      <w:r>
        <w:rPr>
          <w:rFonts w:ascii="Times New Roman" w:hAnsi="Times New Roman" w:cs="Times New Roman"/>
          <w:sz w:val="16"/>
          <w:szCs w:val="16"/>
        </w:rPr>
        <w:t xml:space="preserve">ICOS </w:t>
      </w:r>
    </w:p>
    <w:p w:rsidR="00866F17" w:rsidRDefault="00866F17">
      <w:pPr>
        <w:pStyle w:val="NormalWeb"/>
        <w:spacing w:before="0" w:after="0"/>
        <w:jc w:val="both"/>
        <w:rPr>
          <w:rFonts w:ascii="Times New Roman" w:hAnsi="Times New Roman" w:cs="Times New Roman"/>
          <w:sz w:val="16"/>
          <w:szCs w:val="16"/>
        </w:rPr>
      </w:pPr>
      <w:r>
        <w:rPr>
          <w:rFonts w:ascii="Times New Roman" w:hAnsi="Times New Roman" w:cs="Times New Roman"/>
          <w:sz w:val="16"/>
          <w:szCs w:val="16"/>
        </w:rPr>
        <w:t xml:space="preserve">5.1. Os produtos devem apresentar em sua composição os seguintes teores de proteína: </w:t>
      </w:r>
    </w:p>
    <w:p w:rsidR="00866F17" w:rsidRDefault="00866F17">
      <w:pPr>
        <w:pStyle w:val="NormalWeb"/>
        <w:numPr>
          <w:ilvl w:val="0"/>
          <w:numId w:val="10"/>
        </w:numPr>
        <w:spacing w:before="0" w:after="0"/>
        <w:ind w:left="709" w:right="-660"/>
        <w:jc w:val="both"/>
        <w:rPr>
          <w:rFonts w:ascii="Times New Roman" w:hAnsi="Times New Roman" w:cs="Times New Roman"/>
          <w:sz w:val="16"/>
          <w:szCs w:val="16"/>
        </w:rPr>
      </w:pPr>
      <w:r>
        <w:rPr>
          <w:rFonts w:ascii="Times New Roman" w:hAnsi="Times New Roman" w:cs="Times New Roman"/>
          <w:sz w:val="16"/>
          <w:szCs w:val="16"/>
        </w:rPr>
        <w:t>- Proteína texturizada de soja: proteína b.s. (N x 6,25) - mínimo 50,0 % (g/100 g)</w:t>
      </w:r>
    </w:p>
    <w:p w:rsidR="00866F17" w:rsidRDefault="00866F17">
      <w:pPr>
        <w:pStyle w:val="NormalWeb"/>
        <w:numPr>
          <w:ilvl w:val="0"/>
          <w:numId w:val="10"/>
        </w:numPr>
        <w:spacing w:before="0" w:after="0"/>
        <w:ind w:left="709" w:right="-660"/>
        <w:rPr>
          <w:rFonts w:ascii="Times New Roman" w:hAnsi="Times New Roman" w:cs="Times New Roman"/>
          <w:sz w:val="16"/>
          <w:szCs w:val="16"/>
        </w:rPr>
      </w:pPr>
      <w:r>
        <w:rPr>
          <w:rFonts w:ascii="Times New Roman" w:hAnsi="Times New Roman" w:cs="Times New Roman"/>
          <w:sz w:val="16"/>
          <w:szCs w:val="16"/>
        </w:rPr>
        <w:t>- Proteína concentrada de soja: proteína b.s. (N x 6,25) – mínimo 68,0 % (g/100g)</w:t>
      </w:r>
    </w:p>
    <w:p w:rsidR="00866F17" w:rsidRDefault="00866F17">
      <w:pPr>
        <w:pStyle w:val="NormalWeb"/>
        <w:numPr>
          <w:ilvl w:val="0"/>
          <w:numId w:val="10"/>
        </w:numPr>
        <w:spacing w:before="0" w:after="0"/>
        <w:ind w:left="709" w:right="-376"/>
        <w:jc w:val="both"/>
        <w:rPr>
          <w:rFonts w:ascii="Times New Roman" w:hAnsi="Times New Roman" w:cs="Times New Roman"/>
          <w:sz w:val="16"/>
          <w:szCs w:val="16"/>
        </w:rPr>
      </w:pPr>
      <w:r>
        <w:rPr>
          <w:rFonts w:ascii="Times New Roman" w:hAnsi="Times New Roman" w:cs="Times New Roman"/>
          <w:sz w:val="16"/>
          <w:szCs w:val="16"/>
        </w:rPr>
        <w:t xml:space="preserve">- Proteína isolada de soja: proteína b.s. (N x 6,25) – mínimo 88,0 % (g/100 g) </w:t>
      </w:r>
    </w:p>
    <w:p w:rsidR="00866F17" w:rsidRDefault="00866F17">
      <w:pPr>
        <w:pStyle w:val="NormalWeb"/>
        <w:numPr>
          <w:ilvl w:val="0"/>
          <w:numId w:val="10"/>
        </w:numPr>
        <w:spacing w:before="0" w:after="0"/>
        <w:ind w:left="709" w:right="-660"/>
        <w:rPr>
          <w:rFonts w:ascii="Times New Roman" w:hAnsi="Times New Roman" w:cs="Times New Roman"/>
          <w:sz w:val="16"/>
          <w:szCs w:val="16"/>
        </w:rPr>
      </w:pPr>
      <w:r>
        <w:rPr>
          <w:rFonts w:ascii="Times New Roman" w:hAnsi="Times New Roman" w:cs="Times New Roman"/>
          <w:sz w:val="16"/>
          <w:szCs w:val="16"/>
        </w:rPr>
        <w:t xml:space="preserve">- Extrato de soja: </w:t>
      </w:r>
    </w:p>
    <w:p w:rsidR="00866F17" w:rsidRDefault="00866F17">
      <w:pPr>
        <w:pStyle w:val="NormalWeb"/>
        <w:spacing w:before="0" w:after="0"/>
        <w:ind w:left="709" w:right="-660"/>
        <w:rPr>
          <w:rFonts w:ascii="Times New Roman" w:hAnsi="Times New Roman" w:cs="Times New Roman"/>
          <w:sz w:val="16"/>
          <w:szCs w:val="16"/>
        </w:rPr>
      </w:pPr>
      <w:r>
        <w:rPr>
          <w:rFonts w:ascii="Times New Roman" w:hAnsi="Times New Roman" w:cs="Times New Roman"/>
          <w:sz w:val="16"/>
          <w:szCs w:val="16"/>
        </w:rPr>
        <w:t xml:space="preserve">. pó: proteína b.s. (N x 6,25) – mínimo 40,0 % (g/100 g) </w:t>
      </w:r>
    </w:p>
    <w:p w:rsidR="00866F17" w:rsidRDefault="00866F17">
      <w:pPr>
        <w:pStyle w:val="NormalWeb"/>
        <w:spacing w:before="0" w:after="0"/>
        <w:ind w:left="709" w:right="-660"/>
        <w:rPr>
          <w:rFonts w:ascii="Times New Roman" w:hAnsi="Times New Roman" w:cs="Times New Roman"/>
          <w:sz w:val="16"/>
          <w:szCs w:val="16"/>
        </w:rPr>
      </w:pPr>
      <w:r>
        <w:rPr>
          <w:rFonts w:ascii="Times New Roman" w:hAnsi="Times New Roman" w:cs="Times New Roman"/>
          <w:sz w:val="16"/>
          <w:szCs w:val="16"/>
        </w:rPr>
        <w:t xml:space="preserve">. líquido: proteína (N x 6,25) – mínimo 3,0 % (g/100 g) </w:t>
      </w:r>
    </w:p>
    <w:p w:rsidR="00866F17" w:rsidRDefault="00866F17">
      <w:pPr>
        <w:pStyle w:val="NormalWeb"/>
        <w:numPr>
          <w:ilvl w:val="0"/>
          <w:numId w:val="11"/>
        </w:numPr>
        <w:spacing w:before="0" w:after="0"/>
        <w:ind w:left="709" w:right="-660"/>
        <w:jc w:val="both"/>
        <w:rPr>
          <w:rFonts w:ascii="Times New Roman" w:hAnsi="Times New Roman" w:cs="Times New Roman"/>
          <w:sz w:val="16"/>
          <w:szCs w:val="16"/>
        </w:rPr>
      </w:pPr>
      <w:r>
        <w:rPr>
          <w:rFonts w:ascii="Times New Roman" w:hAnsi="Times New Roman" w:cs="Times New Roman"/>
          <w:sz w:val="16"/>
          <w:szCs w:val="16"/>
        </w:rPr>
        <w:t xml:space="preserve">- Farinha de soja desengordurada: proteína b.s. (N x 6,25)– mínimo 45,0%(g/100 g) </w:t>
      </w:r>
    </w:p>
    <w:p w:rsidR="00866F17" w:rsidRDefault="00866F17">
      <w:pPr>
        <w:pStyle w:val="NormalWeb"/>
        <w:numPr>
          <w:ilvl w:val="0"/>
          <w:numId w:val="11"/>
        </w:numPr>
        <w:spacing w:before="0" w:after="0"/>
        <w:ind w:left="709" w:right="-660"/>
        <w:jc w:val="both"/>
        <w:rPr>
          <w:rFonts w:ascii="Times New Roman" w:hAnsi="Times New Roman" w:cs="Times New Roman"/>
          <w:sz w:val="16"/>
          <w:szCs w:val="16"/>
        </w:rPr>
      </w:pPr>
      <w:r>
        <w:rPr>
          <w:rFonts w:ascii="Times New Roman" w:hAnsi="Times New Roman" w:cs="Times New Roman"/>
          <w:sz w:val="16"/>
          <w:szCs w:val="16"/>
        </w:rPr>
        <w:t>- Proteína hidrolisada vegetal: proteína b.s. (N x 6,25) – mínimo 25,0 % (g/100 g)</w:t>
      </w:r>
    </w:p>
    <w:p w:rsidR="00866F17" w:rsidRDefault="00866F17">
      <w:pPr>
        <w:pStyle w:val="Default"/>
        <w:ind w:left="709"/>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color w:val="auto"/>
          <w:sz w:val="16"/>
          <w:szCs w:val="16"/>
        </w:rPr>
        <w:t>Glúten de trigo: proteína b.s. (N x 6,25) – mínimo</w:t>
      </w:r>
      <w:r>
        <w:rPr>
          <w:rFonts w:ascii="Times New Roman" w:hAnsi="Times New Roman" w:cs="Times New Roman"/>
          <w:color w:val="0000FF"/>
          <w:sz w:val="16"/>
          <w:szCs w:val="16"/>
        </w:rPr>
        <w:t xml:space="preserve"> </w:t>
      </w:r>
      <w:r>
        <w:rPr>
          <w:rFonts w:ascii="Times New Roman" w:hAnsi="Times New Roman" w:cs="Times New Roman"/>
          <w:color w:val="auto"/>
          <w:sz w:val="16"/>
          <w:szCs w:val="16"/>
        </w:rPr>
        <w:t>60,0 % (g/100 g)</w:t>
      </w:r>
    </w:p>
    <w:p w:rsidR="00866F17" w:rsidRDefault="00866F17">
      <w:pPr>
        <w:pStyle w:val="NormalWeb"/>
        <w:numPr>
          <w:ilvl w:val="0"/>
          <w:numId w:val="11"/>
        </w:numPr>
        <w:spacing w:before="0" w:after="0"/>
        <w:ind w:left="709" w:right="-660"/>
        <w:jc w:val="both"/>
        <w:rPr>
          <w:rFonts w:ascii="Times New Roman" w:hAnsi="Times New Roman" w:cs="Times New Roman"/>
          <w:sz w:val="16"/>
          <w:szCs w:val="16"/>
        </w:rPr>
      </w:pPr>
      <w:r>
        <w:rPr>
          <w:rFonts w:ascii="Times New Roman" w:hAnsi="Times New Roman" w:cs="Times New Roman"/>
          <w:sz w:val="16"/>
          <w:szCs w:val="16"/>
        </w:rPr>
        <w:t xml:space="preserve">- Outros produtos protéicos: proteína b.s. (N x 6,25) – mínimo 40,0 % (g/100 g) </w:t>
      </w:r>
    </w:p>
    <w:p w:rsidR="00866F17" w:rsidRDefault="00866F17">
      <w:pPr>
        <w:pStyle w:val="NormalWeb"/>
        <w:numPr>
          <w:ilvl w:val="0"/>
          <w:numId w:val="11"/>
        </w:numPr>
        <w:spacing w:before="0" w:after="0"/>
        <w:ind w:left="709" w:right="-660"/>
        <w:jc w:val="both"/>
        <w:rPr>
          <w:rFonts w:ascii="Times New Roman" w:hAnsi="Times New Roman" w:cs="Times New Roman"/>
          <w:sz w:val="16"/>
          <w:szCs w:val="16"/>
        </w:rPr>
      </w:pPr>
      <w:r>
        <w:rPr>
          <w:rFonts w:ascii="Times New Roman" w:hAnsi="Times New Roman" w:cs="Times New Roman"/>
          <w:sz w:val="16"/>
          <w:szCs w:val="16"/>
        </w:rPr>
        <w:t xml:space="preserve">b.s. = base seca </w:t>
      </w:r>
    </w:p>
    <w:p w:rsidR="00866F17" w:rsidRDefault="00866F17">
      <w:pPr>
        <w:pStyle w:val="Default"/>
        <w:rPr>
          <w:rFonts w:ascii="Times New Roman" w:hAnsi="Times New Roman" w:cs="Times New Roman"/>
          <w:sz w:val="16"/>
          <w:szCs w:val="16"/>
        </w:rPr>
      </w:pPr>
    </w:p>
    <w:p w:rsidR="00866F17" w:rsidRDefault="00866F17">
      <w:pPr>
        <w:pStyle w:val="NormalWeb"/>
        <w:spacing w:before="0" w:after="0"/>
        <w:jc w:val="both"/>
        <w:rPr>
          <w:rFonts w:ascii="Times New Roman" w:hAnsi="Times New Roman" w:cs="Times New Roman"/>
          <w:sz w:val="16"/>
          <w:szCs w:val="16"/>
        </w:rPr>
      </w:pPr>
      <w:r>
        <w:rPr>
          <w:rFonts w:ascii="Times New Roman" w:hAnsi="Times New Roman" w:cs="Times New Roman"/>
          <w:sz w:val="16"/>
          <w:szCs w:val="16"/>
        </w:rPr>
        <w:t xml:space="preserve">6. REQUISITOS GERAIS </w:t>
      </w:r>
    </w:p>
    <w:p w:rsidR="00866F17" w:rsidRDefault="00866F17">
      <w:pPr>
        <w:pStyle w:val="NormalWeb"/>
        <w:tabs>
          <w:tab w:val="left" w:pos="7655"/>
        </w:tabs>
        <w:spacing w:before="0" w:after="0"/>
        <w:jc w:val="both"/>
        <w:rPr>
          <w:rFonts w:ascii="Times New Roman" w:hAnsi="Times New Roman" w:cs="Times New Roman"/>
          <w:sz w:val="16"/>
          <w:szCs w:val="16"/>
        </w:rPr>
      </w:pPr>
      <w:r>
        <w:rPr>
          <w:rFonts w:ascii="Times New Roman" w:hAnsi="Times New Roman" w:cs="Times New Roman"/>
          <w:sz w:val="16"/>
          <w:szCs w:val="16"/>
        </w:rPr>
        <w:t xml:space="preserve">6.1. Os produtos devem ser obtidos, processados, embalados, armazenados, transportados e conservados em condições que não produzam, desenvolvam e ou agreguem substâncias físicas, químicas ou biológicas que coloquem em risco a saúde do consumidor. Deve ser obedecida a legislação vigente de Boas Práticas de Fabricação. </w:t>
      </w:r>
    </w:p>
    <w:p w:rsidR="00866F17" w:rsidRDefault="00866F17">
      <w:pPr>
        <w:pStyle w:val="NormalWeb"/>
        <w:spacing w:before="0" w:after="0"/>
        <w:jc w:val="both"/>
        <w:rPr>
          <w:rFonts w:ascii="Times New Roman" w:hAnsi="Times New Roman" w:cs="Times New Roman"/>
          <w:sz w:val="16"/>
          <w:szCs w:val="16"/>
        </w:rPr>
      </w:pPr>
      <w:r>
        <w:rPr>
          <w:rFonts w:ascii="Times New Roman" w:hAnsi="Times New Roman" w:cs="Times New Roman"/>
          <w:sz w:val="16"/>
          <w:szCs w:val="16"/>
        </w:rPr>
        <w:t xml:space="preserve">6.2. Os produtos devem atender aos Regulamentos Técnicos específicos de Aditivos Alimentares e Coadjuvantes de Tecnologia de Fabricação; Contaminantes; Características Macroscópicas, Microscópicas e Microbiológicas; Rotulagem de Alimentos Embalados; Rotulagem Nutricional de Alimentos Embalados; Informação Nutricional Complementar, quando houver; e outras legislações pertinentes. </w:t>
      </w:r>
    </w:p>
    <w:p w:rsidR="00866F17" w:rsidRDefault="00866F17">
      <w:pPr>
        <w:pStyle w:val="NormalWeb"/>
        <w:spacing w:before="0" w:after="0"/>
        <w:jc w:val="both"/>
        <w:rPr>
          <w:rFonts w:ascii="Times New Roman" w:hAnsi="Times New Roman" w:cs="Times New Roman"/>
          <w:sz w:val="16"/>
          <w:szCs w:val="16"/>
        </w:rPr>
      </w:pPr>
      <w:r>
        <w:rPr>
          <w:rFonts w:ascii="Times New Roman" w:hAnsi="Times New Roman" w:cs="Times New Roman"/>
          <w:sz w:val="16"/>
          <w:szCs w:val="16"/>
        </w:rPr>
        <w:t>6.3. A utilização de ingrediente e proteína vegetal, que não são usados tradicionalmente como alimento, pode ser autorizada desde que seja comprovada a segurança de uso, em atendimento ao Regulamento Técnico específico.</w:t>
      </w:r>
    </w:p>
    <w:p w:rsidR="00866F17" w:rsidRDefault="00866F17">
      <w:pPr>
        <w:pStyle w:val="Default"/>
        <w:rPr>
          <w:rFonts w:ascii="Times New Roman" w:hAnsi="Times New Roman" w:cs="Times New Roman"/>
          <w:sz w:val="16"/>
          <w:szCs w:val="16"/>
        </w:rPr>
      </w:pPr>
    </w:p>
    <w:sectPr w:rsidR="00866F17" w:rsidSect="00866F17">
      <w:type w:val="continuous"/>
      <w:pgSz w:w="11907" w:h="16840" w:code="9"/>
      <w:pgMar w:top="567" w:right="352" w:bottom="278" w:left="567"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DF01BC"/>
    <w:multiLevelType w:val="multilevel"/>
    <w:tmpl w:val="EE82E669"/>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8B024054"/>
    <w:multiLevelType w:val="multilevel"/>
    <w:tmpl w:val="FFDA72FD"/>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EAFBC3CB"/>
    <w:multiLevelType w:val="multilevel"/>
    <w:tmpl w:val="55FD9ADB"/>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FFFFFF89"/>
    <w:multiLevelType w:val="singleLevel"/>
    <w:tmpl w:val="77600F9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19475EC"/>
    <w:multiLevelType w:val="singleLevel"/>
    <w:tmpl w:val="681A2574"/>
    <w:lvl w:ilvl="0">
      <w:start w:val="7"/>
      <w:numFmt w:val="decimal"/>
      <w:lvlText w:val="%1-"/>
      <w:lvlJc w:val="left"/>
      <w:pPr>
        <w:tabs>
          <w:tab w:val="num" w:pos="360"/>
        </w:tabs>
        <w:ind w:left="360" w:hanging="360"/>
      </w:pPr>
      <w:rPr>
        <w:rFonts w:cs="Times New Roman" w:hint="default"/>
      </w:rPr>
    </w:lvl>
  </w:abstractNum>
  <w:abstractNum w:abstractNumId="5" w15:restartNumberingAfterBreak="0">
    <w:nsid w:val="242B3986"/>
    <w:multiLevelType w:val="multilevel"/>
    <w:tmpl w:val="0560ABC8"/>
    <w:lvl w:ilvl="0">
      <w:start w:val="1"/>
      <w:numFmt w:val="bullet"/>
      <w:lvlText w:val=""/>
      <w:lvlJc w:val="left"/>
      <w:pPr>
        <w:tabs>
          <w:tab w:val="num" w:pos="1116"/>
        </w:tabs>
        <w:ind w:left="1116" w:hanging="216"/>
      </w:pPr>
      <w:rPr>
        <w:rFonts w:ascii="Wingdings" w:hAnsi="Wingdings" w:hint="default"/>
        <w:color w:val="0000FF"/>
        <w:sz w:val="20"/>
      </w:rPr>
    </w:lvl>
    <w:lvl w:ilvl="1">
      <w:start w:val="1"/>
      <w:numFmt w:val="bullet"/>
      <w:lvlText w:val="o"/>
      <w:lvlJc w:val="left"/>
      <w:pPr>
        <w:tabs>
          <w:tab w:val="num" w:pos="1980"/>
        </w:tabs>
        <w:ind w:left="1980" w:hanging="360"/>
      </w:pPr>
      <w:rPr>
        <w:rFonts w:ascii="Courier New" w:hAnsi="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6" w15:restartNumberingAfterBreak="0">
    <w:nsid w:val="27552E99"/>
    <w:multiLevelType w:val="multilevel"/>
    <w:tmpl w:val="DCB49D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C6019A"/>
    <w:multiLevelType w:val="multilevel"/>
    <w:tmpl w:val="1D62590A"/>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15:restartNumberingAfterBreak="0">
    <w:nsid w:val="56F5EFBF"/>
    <w:multiLevelType w:val="multilevel"/>
    <w:tmpl w:val="613BC3DE"/>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3"/>
  </w:num>
  <w:num w:numId="2">
    <w:abstractNumId w:val="3"/>
  </w:num>
  <w:num w:numId="3">
    <w:abstractNumId w:val="8"/>
  </w:num>
  <w:num w:numId="4">
    <w:abstractNumId w:val="7"/>
  </w:num>
  <w:num w:numId="5">
    <w:abstractNumId w:val="1"/>
  </w:num>
  <w:num w:numId="6">
    <w:abstractNumId w:val="3"/>
  </w:num>
  <w:num w:numId="7">
    <w:abstractNumId w:val="5"/>
  </w:num>
  <w:num w:numId="8">
    <w:abstractNumId w:val="6"/>
  </w:num>
  <w:num w:numId="9">
    <w:abstractNumId w:val="4"/>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isplayHorizontalDrawingGridEvery w:val="0"/>
  <w:displayVerticalDrawingGridEvery w:val="0"/>
  <w:doNotUseMarginsForDrawingGridOrigin/>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866F17"/>
    <w:rsid w:val="00866F17"/>
    <w:rsid w:val="00C819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lsdException w:name="List Number"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Indent"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Web 3" w:semiHidden="1"/>
    <w:lsdException w:name="Balloon Text" w:semiHidden="1" w:unhideWhenUsed="1"/>
    <w:lsdException w:name="Table Grid" w:semiHidden="1" w:uiPriority="59"/>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Default"/>
    <w:next w:val="Default"/>
    <w:link w:val="Ttulo1Char"/>
    <w:uiPriority w:val="99"/>
    <w:qFormat/>
    <w:pPr>
      <w:outlineLvl w:val="0"/>
    </w:pPr>
    <w:rPr>
      <w:color w:val="auto"/>
    </w:rPr>
  </w:style>
  <w:style w:type="paragraph" w:styleId="Ttulo2">
    <w:name w:val="heading 2"/>
    <w:basedOn w:val="Normal"/>
    <w:next w:val="Normal"/>
    <w:link w:val="Ttulo2Char"/>
    <w:uiPriority w:val="99"/>
    <w:qFormat/>
    <w:pPr>
      <w:keepNext/>
      <w:ind w:firstLine="567"/>
      <w:jc w:val="center"/>
      <w:outlineLvl w:val="1"/>
    </w:pPr>
    <w:rPr>
      <w:rFonts w:ascii="Arial" w:hAnsi="Arial" w:cs="Arial"/>
      <w:b/>
      <w:bCs/>
      <w:color w:val="008000"/>
    </w:rPr>
  </w:style>
  <w:style w:type="paragraph" w:styleId="Ttulo3">
    <w:name w:val="heading 3"/>
    <w:basedOn w:val="Normal"/>
    <w:next w:val="Normal"/>
    <w:link w:val="Ttulo3Char"/>
    <w:uiPriority w:val="99"/>
    <w:qFormat/>
    <w:pPr>
      <w:keepNext/>
      <w:ind w:firstLine="567"/>
      <w:outlineLvl w:val="2"/>
    </w:pPr>
    <w:rPr>
      <w:rFonts w:ascii="Arial" w:hAnsi="Arial" w:cs="Arial"/>
      <w:b/>
      <w:bCs/>
      <w:color w:val="000000"/>
    </w:rPr>
  </w:style>
  <w:style w:type="paragraph" w:styleId="Ttulo4">
    <w:name w:val="heading 4"/>
    <w:basedOn w:val="Normal"/>
    <w:next w:val="Normal"/>
    <w:link w:val="Ttulo4Char"/>
    <w:uiPriority w:val="99"/>
    <w:qFormat/>
    <w:pPr>
      <w:keepNext/>
      <w:outlineLvl w:val="3"/>
    </w:pPr>
    <w:rPr>
      <w:rFonts w:ascii="Arial" w:hAnsi="Arial" w:cs="Arial"/>
      <w:b/>
      <w:bCs/>
      <w:sz w:val="18"/>
      <w:szCs w:val="18"/>
    </w:rPr>
  </w:style>
  <w:style w:type="paragraph" w:styleId="Ttulo7">
    <w:name w:val="heading 7"/>
    <w:basedOn w:val="Default"/>
    <w:next w:val="Default"/>
    <w:link w:val="Ttulo7Char"/>
    <w:uiPriority w:val="99"/>
    <w:qFormat/>
    <w:pPr>
      <w:outlineLvl w:val="6"/>
    </w:pPr>
    <w:rPr>
      <w:color w:val="auto"/>
    </w:rPr>
  </w:style>
  <w:style w:type="paragraph" w:styleId="Ttulo9">
    <w:name w:val="heading 9"/>
    <w:basedOn w:val="Default"/>
    <w:next w:val="Default"/>
    <w:link w:val="Ttulo9Char"/>
    <w:uiPriority w:val="99"/>
    <w:qFormat/>
    <w:pPr>
      <w:outlineLvl w:val="8"/>
    </w:pPr>
    <w:rPr>
      <w:color w:val="auto"/>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customStyle="1" w:styleId="Default">
    <w:name w:val="Default"/>
    <w:uiPriority w:val="99"/>
    <w:pPr>
      <w:spacing w:after="0" w:line="240" w:lineRule="auto"/>
    </w:pPr>
    <w:rPr>
      <w:rFonts w:ascii="Arial" w:hAnsi="Arial" w:cs="Arial"/>
      <w:color w:val="000000"/>
      <w:sz w:val="24"/>
      <w:szCs w:val="24"/>
    </w:rPr>
  </w:style>
  <w:style w:type="paragraph" w:styleId="Corpodetexto2">
    <w:name w:val="Body Text 2"/>
    <w:basedOn w:val="Normal"/>
    <w:link w:val="Corpodetexto2Char"/>
    <w:uiPriority w:val="99"/>
    <w:pPr>
      <w:jc w:val="both"/>
    </w:pPr>
    <w:rPr>
      <w:rFonts w:ascii="Arial" w:hAnsi="Arial" w:cs="Arial"/>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
    <w:name w:val="Body Text"/>
    <w:basedOn w:val="Default"/>
    <w:next w:val="Default"/>
    <w:link w:val="CorpodetextoChar"/>
    <w:uiPriority w:val="99"/>
    <w:rPr>
      <w:color w:val="auto"/>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NormalWeb">
    <w:name w:val="Normal (Web)"/>
    <w:basedOn w:val="Default"/>
    <w:next w:val="Default"/>
    <w:uiPriority w:val="99"/>
    <w:pPr>
      <w:spacing w:before="100" w:after="100"/>
    </w:pPr>
    <w:rPr>
      <w:color w:val="auto"/>
    </w:rPr>
  </w:style>
  <w:style w:type="paragraph" w:styleId="Corpodetexto3">
    <w:name w:val="Body Text 3"/>
    <w:basedOn w:val="Default"/>
    <w:next w:val="Default"/>
    <w:link w:val="Corpodetexto3Char"/>
    <w:uiPriority w:val="99"/>
    <w:rPr>
      <w:color w:val="auto"/>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ascii="Times New Roman" w:hAnsi="Times New Roman" w:cs="Times New Roman"/>
      <w:sz w:val="20"/>
      <w:szCs w:val="20"/>
    </w:rPr>
  </w:style>
  <w:style w:type="paragraph" w:customStyle="1" w:styleId="Table1">
    <w:name w:val="*Table 1"/>
    <w:basedOn w:val="Default"/>
    <w:next w:val="Default"/>
    <w:uiPriority w:val="99"/>
    <w:pPr>
      <w:spacing w:after="120"/>
    </w:pPr>
    <w:rPr>
      <w:rFonts w:ascii="Times New Roman" w:hAnsi="Times New Roman" w:cs="Times New Roman"/>
      <w:color w:val="auto"/>
    </w:rPr>
  </w:style>
  <w:style w:type="paragraph" w:customStyle="1" w:styleId="Table2">
    <w:name w:val="*Table 2"/>
    <w:basedOn w:val="Default"/>
    <w:next w:val="Default"/>
    <w:uiPriority w:val="99"/>
    <w:rPr>
      <w:rFonts w:ascii="Times New Roman" w:hAnsi="Times New Roman" w:cs="Times New Roman"/>
      <w:color w:val="auto"/>
    </w:rPr>
  </w:style>
  <w:style w:type="paragraph" w:customStyle="1" w:styleId="Title">
    <w:name w:val="*Title"/>
    <w:basedOn w:val="Default"/>
    <w:next w:val="Default"/>
    <w:uiPriority w:val="99"/>
    <w:rPr>
      <w:rFonts w:ascii="Times New Roman" w:hAnsi="Times New Roman" w:cs="Times New Roman"/>
      <w:color w:val="auto"/>
    </w:rPr>
  </w:style>
  <w:style w:type="paragraph" w:customStyle="1" w:styleId="11subclause">
    <w:name w:val="*1.(1) subclause"/>
    <w:basedOn w:val="Default"/>
    <w:next w:val="Default"/>
    <w:uiPriority w:val="99"/>
    <w:rPr>
      <w:rFonts w:ascii="Times New Roman" w:hAnsi="Times New Roman" w:cs="Times New Roman"/>
      <w:color w:val="auto"/>
    </w:rPr>
  </w:style>
  <w:style w:type="paragraph" w:styleId="Commarcadores">
    <w:name w:val="List Bullet"/>
    <w:basedOn w:val="Normal"/>
    <w:autoRedefine/>
    <w:uiPriority w:val="99"/>
    <w:pPr>
      <w:numPr>
        <w:numId w:val="5"/>
      </w:numPr>
      <w:ind w:left="360" w:hanging="360"/>
    </w:pPr>
    <w:rPr>
      <w:rFonts w:ascii="Arial" w:hAnsi="Arial" w:cs="Arial"/>
    </w:rPr>
  </w:style>
  <w:style w:type="paragraph" w:styleId="Lista">
    <w:name w:val="List"/>
    <w:basedOn w:val="Normal"/>
    <w:uiPriority w:val="99"/>
    <w:pPr>
      <w:ind w:left="283" w:hanging="283"/>
    </w:pPr>
    <w:rPr>
      <w:rFonts w:ascii="Arial" w:hAnsi="Arial" w:cs="Arial"/>
    </w:rPr>
  </w:style>
  <w:style w:type="paragraph" w:styleId="Lista2">
    <w:name w:val="List 2"/>
    <w:basedOn w:val="Normal"/>
    <w:uiPriority w:val="99"/>
    <w:pPr>
      <w:ind w:left="566" w:hanging="283"/>
    </w:pPr>
    <w:rPr>
      <w:rFonts w:ascii="Arial" w:hAnsi="Arial" w:cs="Arial"/>
    </w:rPr>
  </w:style>
  <w:style w:type="paragraph" w:styleId="Listadecontinuao">
    <w:name w:val="List Continue"/>
    <w:basedOn w:val="Normal"/>
    <w:uiPriority w:val="99"/>
    <w:pPr>
      <w:spacing w:after="120"/>
      <w:ind w:left="283"/>
    </w:pPr>
    <w:rPr>
      <w:rFonts w:ascii="Arial" w:hAnsi="Arial" w:cs="Arial"/>
    </w:rPr>
  </w:style>
  <w:style w:type="paragraph" w:styleId="Recuodecorpodetexto2">
    <w:name w:val="Body Text Indent 2"/>
    <w:basedOn w:val="Normal"/>
    <w:link w:val="Recuodecorpodetexto2Char"/>
    <w:uiPriority w:val="99"/>
    <w:pPr>
      <w:ind w:firstLine="567"/>
      <w:jc w:val="both"/>
    </w:pPr>
    <w:rPr>
      <w:rFonts w:ascii="Arial" w:hAnsi="Arial" w:cs="Arial"/>
      <w:strike/>
      <w:color w:val="000000"/>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ind w:firstLine="567"/>
      <w:jc w:val="both"/>
    </w:pPr>
    <w:rPr>
      <w:rFonts w:ascii="Arial" w:hAnsi="Arial" w:cs="Arial"/>
      <w:strike/>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customStyle="1" w:styleId="DefinitionTerm">
    <w:name w:val="Definition Term"/>
    <w:basedOn w:val="Default"/>
    <w:next w:val="Default"/>
    <w:uiPriority w:val="99"/>
    <w:rPr>
      <w:color w:val="auto"/>
    </w:rPr>
  </w:style>
  <w:style w:type="paragraph" w:styleId="Ttulo">
    <w:name w:val="Title"/>
    <w:basedOn w:val="Normal"/>
    <w:link w:val="TtuloChar"/>
    <w:uiPriority w:val="99"/>
    <w:qFormat/>
    <w:pPr>
      <w:ind w:firstLine="567"/>
      <w:jc w:val="center"/>
    </w:pPr>
    <w:rPr>
      <w:rFonts w:ascii="Arial" w:hAnsi="Arial" w:cs="Arial"/>
      <w:b/>
      <w:bCs/>
      <w:color w:val="000000"/>
      <w:sz w:val="24"/>
      <w:szCs w:val="24"/>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1558</Words>
  <Characters>8415</Characters>
  <Application>Microsoft Office Word</Application>
  <DocSecurity>0</DocSecurity>
  <Lines>70</Lines>
  <Paragraphs>19</Paragraphs>
  <ScaleCrop>false</ScaleCrop>
  <Company>Fundaçao de Ciencia e Tecnologia</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Pública nº 86, de 13 de dezembro de 2004</dc:title>
  <dc:subject/>
  <dc:creator>Lina</dc:creator>
  <cp:keywords/>
  <dc:description/>
  <cp:lastModifiedBy>Julia de Souza Ferreira</cp:lastModifiedBy>
  <cp:revision>2</cp:revision>
  <cp:lastPrinted>2005-09-22T16:02:00Z</cp:lastPrinted>
  <dcterms:created xsi:type="dcterms:W3CDTF">2018-11-27T16:06:00Z</dcterms:created>
  <dcterms:modified xsi:type="dcterms:W3CDTF">2018-11-27T16:06:00Z</dcterms:modified>
</cp:coreProperties>
</file>