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1EF" w:rsidRDefault="008861EF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>
        <w:rPr>
          <w:rFonts w:ascii="Times New Roman" w:hAnsi="Times New Roman" w:cs="Times New Roman"/>
          <w:sz w:val="16"/>
          <w:szCs w:val="16"/>
        </w:rPr>
        <w:t>Resolução de Diretoria Colegiada – RDC nº 27, de 28 de março de 2000.</w:t>
      </w:r>
    </w:p>
    <w:p w:rsidR="008861EF" w:rsidRDefault="008861EF">
      <w:pPr>
        <w:rPr>
          <w:rFonts w:ascii="Times New Roman" w:hAnsi="Times New Roman" w:cs="Times New Roman"/>
          <w:sz w:val="16"/>
          <w:szCs w:val="16"/>
        </w:rPr>
      </w:pPr>
    </w:p>
    <w:p w:rsidR="008861EF" w:rsidRDefault="008861EF">
      <w:pPr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fldChar w:fldCharType="begin"/>
      </w:r>
      <w:r>
        <w:rPr>
          <w:rFonts w:ascii="Times New Roman" w:hAnsi="Times New Roman" w:cs="Times New Roman"/>
          <w:sz w:val="16"/>
          <w:szCs w:val="16"/>
        </w:rPr>
        <w:instrText>PRIVATE</w:instrText>
      </w:r>
      <w:r w:rsidR="00B419AB"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  <w:fldChar w:fldCharType="end"/>
      </w:r>
      <w:r>
        <w:rPr>
          <w:rFonts w:ascii="Times New Roman" w:hAnsi="Times New Roman" w:cs="Times New Roman"/>
          <w:sz w:val="16"/>
          <w:szCs w:val="16"/>
        </w:rPr>
        <w:t>A Diretoria Colegiada da Agência Nacional de Vigilância Sanitária no uso da atribuição que lhe confere o art. 11, inciso IV, do Regulamento da ANVS aprovado pelo Decreto 3.029, de 16 de abril de 1999, em reunião realizada em 22 de março de 2000,</w:t>
      </w: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considerando a necessidade de constante aperfeiçoamento das ações de controle sanitário na área de alimentos, visando a proteção à saúde da população; </w:t>
      </w: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a necessidade de segurança de uso tecnológico de aditivos alimentares na fabricação de alimentos;</w:t>
      </w: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que os aditivos em questão estão permitidos na legislação brasileira na função pleiteada para outros tipos de alimentos;</w:t>
      </w: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que existe justificativa tecnológica para a  função conservador em xarope de glicose;</w:t>
      </w: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que foram avaliados toxicologicamente pelo JECFA, em 1986, que estabeleceu uma IDA numérica de grupo de 0,7 mg/kg p.c.;</w:t>
      </w: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 que o uso dos aditivos deve ser limitado a alimentos específicos, em condições específicas e ao menor nível para alcançar o efeito desejado;</w:t>
      </w: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que constam da lista geral do MERCOSUL;</w:t>
      </w: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considerando que fazem parte da lista de aditivos permitidos para alimentos na Comunidade Européia (Diretiva 94/34/EC) e </w:t>
      </w: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 que o estabelecimento de limites máximos de aditivos em xarope de glicose  deve se limitar a produtos prontos para o consumo,  já que a quantidade do aditivo na  matéria prima para uso industrial  será determinada  em função da quantidade de xarope  que será adicionado no produto a ser oferecido ao consumidor, bem como do limite máximo permitido de dióxido de enxofre e sulfitos no produto,</w:t>
      </w: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8861EF" w:rsidRDefault="008861EF">
      <w:pPr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adota a seguinte Resolução de Diretoria Colegiada e eu, Diretor-Presidente, determino a sua publicação:</w:t>
      </w: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8861EF" w:rsidRDefault="008861EF">
      <w:pPr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1º  Aprovar a EXTENSÃO DE USO DOS ADITIVOS DIÓXIDO DE ENXOFRE E SEUS SAIS DE CÁLCIO, SÓDIO E POTÁSSIO, NA FUNÇÃO DE CONSERVADOR PARA XAROPE DE GLICOSE de acordo com a tabela abaixo:</w:t>
      </w:r>
    </w:p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977"/>
        <w:gridCol w:w="2976"/>
      </w:tblGrid>
      <w:tr w:rsidR="008861E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8861EF" w:rsidRDefault="008861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INS</w:t>
            </w:r>
          </w:p>
        </w:tc>
        <w:tc>
          <w:tcPr>
            <w:tcW w:w="2977" w:type="dxa"/>
          </w:tcPr>
          <w:p w:rsidR="008861EF" w:rsidRDefault="008861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ADITIVO</w:t>
            </w:r>
          </w:p>
        </w:tc>
        <w:tc>
          <w:tcPr>
            <w:tcW w:w="2976" w:type="dxa"/>
          </w:tcPr>
          <w:p w:rsidR="008861EF" w:rsidRDefault="008861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Limite Máximo g/100g</w:t>
            </w:r>
          </w:p>
        </w:tc>
      </w:tr>
      <w:tr w:rsidR="008861E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220 </w:t>
            </w:r>
          </w:p>
        </w:tc>
        <w:tc>
          <w:tcPr>
            <w:tcW w:w="2977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Dióxido de enxofre </w:t>
            </w:r>
          </w:p>
        </w:tc>
        <w:tc>
          <w:tcPr>
            <w:tcW w:w="2976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0,004 (como SO</w:t>
            </w:r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8861E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221 </w:t>
            </w:r>
          </w:p>
        </w:tc>
        <w:tc>
          <w:tcPr>
            <w:tcW w:w="2977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Sulfito de sódio </w:t>
            </w:r>
          </w:p>
        </w:tc>
        <w:tc>
          <w:tcPr>
            <w:tcW w:w="2976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0,004 (como SO</w:t>
            </w:r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8861E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222 </w:t>
            </w:r>
          </w:p>
        </w:tc>
        <w:tc>
          <w:tcPr>
            <w:tcW w:w="2977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Bissulfito de sódio </w:t>
            </w:r>
          </w:p>
        </w:tc>
        <w:tc>
          <w:tcPr>
            <w:tcW w:w="2976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0,004 (como SO</w:t>
            </w:r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8861E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223 </w:t>
            </w:r>
          </w:p>
        </w:tc>
        <w:tc>
          <w:tcPr>
            <w:tcW w:w="2977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Metabissulfito de sódio </w:t>
            </w:r>
          </w:p>
        </w:tc>
        <w:tc>
          <w:tcPr>
            <w:tcW w:w="2976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0,004 (como SO</w:t>
            </w:r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8861E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224 </w:t>
            </w:r>
          </w:p>
        </w:tc>
        <w:tc>
          <w:tcPr>
            <w:tcW w:w="2977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Metabissulfito de potássio </w:t>
            </w:r>
          </w:p>
        </w:tc>
        <w:tc>
          <w:tcPr>
            <w:tcW w:w="2976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0,004 (como SO</w:t>
            </w:r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8861E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225 </w:t>
            </w:r>
          </w:p>
        </w:tc>
        <w:tc>
          <w:tcPr>
            <w:tcW w:w="2977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Sulfito de potássio </w:t>
            </w:r>
          </w:p>
        </w:tc>
        <w:tc>
          <w:tcPr>
            <w:tcW w:w="2976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0,004 (como SO</w:t>
            </w:r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8861E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226 </w:t>
            </w:r>
          </w:p>
        </w:tc>
        <w:tc>
          <w:tcPr>
            <w:tcW w:w="2977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Sulfito de cálcio </w:t>
            </w:r>
          </w:p>
        </w:tc>
        <w:tc>
          <w:tcPr>
            <w:tcW w:w="2976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0,004 (como SO</w:t>
            </w:r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8861E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227 </w:t>
            </w:r>
          </w:p>
        </w:tc>
        <w:tc>
          <w:tcPr>
            <w:tcW w:w="2977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Bissulfito de cálcio, sulfito ácido de cálcio </w:t>
            </w:r>
          </w:p>
        </w:tc>
        <w:tc>
          <w:tcPr>
            <w:tcW w:w="2976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0,004 (como SO</w:t>
            </w:r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8861E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228 </w:t>
            </w:r>
          </w:p>
        </w:tc>
        <w:tc>
          <w:tcPr>
            <w:tcW w:w="2977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Bissulfito de potássio </w:t>
            </w:r>
          </w:p>
        </w:tc>
        <w:tc>
          <w:tcPr>
            <w:tcW w:w="2976" w:type="dxa"/>
          </w:tcPr>
          <w:p w:rsidR="008861EF" w:rsidRDefault="00886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0,004 (como SO</w:t>
            </w:r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:rsidR="008861EF" w:rsidRDefault="008861E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8861EF" w:rsidRDefault="008861EF">
      <w:pPr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2º Esta Resolução de Diretoria Colegiada  entrará em vigor da data da sua publicação.</w:t>
      </w:r>
    </w:p>
    <w:p w:rsidR="008861EF" w:rsidRDefault="008861EF">
      <w:pPr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8861EF" w:rsidRDefault="008861EF">
      <w:pPr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8861EF" w:rsidRDefault="008861EF">
      <w:pPr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8861EF" w:rsidRDefault="008861EF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GONZALO VECINA NETO</w:t>
      </w:r>
    </w:p>
    <w:sectPr w:rsidR="008861EF" w:rsidSect="008861EF">
      <w:pgSz w:w="11907" w:h="16840" w:code="9"/>
      <w:pgMar w:top="567" w:right="352" w:bottom="278" w:left="567" w:header="0" w:footer="0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83E5F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54C30278"/>
    <w:multiLevelType w:val="singleLevel"/>
    <w:tmpl w:val="BFBAE838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70C80B9A"/>
    <w:multiLevelType w:val="singleLevel"/>
    <w:tmpl w:val="81BECB08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419AB"/>
    <w:rsid w:val="008861EF"/>
    <w:rsid w:val="00B419AB"/>
    <w:rsid w:val="00E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2">
    <w:name w:val="List 2"/>
    <w:basedOn w:val="Normal"/>
    <w:uiPriority w:val="99"/>
    <w:pPr>
      <w:ind w:left="566" w:hanging="283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2174</Characters>
  <Application>Microsoft Office Word</Application>
  <DocSecurity>0</DocSecurity>
  <Lines>18</Lines>
  <Paragraphs>5</Paragraphs>
  <ScaleCrop>false</ScaleCrop>
  <Company>ANVS/MS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Diretoria Colegiada da Agência Nacional de Vigilância Sanitária no uso da atribuição que lhe confere o art</dc:title>
  <dc:subject/>
  <dc:creator>ANVS/MS</dc:creator>
  <cp:keywords/>
  <dc:description/>
  <cp:lastModifiedBy>Julia de Souza Ferreira</cp:lastModifiedBy>
  <cp:revision>2</cp:revision>
  <cp:lastPrinted>2000-03-29T17:33:00Z</cp:lastPrinted>
  <dcterms:created xsi:type="dcterms:W3CDTF">2018-11-27T16:07:00Z</dcterms:created>
  <dcterms:modified xsi:type="dcterms:W3CDTF">2018-11-27T16:07:00Z</dcterms:modified>
</cp:coreProperties>
</file>