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1D" w:rsidRPr="00656324" w:rsidRDefault="00E4751D" w:rsidP="00656324">
      <w:pPr>
        <w:spacing w:before="120" w:after="120" w:line="240" w:lineRule="auto"/>
        <w:ind w:left="-284" w:right="-568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656324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290, DE 4 DE JUNHO DE 2019</w:t>
      </w:r>
    </w:p>
    <w:p w:rsidR="00656324" w:rsidRPr="00656324" w:rsidRDefault="00656324" w:rsidP="00656324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>(Publicada no DOU nº 107, de 5 de junho de 2019)</w:t>
      </w:r>
    </w:p>
    <w:p w:rsidR="00E4751D" w:rsidRPr="00656324" w:rsidRDefault="00E4751D" w:rsidP="00E4751D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Altera o art. 8º e o art. 9º da Resolução da Diretoria Colegiada - RDC nº 35, de 15 de junho de 2012. 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557C58" w:rsidRDefault="00557C58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656324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656324">
        <w:rPr>
          <w:rFonts w:ascii="Times New Roman" w:hAnsi="Times New Roman"/>
          <w:sz w:val="24"/>
          <w:szCs w:val="24"/>
          <w:lang w:eastAsia="pt-BR"/>
        </w:rPr>
        <w:t>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28 de maio de 2019, e eu, Diretor-Presidente, determino a sua publicação.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 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Art. 1º O art. 8º da Resolução da Diretoria Colegiada - RDC nº 35, de 15 de junho de 2012, que dispõe sobre o estabelecimento dos procedimentos necessários para aquisição de medicamentos de referência indisponíveis para comercialização em território nacional. passa a vigorar com a seguinte redação: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 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"Art. 8º Para a realização das provas de equivalência farmacêutica e bioequivalência/ biodisponibilidade relativa, os medicamentos de referência deverão ser adquiridos em território nacional, salvo se forem atendidos os requisitos do art 9º, garantindo-se sua identificação através de notas fiscais que discriminem o número de lote e outras formas de controle." (NR)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Art. 2º O art. 9º da Resolução da Diretoria Colegiada - RDC nº 35, de 2012, passa a vigorar com a seguinte redação: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“Art. 9º As empresas detentoras do registro de medicamentos de referência que não estejam disponíveis no mercado nacional deverão disponibilizá-los para aquisição pelos interessados por meio de um distribuidor/estabelecimento comercial autorizado.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§ 1º Os interessados referidos no caput deste artigo consistem em empresas interessadas no desenvolvimento e/ou em alterações pós registro de medicamentos genéricos, similares ou inovadores, bem como centros de equivalência farmacêutica e centros de bioequivalência/biodisponibilidade relativa certificados para a realização dos estudos.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§ 2º A ausência do medicamento de referência no mercado nacional ou a impossibilidade de aquisição junto à empresa detentora do registro, deverá ser comunicada à Anvisa pelo interessado por meio de petição específica a ser encaminhada eletronicamente.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557C58" w:rsidRDefault="00557C58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557C58" w:rsidRDefault="00557C58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lastRenderedPageBreak/>
        <w:t>§ 3º A petição tratada no § 2º deverá conter o comunicado formal da empresa detentora do registro quanto à indisponibilidade do medicamento de referência no mercado nacional, ou outra evidência de indisponibilidade, e deverá indicar a quantidade de medicamento do mesmo lote que o interessado pretende adquirir.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§ 4º A comunicação tratada no § 2º será respondida com as informações sobre a aquisição do medicamento de referência, com a respectiva autorização para aquisição em território internacional, quando for o caso.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§ 5º Em até 30 (trinta) dias após a petição tratada no § 2º, a Anvisa, por meio de ofício eletrônico, notificará a empresa detentora do registro do medicamento de referência para que se manifeste, no prazo de até 30 (trinta) dias corridos por meio de petição especifica, sobre a comercialização do produto em questão, conforme segue: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I - informar se o medicamento de referência está disponível no mercado nacional, internacional ou não está disponível;</w:t>
      </w:r>
    </w:p>
    <w:p w:rsidR="00BE216A" w:rsidRPr="00656324" w:rsidRDefault="00BE216A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II – informar os locais em que o medicamento está disponível no mercado nacional na quantidade indicada do mesmo lote para aquisição pelos interessados, ou;</w:t>
      </w:r>
    </w:p>
    <w:p w:rsidR="00BE216A" w:rsidRPr="00656324" w:rsidRDefault="00BE216A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E216A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III – informar os locais em que o medicamento está disponível no mercado internacional na quantidade indicada do mesmo lote para aquisição pelos interessados e que se trata do mesmo produto registrado no território nacional; 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 xml:space="preserve">   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IV - na indisponibilidade do medicamento de referência em estoque nacional e internacional, apresentar justificativa e cronograma de reestabelecimento de sua comercialização.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§ 6º A indisponibilidade do medicamento de referência nos mercados nacional e internacional, mesmo após realizados os procedimentos previstos neste artigo, ensejará a possibilidade de eleição, pela Anvisa, em até 90 (noventa) dias após a comunicação formal pelo interessado, de um medicamento de referência substituto nos termos da legislação vigente.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§ 7º O medicamento inovador que comprovadamente retomar sua comercialização poderá retornar para a Lista de Medicamentos de Referência.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§ 8º Casos não previstos nos parágrafos anteriores poderão ser discutidos com a Anvisa.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 </w:t>
      </w:r>
    </w:p>
    <w:p w:rsidR="00E4751D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Art 9º-A A Anvisa concederá prioridade de análise para a(s) petição(ões) de alteração pós-registro que aguarda(m) análise e que esteja(m) motivando a indisponibilidade do medicamento de referência no mercado nacional.</w:t>
      </w:r>
    </w:p>
    <w:p w:rsidR="00423638" w:rsidRPr="00656324" w:rsidRDefault="00423638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lastRenderedPageBreak/>
        <w:t>Parágrafo único. Após a aprovação da petição de alteração pós registro, a empresa detentora do registro do medicamento de referência terá até 180 (cento e oitenta) dias para informar à Anvisa onde o medicamento de referência se encontra disponível na quantidade indicada do mesmo lote para aquisição pela empresa interessada." (NR)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 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Art. 3º Esta Resolução entra em vigor na data de sua publicação.</w:t>
      </w:r>
    </w:p>
    <w:p w:rsidR="00E4751D" w:rsidRPr="00656324" w:rsidRDefault="00E4751D" w:rsidP="00E4751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656324">
        <w:rPr>
          <w:rFonts w:ascii="Times New Roman" w:hAnsi="Times New Roman"/>
          <w:sz w:val="24"/>
          <w:szCs w:val="24"/>
          <w:lang w:eastAsia="pt-BR"/>
        </w:rPr>
        <w:t> </w:t>
      </w:r>
    </w:p>
    <w:p w:rsidR="00E4751D" w:rsidRPr="001E53AA" w:rsidRDefault="00E4751D" w:rsidP="00E4751D">
      <w:pPr>
        <w:spacing w:before="120" w:after="120" w:line="240" w:lineRule="auto"/>
        <w:ind w:left="120"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E53AA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:rsidR="006B7BB9" w:rsidRPr="00656324" w:rsidRDefault="006B7BB9">
      <w:pPr>
        <w:rPr>
          <w:rFonts w:ascii="Times New Roman" w:hAnsi="Times New Roman"/>
          <w:sz w:val="24"/>
          <w:szCs w:val="24"/>
        </w:rPr>
      </w:pPr>
    </w:p>
    <w:sectPr w:rsidR="006B7BB9" w:rsidRPr="006563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782" w:rsidRDefault="00104782" w:rsidP="00656324">
      <w:pPr>
        <w:spacing w:after="0" w:line="240" w:lineRule="auto"/>
      </w:pPr>
      <w:r>
        <w:separator/>
      </w:r>
    </w:p>
  </w:endnote>
  <w:endnote w:type="continuationSeparator" w:id="0">
    <w:p w:rsidR="00104782" w:rsidRDefault="00104782" w:rsidP="0065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045" w:rsidRDefault="00C260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324" w:rsidRDefault="00656324" w:rsidP="00656324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656324" w:rsidRDefault="0065632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045" w:rsidRDefault="00C260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782" w:rsidRDefault="00104782" w:rsidP="00656324">
      <w:pPr>
        <w:spacing w:after="0" w:line="240" w:lineRule="auto"/>
      </w:pPr>
      <w:r>
        <w:separator/>
      </w:r>
    </w:p>
  </w:footnote>
  <w:footnote w:type="continuationSeparator" w:id="0">
    <w:p w:rsidR="00104782" w:rsidRDefault="00104782" w:rsidP="00656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045" w:rsidRDefault="00C260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324" w:rsidRPr="0018049F" w:rsidRDefault="00104782" w:rsidP="0065632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612614">
      <w:rPr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6324" w:rsidRPr="0018049F" w:rsidRDefault="00656324" w:rsidP="0065632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656324" w:rsidRDefault="00656324" w:rsidP="0065632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656324" w:rsidRDefault="00656324" w:rsidP="0065632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045" w:rsidRDefault="00C260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751D"/>
    <w:rsid w:val="00104782"/>
    <w:rsid w:val="001644A8"/>
    <w:rsid w:val="0018049F"/>
    <w:rsid w:val="001E53AA"/>
    <w:rsid w:val="00423638"/>
    <w:rsid w:val="00557C58"/>
    <w:rsid w:val="00612614"/>
    <w:rsid w:val="00656324"/>
    <w:rsid w:val="006B7BB9"/>
    <w:rsid w:val="00BE216A"/>
    <w:rsid w:val="00C02D9F"/>
    <w:rsid w:val="00C26045"/>
    <w:rsid w:val="00E4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D59B4300-5646-43B9-BB0F-36A15736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E4751D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E4751D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E4751D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E4751D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751D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4751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6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5632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56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56324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656324"/>
    <w:pPr>
      <w:ind w:left="720"/>
      <w:contextualSpacing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6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60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9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292C-A01E-45CB-B81C-52BE6977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Paulo Jose Goncalves Ferreira</cp:lastModifiedBy>
  <cp:revision>2</cp:revision>
  <dcterms:created xsi:type="dcterms:W3CDTF">2019-08-01T13:12:00Z</dcterms:created>
  <dcterms:modified xsi:type="dcterms:W3CDTF">2019-08-01T13:12:00Z</dcterms:modified>
</cp:coreProperties>
</file>