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2AEAA" w14:textId="03A0EB15" w:rsidR="00E4751D" w:rsidRPr="00AB6156" w:rsidRDefault="00E4751D" w:rsidP="00AB6156">
      <w:pPr>
        <w:spacing w:after="200" w:line="240" w:lineRule="auto"/>
        <w:ind w:left="-284" w:right="-568"/>
        <w:jc w:val="center"/>
        <w:rPr>
          <w:rFonts w:ascii="Times New Roman" w:hAnsi="Times New Roman"/>
          <w:b/>
          <w:bCs/>
          <w:sz w:val="24"/>
          <w:szCs w:val="24"/>
          <w:lang w:eastAsia="pt-BR"/>
        </w:rPr>
      </w:pPr>
      <w:r w:rsidRPr="00AB6156">
        <w:rPr>
          <w:rFonts w:ascii="Times New Roman" w:hAnsi="Times New Roman"/>
          <w:b/>
          <w:bCs/>
          <w:sz w:val="24"/>
          <w:szCs w:val="24"/>
          <w:lang w:eastAsia="pt-BR"/>
        </w:rPr>
        <w:t>RESOLUÇÃO</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DA</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DIRETORIA</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COLEGIADA</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RDC</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Nº</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29</w:t>
      </w:r>
      <w:r w:rsidR="00944228">
        <w:rPr>
          <w:rFonts w:ascii="Times New Roman" w:hAnsi="Times New Roman"/>
          <w:b/>
          <w:bCs/>
          <w:sz w:val="24"/>
          <w:szCs w:val="24"/>
          <w:lang w:eastAsia="pt-BR"/>
        </w:rPr>
        <w:t>5</w:t>
      </w:r>
      <w:bookmarkStart w:id="0" w:name="_GoBack"/>
      <w:bookmarkEnd w:id="0"/>
      <w:r w:rsidRPr="00AB6156">
        <w:rPr>
          <w:rFonts w:ascii="Times New Roman" w:hAnsi="Times New Roman"/>
          <w:b/>
          <w:bCs/>
          <w:sz w:val="24"/>
          <w:szCs w:val="24"/>
          <w:lang w:eastAsia="pt-BR"/>
        </w:rPr>
        <w:t>,</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DE</w:t>
      </w:r>
      <w:r w:rsidR="00AF49B1" w:rsidRPr="00AB6156">
        <w:rPr>
          <w:rFonts w:ascii="Times New Roman" w:hAnsi="Times New Roman"/>
          <w:b/>
          <w:bCs/>
          <w:sz w:val="24"/>
          <w:szCs w:val="24"/>
          <w:lang w:eastAsia="pt-BR"/>
        </w:rPr>
        <w:t xml:space="preserve"> </w:t>
      </w:r>
      <w:r w:rsidR="00ED396C" w:rsidRPr="00AB6156">
        <w:rPr>
          <w:rFonts w:ascii="Times New Roman" w:hAnsi="Times New Roman"/>
          <w:b/>
          <w:bCs/>
          <w:sz w:val="24"/>
          <w:szCs w:val="24"/>
          <w:lang w:eastAsia="pt-BR"/>
        </w:rPr>
        <w:t>29</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DE</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JU</w:t>
      </w:r>
      <w:r w:rsidR="00ED396C" w:rsidRPr="00AB6156">
        <w:rPr>
          <w:rFonts w:ascii="Times New Roman" w:hAnsi="Times New Roman"/>
          <w:b/>
          <w:bCs/>
          <w:sz w:val="24"/>
          <w:szCs w:val="24"/>
          <w:lang w:eastAsia="pt-BR"/>
        </w:rPr>
        <w:t>L</w:t>
      </w:r>
      <w:r w:rsidRPr="00AB6156">
        <w:rPr>
          <w:rFonts w:ascii="Times New Roman" w:hAnsi="Times New Roman"/>
          <w:b/>
          <w:bCs/>
          <w:sz w:val="24"/>
          <w:szCs w:val="24"/>
          <w:lang w:eastAsia="pt-BR"/>
        </w:rPr>
        <w:t>HO</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DE</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2019</w:t>
      </w:r>
    </w:p>
    <w:p w14:paraId="4C737E05" w14:textId="2C91B7FF" w:rsidR="00656324" w:rsidRPr="00AB6156" w:rsidRDefault="00656324" w:rsidP="00AB6156">
      <w:pPr>
        <w:autoSpaceDE w:val="0"/>
        <w:autoSpaceDN w:val="0"/>
        <w:adjustRightInd w:val="0"/>
        <w:spacing w:after="200" w:line="240" w:lineRule="auto"/>
        <w:ind w:left="-567" w:right="-568"/>
        <w:jc w:val="center"/>
        <w:rPr>
          <w:rFonts w:ascii="Times New Roman" w:hAnsi="Times New Roman"/>
          <w:b/>
          <w:bCs/>
          <w:color w:val="0000FF"/>
          <w:sz w:val="24"/>
          <w:szCs w:val="24"/>
        </w:rPr>
      </w:pPr>
      <w:r w:rsidRPr="00AB6156">
        <w:rPr>
          <w:rFonts w:ascii="Times New Roman" w:hAnsi="Times New Roman"/>
          <w:b/>
          <w:bCs/>
          <w:color w:val="0000FF"/>
          <w:sz w:val="24"/>
          <w:szCs w:val="24"/>
        </w:rPr>
        <w:t>(Publicada</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no</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DOU</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nº</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1</w:t>
      </w:r>
      <w:r w:rsidR="00EB45B4" w:rsidRPr="00AB6156">
        <w:rPr>
          <w:rFonts w:ascii="Times New Roman" w:hAnsi="Times New Roman"/>
          <w:b/>
          <w:bCs/>
          <w:color w:val="0000FF"/>
          <w:sz w:val="24"/>
          <w:szCs w:val="24"/>
        </w:rPr>
        <w:t>46</w:t>
      </w:r>
      <w:r w:rsidRPr="00AB6156">
        <w:rPr>
          <w:rFonts w:ascii="Times New Roman" w:hAnsi="Times New Roman"/>
          <w:b/>
          <w:bCs/>
          <w:color w:val="0000FF"/>
          <w:sz w:val="24"/>
          <w:szCs w:val="24"/>
        </w:rPr>
        <w:t>,</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de</w:t>
      </w:r>
      <w:r w:rsidR="00AF49B1" w:rsidRPr="00AB6156">
        <w:rPr>
          <w:rFonts w:ascii="Times New Roman" w:hAnsi="Times New Roman"/>
          <w:b/>
          <w:bCs/>
          <w:color w:val="0000FF"/>
          <w:sz w:val="24"/>
          <w:szCs w:val="24"/>
        </w:rPr>
        <w:t xml:space="preserve"> </w:t>
      </w:r>
      <w:r w:rsidR="00EB45B4" w:rsidRPr="00AB6156">
        <w:rPr>
          <w:rFonts w:ascii="Times New Roman" w:hAnsi="Times New Roman"/>
          <w:b/>
          <w:bCs/>
          <w:color w:val="0000FF"/>
          <w:sz w:val="24"/>
          <w:szCs w:val="24"/>
        </w:rPr>
        <w:t>31</w:t>
      </w:r>
      <w:r w:rsidR="00AF49B1" w:rsidRPr="00AB6156">
        <w:rPr>
          <w:rFonts w:ascii="Times New Roman" w:hAnsi="Times New Roman"/>
          <w:b/>
          <w:bCs/>
          <w:color w:val="0000FF"/>
          <w:sz w:val="24"/>
          <w:szCs w:val="24"/>
        </w:rPr>
        <w:t xml:space="preserve"> </w:t>
      </w:r>
      <w:r w:rsidR="00EB45B4" w:rsidRPr="00AB6156">
        <w:rPr>
          <w:rFonts w:ascii="Times New Roman" w:hAnsi="Times New Roman"/>
          <w:b/>
          <w:bCs/>
          <w:color w:val="0000FF"/>
          <w:sz w:val="24"/>
          <w:szCs w:val="24"/>
        </w:rPr>
        <w:t>de</w:t>
      </w:r>
      <w:r w:rsidR="00AF49B1" w:rsidRPr="00AB6156">
        <w:rPr>
          <w:rFonts w:ascii="Times New Roman" w:hAnsi="Times New Roman"/>
          <w:b/>
          <w:bCs/>
          <w:color w:val="0000FF"/>
          <w:sz w:val="24"/>
          <w:szCs w:val="24"/>
        </w:rPr>
        <w:t xml:space="preserve"> </w:t>
      </w:r>
      <w:r w:rsidR="00EB45B4" w:rsidRPr="00AB6156">
        <w:rPr>
          <w:rFonts w:ascii="Times New Roman" w:hAnsi="Times New Roman"/>
          <w:b/>
          <w:bCs/>
          <w:color w:val="0000FF"/>
          <w:sz w:val="24"/>
          <w:szCs w:val="24"/>
        </w:rPr>
        <w:t>julho</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de</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2019)</w:t>
      </w:r>
    </w:p>
    <w:p w14:paraId="12D15A5A" w14:textId="7B37D995" w:rsidR="00AB6156" w:rsidRDefault="0013430F" w:rsidP="00AB6156">
      <w:pPr>
        <w:spacing w:after="200" w:line="240" w:lineRule="auto"/>
        <w:ind w:left="5103"/>
        <w:jc w:val="both"/>
        <w:rPr>
          <w:rFonts w:ascii="Times New Roman" w:hAnsi="Times New Roman"/>
          <w:sz w:val="24"/>
          <w:szCs w:val="24"/>
        </w:rPr>
      </w:pPr>
      <w:r w:rsidRPr="00AB6156">
        <w:rPr>
          <w:rFonts w:ascii="Times New Roman" w:hAnsi="Times New Roman"/>
          <w:sz w:val="24"/>
          <w:szCs w:val="24"/>
        </w:rPr>
        <w:t>Dispõe sobre os critérios para avaliação do risco dietético decorrente da exposição humana a resíduos de agrotóxicos, no âmbito da Anvisa, e dá outras providências.</w:t>
      </w:r>
    </w:p>
    <w:p w14:paraId="40F87B9F"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 Diretoria Colegiada da Agência Nacional de Vigilância Sanitária, no uso da atribuição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23 de julho de 2019, e eu, Diretor-Presidente, determino a sua publicação.</w:t>
      </w:r>
    </w:p>
    <w:p w14:paraId="72F4332B" w14:textId="1DAE40CB"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CAPÍTULO I</w:t>
      </w:r>
    </w:p>
    <w:p w14:paraId="268DFF00" w14:textId="7777777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DAS DISPOSIÇÕES INICIAIS</w:t>
      </w:r>
    </w:p>
    <w:p w14:paraId="0AB300CE"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1</w:t>
      </w:r>
      <w:proofErr w:type="gramStart"/>
      <w:r w:rsidRPr="00AB6156">
        <w:rPr>
          <w:rFonts w:ascii="Times New Roman" w:hAnsi="Times New Roman"/>
          <w:sz w:val="24"/>
          <w:szCs w:val="24"/>
        </w:rPr>
        <w:t>º  A</w:t>
      </w:r>
      <w:proofErr w:type="gramEnd"/>
      <w:r w:rsidRPr="00AB6156">
        <w:rPr>
          <w:rFonts w:ascii="Times New Roman" w:hAnsi="Times New Roman"/>
          <w:sz w:val="24"/>
          <w:szCs w:val="24"/>
        </w:rPr>
        <w:t xml:space="preserve"> presente Resolução estabelece os critérios para a avaliação do risco dietético agudo e crônico decorrente da exposição humana a resíduos de agrotóxicos nos alimentos.</w:t>
      </w:r>
    </w:p>
    <w:p w14:paraId="1B32F1CA"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2º  Esta Resolução se aplica ao registro, alteração pós-registro, reavaliação, monitoramento e fiscalização, aos procedimentos de avaliação do risco dietético agudo e crônico decorrente da presença de resíduos de agrotóxicos, seus metabólitos e produtos de degradação em alimentos, sem prejuízo do disposto na Lei n° 7.802, de 11 de julho de 1989 e no Decreto n° 4.074, de 4 de janeiro de 2002 e suas atualizações.</w:t>
      </w:r>
    </w:p>
    <w:p w14:paraId="20B99CDE"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3</w:t>
      </w:r>
      <w:proofErr w:type="gramStart"/>
      <w:r w:rsidRPr="00AB6156">
        <w:rPr>
          <w:rFonts w:ascii="Times New Roman" w:hAnsi="Times New Roman"/>
          <w:sz w:val="24"/>
          <w:szCs w:val="24"/>
        </w:rPr>
        <w:t>º  Para</w:t>
      </w:r>
      <w:proofErr w:type="gramEnd"/>
      <w:r w:rsidRPr="00AB6156">
        <w:rPr>
          <w:rFonts w:ascii="Times New Roman" w:hAnsi="Times New Roman"/>
          <w:sz w:val="24"/>
          <w:szCs w:val="24"/>
        </w:rPr>
        <w:t xml:space="preserve"> efeitos desta Resolução adotam-se as seguintes definições:</w:t>
      </w:r>
    </w:p>
    <w:p w14:paraId="2CD6AEC4"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xml:space="preserve">I- </w:t>
      </w:r>
      <w:proofErr w:type="gramStart"/>
      <w:r w:rsidRPr="00AB6156">
        <w:rPr>
          <w:rFonts w:ascii="Times New Roman" w:hAnsi="Times New Roman"/>
          <w:sz w:val="24"/>
          <w:szCs w:val="24"/>
        </w:rPr>
        <w:t>avaliação</w:t>
      </w:r>
      <w:proofErr w:type="gramEnd"/>
      <w:r w:rsidRPr="00AB6156">
        <w:rPr>
          <w:rFonts w:ascii="Times New Roman" w:hAnsi="Times New Roman"/>
          <w:sz w:val="24"/>
          <w:szCs w:val="24"/>
        </w:rPr>
        <w:t xml:space="preserve"> da dose-resposta: análise da relação entre as concentrações (doses) da substância administrada a um organismo, sistema ou população e a incidência de efeitos adversos decorrentes dessa administração;</w:t>
      </w:r>
    </w:p>
    <w:p w14:paraId="40EF81BA"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xml:space="preserve">II- </w:t>
      </w:r>
      <w:proofErr w:type="gramStart"/>
      <w:r w:rsidRPr="00AB6156">
        <w:rPr>
          <w:rFonts w:ascii="Times New Roman" w:hAnsi="Times New Roman"/>
          <w:sz w:val="24"/>
          <w:szCs w:val="24"/>
        </w:rPr>
        <w:t>avaliação</w:t>
      </w:r>
      <w:proofErr w:type="gramEnd"/>
      <w:r w:rsidRPr="00AB6156">
        <w:rPr>
          <w:rFonts w:ascii="Times New Roman" w:hAnsi="Times New Roman"/>
          <w:sz w:val="24"/>
          <w:szCs w:val="24"/>
        </w:rPr>
        <w:t xml:space="preserve"> do risco dietético: análise sistematizada da probabilidade de aparecimento de efeitos adversos à saúde humana, resultantes da ingestão de alimentos com resíduos de agrotóxicos, cujo processo inclui as etapas de identificação do perigo, a avaliação da dose-resposta, a avaliação da exposição e a caracterização do risco;</w:t>
      </w:r>
    </w:p>
    <w:p w14:paraId="23CB01AE"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III- caracterização do risco: processo de combinação das avaliações de perigo, de dose-resposta e de exposição para determinar a probabilidade de ocorrência dos efeitos adversos de um ingrediente ativo do agrotóxico, de seus metabólitos e de seus produtos de degradação, em um indivíduo ou população, sob condições específicas de exposição;</w:t>
      </w:r>
    </w:p>
    <w:p w14:paraId="693EA1BC"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xml:space="preserve">IV- </w:t>
      </w:r>
      <w:proofErr w:type="gramStart"/>
      <w:r w:rsidRPr="00AB6156">
        <w:rPr>
          <w:rFonts w:ascii="Times New Roman" w:hAnsi="Times New Roman"/>
          <w:sz w:val="24"/>
          <w:szCs w:val="24"/>
        </w:rPr>
        <w:t>consumo</w:t>
      </w:r>
      <w:proofErr w:type="gramEnd"/>
      <w:r w:rsidRPr="00AB6156">
        <w:rPr>
          <w:rFonts w:ascii="Times New Roman" w:hAnsi="Times New Roman"/>
          <w:sz w:val="24"/>
          <w:szCs w:val="24"/>
        </w:rPr>
        <w:t xml:space="preserve"> diário médio per capita do alimento (C): quantidade média de alimento consumida diariamente por uma pessoa em uma determinada população (kg);</w:t>
      </w:r>
    </w:p>
    <w:p w14:paraId="45FB8F28"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lastRenderedPageBreak/>
        <w:t xml:space="preserve">V- </w:t>
      </w:r>
      <w:proofErr w:type="gramStart"/>
      <w:r w:rsidRPr="00AB6156">
        <w:rPr>
          <w:rFonts w:ascii="Times New Roman" w:hAnsi="Times New Roman"/>
          <w:sz w:val="24"/>
          <w:szCs w:val="24"/>
        </w:rPr>
        <w:t>desfecho</w:t>
      </w:r>
      <w:proofErr w:type="gramEnd"/>
      <w:r w:rsidRPr="00AB6156">
        <w:rPr>
          <w:rFonts w:ascii="Times New Roman" w:hAnsi="Times New Roman"/>
          <w:sz w:val="24"/>
          <w:szCs w:val="24"/>
        </w:rPr>
        <w:t xml:space="preserve"> toxicológico (endpoint): resultado ou efeito monitorado por um estudo toxicológico;</w:t>
      </w:r>
    </w:p>
    <w:p w14:paraId="68F65CB9"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xml:space="preserve">VI- </w:t>
      </w:r>
      <w:proofErr w:type="gramStart"/>
      <w:r w:rsidRPr="00AB6156">
        <w:rPr>
          <w:rFonts w:ascii="Times New Roman" w:hAnsi="Times New Roman"/>
          <w:sz w:val="24"/>
          <w:szCs w:val="24"/>
        </w:rPr>
        <w:t>dose</w:t>
      </w:r>
      <w:proofErr w:type="gramEnd"/>
      <w:r w:rsidRPr="00AB6156">
        <w:rPr>
          <w:rFonts w:ascii="Times New Roman" w:hAnsi="Times New Roman"/>
          <w:sz w:val="24"/>
          <w:szCs w:val="24"/>
        </w:rPr>
        <w:t xml:space="preserve"> de referência aguda (DRfA): quantidade estimada de substância presente nos alimentos que pode ser ingerida durante um período de até 24 horas, sem oferecer risco apreciável à saúde do consumidor, expressa em miligrama de substância por quilograma de peso corpóreo (mg/kg p.c.);</w:t>
      </w:r>
    </w:p>
    <w:p w14:paraId="7678BCE9"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VII- exposição dietética aguda: estimativa da exposição máxima de um indivíduo a resíduos de agrotóxicos em alimentos consumidos em um período de 24 horas, expressa em miligrama de resíduo por quilograma de peso corpóreo (mg/kg p.c.);</w:t>
      </w:r>
    </w:p>
    <w:p w14:paraId="7F9D3D77"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VIII- exposição dietética crônica: estimativa da ingestão diária per capita de resíduo de agrotóxico em alimentos, ao longo da vida, expressa em miligrama de resíduo por quilograma de peso corpóreo (mg/kg p.c.);</w:t>
      </w:r>
    </w:p>
    <w:p w14:paraId="30F91AB7"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xml:space="preserve">IX- </w:t>
      </w:r>
      <w:proofErr w:type="gramStart"/>
      <w:r w:rsidRPr="00AB6156">
        <w:rPr>
          <w:rFonts w:ascii="Times New Roman" w:hAnsi="Times New Roman"/>
          <w:sz w:val="24"/>
          <w:szCs w:val="24"/>
        </w:rPr>
        <w:t>fator</w:t>
      </w:r>
      <w:proofErr w:type="gramEnd"/>
      <w:r w:rsidRPr="00AB6156">
        <w:rPr>
          <w:rFonts w:ascii="Times New Roman" w:hAnsi="Times New Roman"/>
          <w:sz w:val="24"/>
          <w:szCs w:val="24"/>
        </w:rPr>
        <w:t xml:space="preserve"> de conversão (FC): fator utilizado para converter a concentração de resíduo de agrotóxico considerada para a conformidade com o LMR na concentração que deve ser considerada para fins de avaliação do risco;</w:t>
      </w:r>
    </w:p>
    <w:p w14:paraId="21173AB8"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xml:space="preserve">X- </w:t>
      </w:r>
      <w:proofErr w:type="gramStart"/>
      <w:r w:rsidRPr="00AB6156">
        <w:rPr>
          <w:rFonts w:ascii="Times New Roman" w:hAnsi="Times New Roman"/>
          <w:sz w:val="24"/>
          <w:szCs w:val="24"/>
        </w:rPr>
        <w:t>fator</w:t>
      </w:r>
      <w:proofErr w:type="gramEnd"/>
      <w:r w:rsidRPr="00AB6156">
        <w:rPr>
          <w:rFonts w:ascii="Times New Roman" w:hAnsi="Times New Roman"/>
          <w:sz w:val="24"/>
          <w:szCs w:val="24"/>
        </w:rPr>
        <w:t xml:space="preserve"> de variabilidade (ν): razão entre a concentração de resíduo de agrotóxico referente ao percentil 97,5 e a média da concentração de resíduo de agrotóxico calculada a partir das unidades de um alimento de um determinado lote;</w:t>
      </w:r>
    </w:p>
    <w:p w14:paraId="1CE31907"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XI- fator de processamento (FP): razão entre a concentração de resíduo de agrotóxico no alimento processado e a concentração de resíduo de agrotóxico no alimento antes do processamento;</w:t>
      </w:r>
    </w:p>
    <w:p w14:paraId="48E5CB55"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XII- identificação do perigo: etapa em que se avalia o tipo e a natureza dos efeitos adversos que o agrotóxico tem o potencial de causar ao organismo, sistema ou população, em função de suas propriedades intrínsecas;</w:t>
      </w:r>
    </w:p>
    <w:p w14:paraId="21A7ACDC"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XIII- ingestão diária aceitável (IDA): quantidade estimada de substância presente nos alimentos que pode ser ingerida diariamente ao longo da vida, sem oferecer risco apreciável à saúde do consumidor, expressa em miligrama de substância por quilograma de peso corpóreo (mg/kg p.c.);</w:t>
      </w:r>
    </w:p>
    <w:p w14:paraId="5251AF6D"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XIV- ingestão diária máxima teórica (IDMT): quantidade máxima estimada de resíduo de agrotóxico em alimentos ingerido per capita diariamente, assumindo-se que os alimentos apresentam resíduos nas concentrações dos valores da Mediana de Resíduos de Estudos de Campo (MREC), os valores médios de consumo de alimentos e de peso corpóreo de uma população, expressa em miligrama de resíduo por quilograma de peso corpóreo (mg/kg p.c.);</w:t>
      </w:r>
    </w:p>
    <w:p w14:paraId="7579968B"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XV- ingestão máxima estimada aguda (IMEA): quantidade máxima estimada de resíduo de agrotóxico ingerida durante um período de até 24 horas, assumindo-se que o alimento consumido apresenta resíduo de agrotóxico na concentração do MCR (Maior Concentração de Resíduo) ou MREC (Mediana dos Resíduos dos Estudos de Campo), expressa em miligrama de resíduo por quilograma de peso corpóreo (mg/kg p.c.);</w:t>
      </w:r>
    </w:p>
    <w:p w14:paraId="168775FE"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lastRenderedPageBreak/>
        <w:t>XVI- limite máximo de resíduo (LMR): quantidade máxima de resíduo de agrotóxico oficialmente aceita no alimento, em decorrência da aplicação adequada do agrotóxico numa fase específica, desde sua produção até o seu consumo, expresso em miligrama de resíduo por quilograma de alimento (mg/kg);</w:t>
      </w:r>
    </w:p>
    <w:p w14:paraId="745F5042"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XVII- maior porção (MP): quantidade de alimento consumida que corresponde ao percentil 97,5 de consumo diário de uma dada população, expressa em quilograma de alimento (kg);</w:t>
      </w:r>
    </w:p>
    <w:p w14:paraId="0CEBAE97"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XVIII- maior concentração de resíduo (MCR): maior concentração de resíduo de agrotóxico encontrada em estudos supervisionados de campo e laboratório, expressa em miligrama de resíduo por quilograma de alimento (mg/kg);</w:t>
      </w:r>
    </w:p>
    <w:p w14:paraId="13CE4647"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XIX- mediana de resíduos de estudos de campo (MREC): mediana da concentração de resíduos de agrotóxicos encontrados preferencialmente na parte do alimento habitualmente consumida pela população e calculada a partir dos resultados dos estudos supervisionados de campo e de laboratório, expressa em miligrama de resíduo por quilograma de alimento (mg/kg);</w:t>
      </w:r>
    </w:p>
    <w:p w14:paraId="5A4B6FE6"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xml:space="preserve">XX- </w:t>
      </w:r>
      <w:proofErr w:type="gramStart"/>
      <w:r w:rsidRPr="00AB6156">
        <w:rPr>
          <w:rFonts w:ascii="Times New Roman" w:hAnsi="Times New Roman"/>
          <w:sz w:val="24"/>
          <w:szCs w:val="24"/>
        </w:rPr>
        <w:t>nível</w:t>
      </w:r>
      <w:proofErr w:type="gramEnd"/>
      <w:r w:rsidRPr="00AB6156">
        <w:rPr>
          <w:rFonts w:ascii="Times New Roman" w:hAnsi="Times New Roman"/>
          <w:sz w:val="24"/>
          <w:szCs w:val="24"/>
        </w:rPr>
        <w:t xml:space="preserve"> sem efeito adverso observado (no observed adverse effect level - NOAEL): maior dose testada de uma substância, na qual não são observados efeitos adversos em animais experimentais, expressa em miligrama de substância por quilograma de peso corpóreo por dia (mg/kg p.c./dia);</w:t>
      </w:r>
    </w:p>
    <w:p w14:paraId="5CE285F7"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XXI- nível mais baixo de efeito adverso observado (lowest observed adverse effect level - LOAEL): menor dose testada de uma substância, na qual são observados efeitos adversos em animais experimentais, expressa em miligrama de substância por quilograma de peso corpóreo por dia (mg/kg p.c./dia);</w:t>
      </w:r>
    </w:p>
    <w:p w14:paraId="487E46E1"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XXII- peso médio da unidade do alimento (U): peso médio do alimento in natura expresso em quilograma (kg);</w:t>
      </w:r>
    </w:p>
    <w:p w14:paraId="68DAE350"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XXIII- peso médio da porção comestível da unidade do alimento (Uc): peso médio da parte do alimento habitualmente consumida pela população, expresso em quilograma (kg);</w:t>
      </w:r>
    </w:p>
    <w:p w14:paraId="74ED9B3C"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XXIV- ponto de partida (Point of Departure - POD): valor numérico obtido a partir de um ponto proveniente de uma curva dose-resposta derivada de estudos toxicológicos e dos dados epidemiológicos existentes para a identificação do desfecho toxicológico de maior relevância, geralmente correspondente ao nível no qual o efeito adverso não é observado (NOAEL) na espécie mais sensível ou, quando o NOAEL não é identificado, ao nível mais baixo no qual efeito adverso é observado (LOAEL);</w:t>
      </w:r>
    </w:p>
    <w:p w14:paraId="409B4988"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XXV- resíduo de agrotóxico para fins de avaliação do risco dietético: resíduo do ingrediente ativo do agrotóxico, de seus metabólitos e de seus produtos de degradação presentes nos alimentos, que possuem relevância toxicológica e contribuem de maneira importante para a exposição humana. Para efeitos desta Resolução, este termo é referenciado como resíduo de agrotóxico.</w:t>
      </w:r>
    </w:p>
    <w:p w14:paraId="179AA80E" w14:textId="7777777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lastRenderedPageBreak/>
        <w:t>CAPÍTULO II</w:t>
      </w:r>
    </w:p>
    <w:p w14:paraId="6DC81F59" w14:textId="7777777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DA AVALIAÇÃO DO RISCO</w:t>
      </w:r>
    </w:p>
    <w:p w14:paraId="51DA2FD0" w14:textId="4A5D0651"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Seção I</w:t>
      </w:r>
    </w:p>
    <w:p w14:paraId="6FF1BEDD" w14:textId="7777777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Da Identificação do Perigo e da Avaliação Dose-Resposta</w:t>
      </w:r>
    </w:p>
    <w:p w14:paraId="4EFDDF97"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4</w:t>
      </w:r>
      <w:proofErr w:type="gramStart"/>
      <w:r w:rsidRPr="00AB6156">
        <w:rPr>
          <w:rFonts w:ascii="Times New Roman" w:hAnsi="Times New Roman"/>
          <w:sz w:val="24"/>
          <w:szCs w:val="24"/>
        </w:rPr>
        <w:t>°  A</w:t>
      </w:r>
      <w:proofErr w:type="gramEnd"/>
      <w:r w:rsidRPr="00AB6156">
        <w:rPr>
          <w:rFonts w:ascii="Times New Roman" w:hAnsi="Times New Roman"/>
          <w:sz w:val="24"/>
          <w:szCs w:val="24"/>
        </w:rPr>
        <w:t xml:space="preserve"> identificação do perigo e a avaliação de dose-resposta devem incluir a determinação do(s) Ponto(s) de Partida (POD) e dos fatores de incerteza para o estabelecimento da Ingestão Diária Aceitável (IDA) e, quando relevante, da Dose de Referência Aguda (DRfA).</w:t>
      </w:r>
    </w:p>
    <w:p w14:paraId="24D75773"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1</w:t>
      </w:r>
      <w:proofErr w:type="gramStart"/>
      <w:r w:rsidRPr="00AB6156">
        <w:rPr>
          <w:rFonts w:ascii="Times New Roman" w:hAnsi="Times New Roman"/>
          <w:sz w:val="24"/>
          <w:szCs w:val="24"/>
        </w:rPr>
        <w:t>º  Os</w:t>
      </w:r>
      <w:proofErr w:type="gramEnd"/>
      <w:r w:rsidRPr="00AB6156">
        <w:rPr>
          <w:rFonts w:ascii="Times New Roman" w:hAnsi="Times New Roman"/>
          <w:sz w:val="24"/>
          <w:szCs w:val="24"/>
        </w:rPr>
        <w:t xml:space="preserve"> fatores de incerteza devem considerar as diferenças intraespecíficas e interespecíficas, e ainda podem ser acrescentados de fatores para extrapolação de valores de LOAEL para NOAEL, os quais levam em conta o tipo e a severidade dos efeitos, as vulnerabilidades de grupos específicos da população, entre outros.</w:t>
      </w:r>
    </w:p>
    <w:p w14:paraId="4C074E6B"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2</w:t>
      </w:r>
      <w:proofErr w:type="gramStart"/>
      <w:r w:rsidRPr="00AB6156">
        <w:rPr>
          <w:rFonts w:ascii="Times New Roman" w:hAnsi="Times New Roman"/>
          <w:sz w:val="24"/>
          <w:szCs w:val="24"/>
        </w:rPr>
        <w:t>º  A</w:t>
      </w:r>
      <w:proofErr w:type="gramEnd"/>
      <w:r w:rsidRPr="00AB6156">
        <w:rPr>
          <w:rFonts w:ascii="Times New Roman" w:hAnsi="Times New Roman"/>
          <w:sz w:val="24"/>
          <w:szCs w:val="24"/>
        </w:rPr>
        <w:t xml:space="preserve"> IDA e a DRfA podem ser revistas a partir de dados técnicos e científicos atualizados.</w:t>
      </w:r>
    </w:p>
    <w:p w14:paraId="0072EE4C"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5º  A IDA deve ser derivada a partir da dose em que não foram observados efeitos adversos (NOAEL) ou, na sua ausência, a partir da menor dose em que foram observados efeitos adversos (LOAEL), em estudos com doses repetidas por via oral, em conformidade com a Resolução da Diretoria Colegiada - RDC n° 294, de 29 de julho de 2019.</w:t>
      </w:r>
    </w:p>
    <w:p w14:paraId="61B1DD5C"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6º  A DRfA deve ser derivada a partir da dose em que não foram observados efeitos adversos (NOAEL) ou, na sua ausência, a partir da menor dose em que foram observados efeitos adversos (LOAEL), em estudos de exposição única ou múltiplas exposições dentro de um período de 24 horas por via oral, em conformidade com a Resolução da Diretoria Colegiada - RDC n° 294, de 29 de julho de 2019.</w:t>
      </w:r>
    </w:p>
    <w:p w14:paraId="685B2F86"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Parágrafo único.  A DRfA poderá ser derivada a partir de estudos de dose repetida nos casos em que o efeito crítico da substância não tenha sido adequadamente detectado em estudos de exposição única.</w:t>
      </w:r>
    </w:p>
    <w:p w14:paraId="2492EE56" w14:textId="7777777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Seção II</w:t>
      </w:r>
    </w:p>
    <w:p w14:paraId="2324D47B" w14:textId="7777777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Da Avaliação da Exposição e da Caraterização do Risco Dietético</w:t>
      </w:r>
    </w:p>
    <w:p w14:paraId="671A057D" w14:textId="377874C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Subseção I</w:t>
      </w:r>
    </w:p>
    <w:p w14:paraId="01F90D53" w14:textId="7777777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Da Avaliação da Exposição</w:t>
      </w:r>
    </w:p>
    <w:p w14:paraId="6B9DDA6E"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7</w:t>
      </w:r>
      <w:proofErr w:type="gramStart"/>
      <w:r w:rsidRPr="00AB6156">
        <w:rPr>
          <w:rFonts w:ascii="Times New Roman" w:hAnsi="Times New Roman"/>
          <w:sz w:val="24"/>
          <w:szCs w:val="24"/>
        </w:rPr>
        <w:t>º  A</w:t>
      </w:r>
      <w:proofErr w:type="gramEnd"/>
      <w:r w:rsidRPr="00AB6156">
        <w:rPr>
          <w:rFonts w:ascii="Times New Roman" w:hAnsi="Times New Roman"/>
          <w:sz w:val="24"/>
          <w:szCs w:val="24"/>
        </w:rPr>
        <w:t xml:space="preserve"> avaliação da exposição de um indivíduo ou população aos resíduos de agrotóxicos está subdividida em:</w:t>
      </w:r>
    </w:p>
    <w:p w14:paraId="3BBC3629"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xml:space="preserve">I- </w:t>
      </w:r>
      <w:proofErr w:type="gramStart"/>
      <w:r w:rsidRPr="00AB6156">
        <w:rPr>
          <w:rFonts w:ascii="Times New Roman" w:hAnsi="Times New Roman"/>
          <w:sz w:val="24"/>
          <w:szCs w:val="24"/>
        </w:rPr>
        <w:t>avaliação</w:t>
      </w:r>
      <w:proofErr w:type="gramEnd"/>
      <w:r w:rsidRPr="00AB6156">
        <w:rPr>
          <w:rFonts w:ascii="Times New Roman" w:hAnsi="Times New Roman"/>
          <w:sz w:val="24"/>
          <w:szCs w:val="24"/>
        </w:rPr>
        <w:t xml:space="preserve"> da exposição dietética aguda; e</w:t>
      </w:r>
    </w:p>
    <w:p w14:paraId="40FAEB52"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xml:space="preserve">II- </w:t>
      </w:r>
      <w:proofErr w:type="gramStart"/>
      <w:r w:rsidRPr="00AB6156">
        <w:rPr>
          <w:rFonts w:ascii="Times New Roman" w:hAnsi="Times New Roman"/>
          <w:sz w:val="24"/>
          <w:szCs w:val="24"/>
        </w:rPr>
        <w:t>avaliação</w:t>
      </w:r>
      <w:proofErr w:type="gramEnd"/>
      <w:r w:rsidRPr="00AB6156">
        <w:rPr>
          <w:rFonts w:ascii="Times New Roman" w:hAnsi="Times New Roman"/>
          <w:sz w:val="24"/>
          <w:szCs w:val="24"/>
        </w:rPr>
        <w:t xml:space="preserve"> da exposição dietética crônica.</w:t>
      </w:r>
    </w:p>
    <w:p w14:paraId="7DC9356A"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lastRenderedPageBreak/>
        <w:t>Art. 8</w:t>
      </w:r>
      <w:proofErr w:type="gramStart"/>
      <w:r w:rsidRPr="00AB6156">
        <w:rPr>
          <w:rFonts w:ascii="Times New Roman" w:hAnsi="Times New Roman"/>
          <w:sz w:val="24"/>
          <w:szCs w:val="24"/>
        </w:rPr>
        <w:t>º  Para</w:t>
      </w:r>
      <w:proofErr w:type="gramEnd"/>
      <w:r w:rsidRPr="00AB6156">
        <w:rPr>
          <w:rFonts w:ascii="Times New Roman" w:hAnsi="Times New Roman"/>
          <w:sz w:val="24"/>
          <w:szCs w:val="24"/>
        </w:rPr>
        <w:t xml:space="preserve"> a estimativa de exposição dietética devem ser considerados os resíduos do ingrediente ativo do agrotóxico, de seus metabólitos e de seus produtos de degradação que possuam relevância toxicológica e contribuam de maneira importante para a exposição humana.</w:t>
      </w:r>
    </w:p>
    <w:p w14:paraId="5B6AE0DF"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9</w:t>
      </w:r>
      <w:proofErr w:type="gramStart"/>
      <w:r w:rsidRPr="00AB6156">
        <w:rPr>
          <w:rFonts w:ascii="Times New Roman" w:hAnsi="Times New Roman"/>
          <w:sz w:val="24"/>
          <w:szCs w:val="24"/>
        </w:rPr>
        <w:t>º  A</w:t>
      </w:r>
      <w:proofErr w:type="gramEnd"/>
      <w:r w:rsidRPr="00AB6156">
        <w:rPr>
          <w:rFonts w:ascii="Times New Roman" w:hAnsi="Times New Roman"/>
          <w:sz w:val="24"/>
          <w:szCs w:val="24"/>
        </w:rPr>
        <w:t xml:space="preserve"> avaliação da exposição dietética aguda deve ser conduzida utilizando-se as equações para estimativa da Ingestão Máxima Estimada Aguda (IMEA) constantes no item 1 do Anexo.</w:t>
      </w:r>
    </w:p>
    <w:p w14:paraId="0E1E81C3"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10.  A avaliação da exposição dietética crônica deve ser conduzida utilizando-se as equações para a estimativa da Ingestão Diária Máxima Teórica (IDMT) constantes no item 2 do Anexo.</w:t>
      </w:r>
    </w:p>
    <w:p w14:paraId="063A5EE3" w14:textId="7777777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Subseção II</w:t>
      </w:r>
    </w:p>
    <w:p w14:paraId="578F9BCE" w14:textId="7777777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Da Caracterização do Risco Dietético</w:t>
      </w:r>
    </w:p>
    <w:p w14:paraId="7CFE564A"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11.  A caracterização do risco dietético agudo, resultante da exposição a resíduo(s) de agrotóxico(s), deve ser realizada comparando-se a exposição dietética aguda com a DRfA adotada pela Anvisa.</w:t>
      </w:r>
    </w:p>
    <w:p w14:paraId="3B76ADE2"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1</w:t>
      </w:r>
      <w:proofErr w:type="gramStart"/>
      <w:r w:rsidRPr="00AB6156">
        <w:rPr>
          <w:rFonts w:ascii="Times New Roman" w:hAnsi="Times New Roman"/>
          <w:sz w:val="24"/>
          <w:szCs w:val="24"/>
        </w:rPr>
        <w:t>º  O</w:t>
      </w:r>
      <w:proofErr w:type="gramEnd"/>
      <w:r w:rsidRPr="00AB6156">
        <w:rPr>
          <w:rFonts w:ascii="Times New Roman" w:hAnsi="Times New Roman"/>
          <w:sz w:val="24"/>
          <w:szCs w:val="24"/>
        </w:rPr>
        <w:t xml:space="preserve"> risco é considerado inaceitável quando a exposição dietética aguda for maior que a DRfA.</w:t>
      </w:r>
    </w:p>
    <w:p w14:paraId="2E1E802F"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2</w:t>
      </w:r>
      <w:proofErr w:type="gramStart"/>
      <w:r w:rsidRPr="00AB6156">
        <w:rPr>
          <w:rFonts w:ascii="Times New Roman" w:hAnsi="Times New Roman"/>
          <w:sz w:val="24"/>
          <w:szCs w:val="24"/>
        </w:rPr>
        <w:t>º  Para</w:t>
      </w:r>
      <w:proofErr w:type="gramEnd"/>
      <w:r w:rsidRPr="00AB6156">
        <w:rPr>
          <w:rFonts w:ascii="Times New Roman" w:hAnsi="Times New Roman"/>
          <w:sz w:val="24"/>
          <w:szCs w:val="24"/>
        </w:rPr>
        <w:t xml:space="preserve"> as substâncias que não possuam DRfA estabelecida pela Anvisa, o risco será caracterizado utilizando-se a DRfA adotada no âmbito do Codex Alimentarius ou, na ausência desta, por outros organismos internacionalmente reconhecidos.</w:t>
      </w:r>
    </w:p>
    <w:p w14:paraId="215E271F"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12.  A caracterização do risco dietético crônico, resultante da exposição a resíduo(s) de agrotóxico(s), deve ser realizada comparando-se a exposição dietética crônica com a IDA adotada pela Anvisa.</w:t>
      </w:r>
    </w:p>
    <w:p w14:paraId="2836DC3D"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1</w:t>
      </w:r>
      <w:proofErr w:type="gramStart"/>
      <w:r w:rsidRPr="00AB6156">
        <w:rPr>
          <w:rFonts w:ascii="Times New Roman" w:hAnsi="Times New Roman"/>
          <w:sz w:val="24"/>
          <w:szCs w:val="24"/>
        </w:rPr>
        <w:t>º  O</w:t>
      </w:r>
      <w:proofErr w:type="gramEnd"/>
      <w:r w:rsidRPr="00AB6156">
        <w:rPr>
          <w:rFonts w:ascii="Times New Roman" w:hAnsi="Times New Roman"/>
          <w:sz w:val="24"/>
          <w:szCs w:val="24"/>
        </w:rPr>
        <w:t xml:space="preserve"> risco é considerado inaceitável quando a exposição dietética crônica for maior que a IDA.</w:t>
      </w:r>
    </w:p>
    <w:p w14:paraId="264CDA9D"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2</w:t>
      </w:r>
      <w:proofErr w:type="gramStart"/>
      <w:r w:rsidRPr="00AB6156">
        <w:rPr>
          <w:rFonts w:ascii="Times New Roman" w:hAnsi="Times New Roman"/>
          <w:sz w:val="24"/>
          <w:szCs w:val="24"/>
        </w:rPr>
        <w:t>º  Para</w:t>
      </w:r>
      <w:proofErr w:type="gramEnd"/>
      <w:r w:rsidRPr="00AB6156">
        <w:rPr>
          <w:rFonts w:ascii="Times New Roman" w:hAnsi="Times New Roman"/>
          <w:sz w:val="24"/>
          <w:szCs w:val="24"/>
        </w:rPr>
        <w:t xml:space="preserve"> as substâncias que não possuam IDA estabelecida pela Anvisa, o risco será caracterizado utilizando-se a IDA adotada no âmbito do Codex Alimentarius ou, na ausência desta, por outros organismos internacionalmente reconhecidos.</w:t>
      </w:r>
    </w:p>
    <w:p w14:paraId="12BDAB1D" w14:textId="7777777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CAPÍTULO III</w:t>
      </w:r>
    </w:p>
    <w:p w14:paraId="56AF2E48" w14:textId="77777777" w:rsidR="00AB6156" w:rsidRPr="00AB6156" w:rsidRDefault="0013430F" w:rsidP="00AB6156">
      <w:pPr>
        <w:spacing w:after="200" w:line="240" w:lineRule="auto"/>
        <w:jc w:val="center"/>
        <w:rPr>
          <w:rFonts w:ascii="Times New Roman" w:hAnsi="Times New Roman"/>
          <w:b/>
          <w:sz w:val="24"/>
          <w:szCs w:val="24"/>
        </w:rPr>
      </w:pPr>
      <w:r w:rsidRPr="00AB6156">
        <w:rPr>
          <w:rFonts w:ascii="Times New Roman" w:hAnsi="Times New Roman"/>
          <w:b/>
          <w:sz w:val="24"/>
          <w:szCs w:val="24"/>
        </w:rPr>
        <w:t>DAS DISPOSIÇÕES FINAIS E TRANSITÓRIAS</w:t>
      </w:r>
    </w:p>
    <w:p w14:paraId="6C412136"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13.  Em decorrência do resultado da avaliação do risco dietético, poderão ser adotadas medidas para refinamento ou redução da exposição dietética aguda ou crônica.</w:t>
      </w:r>
    </w:p>
    <w:p w14:paraId="70312E12"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1º Em caso de identificação de exposição dietética que represente risco inaceitável para produtos registrados, a(s) empresa(s) detentora(s) de registro do(s) respectivo(s) produto(s) formulado(s) serão notificadas para apresentar estudos de resíduos já conduzidos, demonstrando concentrações que não representem risco inaceitável.</w:t>
      </w:r>
    </w:p>
    <w:p w14:paraId="4750BD4F"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lastRenderedPageBreak/>
        <w:t>§ 2</w:t>
      </w:r>
      <w:proofErr w:type="gramStart"/>
      <w:r w:rsidRPr="00AB6156">
        <w:rPr>
          <w:rFonts w:ascii="Times New Roman" w:hAnsi="Times New Roman"/>
          <w:sz w:val="24"/>
          <w:szCs w:val="24"/>
        </w:rPr>
        <w:t>º  Os</w:t>
      </w:r>
      <w:proofErr w:type="gramEnd"/>
      <w:r w:rsidRPr="00AB6156">
        <w:rPr>
          <w:rFonts w:ascii="Times New Roman" w:hAnsi="Times New Roman"/>
          <w:sz w:val="24"/>
          <w:szCs w:val="24"/>
        </w:rPr>
        <w:t xml:space="preserve"> estudos de que trata o § 1° deste artigo podem incluir resultados da análise de resíduos de agrotóxicos na porção comestível do alimento ou de resíduos em alimentos processados.</w:t>
      </w:r>
    </w:p>
    <w:p w14:paraId="76C13F59"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3</w:t>
      </w:r>
      <w:proofErr w:type="gramStart"/>
      <w:r w:rsidRPr="00AB6156">
        <w:rPr>
          <w:rFonts w:ascii="Times New Roman" w:hAnsi="Times New Roman"/>
          <w:sz w:val="24"/>
          <w:szCs w:val="24"/>
        </w:rPr>
        <w:t>º  Na</w:t>
      </w:r>
      <w:proofErr w:type="gramEnd"/>
      <w:r w:rsidRPr="00AB6156">
        <w:rPr>
          <w:rFonts w:ascii="Times New Roman" w:hAnsi="Times New Roman"/>
          <w:sz w:val="24"/>
          <w:szCs w:val="24"/>
        </w:rPr>
        <w:t xml:space="preserve"> impossibilidade de apresentação dos estudos previstos no § 1º deste artigo ou em caso de identificação de cultura(s) que represente(m) risco agudo inaceitável após avaliação dos referidos estudos, será determinada a descontinuação do uso do agrotóxico para a(s) respectiva(s) cultura(s).</w:t>
      </w:r>
    </w:p>
    <w:p w14:paraId="7B6EB0F4"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4º  Na impossibilidade de apresentação dos estudos previstos no § 1º deste artigo ou em caso de identificação de risco crônico inaceitável após avaliação dos referidos estudos, a(s) empresa(s) detentora(s) de registro do(s) respectivo(s) produto(s) formulado(s) será(ão) notificada(s) para se manifestar(em), a fim de que seja(m) definida(s) a(s) cultura(s) a ser(em) excluída(s) do registro.</w:t>
      </w:r>
    </w:p>
    <w:p w14:paraId="7AD3FFCA"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5</w:t>
      </w:r>
      <w:proofErr w:type="gramStart"/>
      <w:r w:rsidRPr="00AB6156">
        <w:rPr>
          <w:rFonts w:ascii="Times New Roman" w:hAnsi="Times New Roman"/>
          <w:sz w:val="24"/>
          <w:szCs w:val="24"/>
        </w:rPr>
        <w:t>º  A</w:t>
      </w:r>
      <w:proofErr w:type="gramEnd"/>
      <w:r w:rsidRPr="00AB6156">
        <w:rPr>
          <w:rFonts w:ascii="Times New Roman" w:hAnsi="Times New Roman"/>
          <w:sz w:val="24"/>
          <w:szCs w:val="24"/>
        </w:rPr>
        <w:t xml:space="preserve"> descontinuação de uso de que trata os § 2º e § 3º deste artigo será determinada a partir da publicação da medida relacionada ao agrotóxico, não devendo exceder o período de 365 (trezentos e sessenta e cinco) dias, contados a partir da data de publicação.</w:t>
      </w:r>
    </w:p>
    <w:p w14:paraId="3B8C0FC9"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 6</w:t>
      </w:r>
      <w:proofErr w:type="gramStart"/>
      <w:r w:rsidRPr="00AB6156">
        <w:rPr>
          <w:rFonts w:ascii="Times New Roman" w:hAnsi="Times New Roman"/>
          <w:sz w:val="24"/>
          <w:szCs w:val="24"/>
        </w:rPr>
        <w:t>º  Em</w:t>
      </w:r>
      <w:proofErr w:type="gramEnd"/>
      <w:r w:rsidRPr="00AB6156">
        <w:rPr>
          <w:rFonts w:ascii="Times New Roman" w:hAnsi="Times New Roman"/>
          <w:sz w:val="24"/>
          <w:szCs w:val="24"/>
        </w:rPr>
        <w:t xml:space="preserve"> caso de identificação de IDMT maior que 80% da IDA de um determinado ingrediente ativo, a exposição crônica pelo consumo de água também deve ser avaliada a fim de que a ingestão crônica total não represente risco inaceitável.</w:t>
      </w:r>
    </w:p>
    <w:p w14:paraId="4A59EE80"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14.  Dados de monitoramento de resíduos serão utilizados para avaliar o risco dietético relativo à exposição de resíduos de agrotóxicos presentes nos alimentos consumidos pela população.</w:t>
      </w:r>
    </w:p>
    <w:p w14:paraId="734FB409"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Parágrafo único.  Para avaliar a exposição da população aos resíduos de agrotóxicos a partir de dados de monitoramento, considera-se a concentração de resíduo de agrotóxico verificada na amostra em substituição aos valores de MREC, MCR ou LMR.</w:t>
      </w:r>
    </w:p>
    <w:p w14:paraId="479734F8"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15.  O Anexo constante desta Resolução será atualizado por meio de publicações em Diário Oficial da União sempre que necessário e a critério da Anvisa.</w:t>
      </w:r>
    </w:p>
    <w:p w14:paraId="7AEDCDD6"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Art. 16.  Esta Resolução entra em vigor a partir da data de sua publicação.</w:t>
      </w:r>
    </w:p>
    <w:p w14:paraId="2C39AA92" w14:textId="77777777" w:rsidR="002676A5" w:rsidRDefault="002676A5" w:rsidP="002676A5">
      <w:pPr>
        <w:spacing w:after="200" w:line="240" w:lineRule="auto"/>
        <w:jc w:val="center"/>
        <w:rPr>
          <w:rFonts w:ascii="Times New Roman" w:hAnsi="Times New Roman"/>
          <w:b/>
          <w:sz w:val="24"/>
          <w:szCs w:val="24"/>
        </w:rPr>
      </w:pPr>
    </w:p>
    <w:p w14:paraId="65B30724" w14:textId="5E638D89" w:rsidR="00AB6156" w:rsidRPr="002676A5" w:rsidRDefault="0013430F" w:rsidP="002676A5">
      <w:pPr>
        <w:spacing w:after="200" w:line="240" w:lineRule="auto"/>
        <w:jc w:val="center"/>
        <w:rPr>
          <w:rFonts w:ascii="Times New Roman" w:hAnsi="Times New Roman"/>
          <w:b/>
          <w:sz w:val="24"/>
          <w:szCs w:val="24"/>
        </w:rPr>
      </w:pPr>
      <w:r w:rsidRPr="002676A5">
        <w:rPr>
          <w:rFonts w:ascii="Times New Roman" w:hAnsi="Times New Roman"/>
          <w:b/>
          <w:sz w:val="24"/>
          <w:szCs w:val="24"/>
        </w:rPr>
        <w:t>WILLIAM DIB</w:t>
      </w:r>
    </w:p>
    <w:p w14:paraId="21F281D3" w14:textId="7E11D8BB" w:rsidR="00AB6156" w:rsidRDefault="0013430F" w:rsidP="002676A5">
      <w:pPr>
        <w:spacing w:after="200" w:line="240" w:lineRule="auto"/>
        <w:jc w:val="center"/>
        <w:rPr>
          <w:rFonts w:ascii="Times New Roman" w:hAnsi="Times New Roman"/>
          <w:b/>
          <w:sz w:val="24"/>
          <w:szCs w:val="24"/>
        </w:rPr>
      </w:pPr>
      <w:r w:rsidRPr="002676A5">
        <w:rPr>
          <w:rFonts w:ascii="Times New Roman" w:hAnsi="Times New Roman"/>
          <w:b/>
          <w:sz w:val="24"/>
          <w:szCs w:val="24"/>
        </w:rPr>
        <w:t>Diretor-President</w:t>
      </w:r>
      <w:r w:rsidR="002676A5" w:rsidRPr="002676A5">
        <w:rPr>
          <w:rFonts w:ascii="Times New Roman" w:hAnsi="Times New Roman"/>
          <w:b/>
          <w:sz w:val="24"/>
          <w:szCs w:val="24"/>
        </w:rPr>
        <w:t>e</w:t>
      </w:r>
    </w:p>
    <w:p w14:paraId="0DB47DD7" w14:textId="77777777" w:rsidR="002676A5" w:rsidRPr="002676A5" w:rsidRDefault="002676A5" w:rsidP="002676A5">
      <w:pPr>
        <w:spacing w:after="200" w:line="240" w:lineRule="auto"/>
        <w:jc w:val="center"/>
        <w:rPr>
          <w:rFonts w:ascii="Times New Roman" w:hAnsi="Times New Roman"/>
          <w:b/>
          <w:sz w:val="24"/>
          <w:szCs w:val="24"/>
        </w:rPr>
      </w:pPr>
    </w:p>
    <w:p w14:paraId="2B4DAFF1" w14:textId="77777777" w:rsidR="002676A5" w:rsidRDefault="002676A5">
      <w:pPr>
        <w:rPr>
          <w:rFonts w:ascii="Times New Roman" w:hAnsi="Times New Roman"/>
          <w:b/>
          <w:color w:val="000000"/>
          <w:sz w:val="24"/>
          <w:szCs w:val="24"/>
          <w:lang w:eastAsia="pt-BR"/>
        </w:rPr>
      </w:pPr>
      <w:r>
        <w:rPr>
          <w:rFonts w:ascii="Times New Roman" w:hAnsi="Times New Roman"/>
          <w:b/>
          <w:color w:val="000000"/>
          <w:sz w:val="24"/>
          <w:szCs w:val="24"/>
          <w:lang w:eastAsia="pt-BR"/>
        </w:rPr>
        <w:br w:type="page"/>
      </w:r>
    </w:p>
    <w:p w14:paraId="1DEB1B06" w14:textId="5F7875D7" w:rsidR="002676A5" w:rsidRPr="002676A5" w:rsidRDefault="0013430F" w:rsidP="00AB6156">
      <w:pPr>
        <w:spacing w:after="200" w:line="240" w:lineRule="auto"/>
        <w:jc w:val="center"/>
        <w:rPr>
          <w:rFonts w:ascii="Times New Roman" w:hAnsi="Times New Roman"/>
          <w:b/>
          <w:color w:val="000000"/>
          <w:sz w:val="24"/>
          <w:szCs w:val="24"/>
          <w:lang w:eastAsia="pt-BR"/>
        </w:rPr>
      </w:pPr>
      <w:r w:rsidRPr="0013430F">
        <w:rPr>
          <w:rFonts w:ascii="Times New Roman" w:hAnsi="Times New Roman"/>
          <w:b/>
          <w:color w:val="000000"/>
          <w:sz w:val="24"/>
          <w:szCs w:val="24"/>
          <w:lang w:eastAsia="pt-BR"/>
        </w:rPr>
        <w:lastRenderedPageBreak/>
        <w:t>ANEXO</w:t>
      </w:r>
    </w:p>
    <w:p w14:paraId="1FE48487" w14:textId="76185112" w:rsidR="00AB6156" w:rsidRPr="002676A5" w:rsidRDefault="0013430F" w:rsidP="00AB6156">
      <w:pPr>
        <w:spacing w:after="200" w:line="240" w:lineRule="auto"/>
        <w:jc w:val="center"/>
        <w:rPr>
          <w:rFonts w:ascii="Times New Roman" w:hAnsi="Times New Roman"/>
          <w:b/>
          <w:color w:val="000000"/>
          <w:sz w:val="24"/>
          <w:szCs w:val="24"/>
          <w:lang w:eastAsia="pt-BR"/>
        </w:rPr>
      </w:pPr>
      <w:r w:rsidRPr="0013430F">
        <w:rPr>
          <w:rFonts w:ascii="Times New Roman" w:hAnsi="Times New Roman"/>
          <w:b/>
          <w:color w:val="000000"/>
          <w:sz w:val="24"/>
          <w:szCs w:val="24"/>
          <w:lang w:eastAsia="pt-BR"/>
        </w:rPr>
        <w:t>AVALIAÇÃO DO RISCO DIETÉTICO</w:t>
      </w:r>
    </w:p>
    <w:p w14:paraId="61E675D8" w14:textId="6F90C50D" w:rsidR="0013430F" w:rsidRPr="0013430F" w:rsidRDefault="0013430F" w:rsidP="00AB6156">
      <w:pPr>
        <w:spacing w:after="200" w:line="240" w:lineRule="auto"/>
        <w:rPr>
          <w:rFonts w:ascii="Times New Roman" w:hAnsi="Times New Roman"/>
          <w:caps/>
          <w:color w:val="000000"/>
          <w:sz w:val="24"/>
          <w:szCs w:val="24"/>
          <w:lang w:eastAsia="pt-BR"/>
        </w:rPr>
      </w:pPr>
      <w:r w:rsidRPr="0013430F">
        <w:rPr>
          <w:rFonts w:ascii="Times New Roman" w:hAnsi="Times New Roman"/>
          <w:b/>
          <w:bCs/>
          <w:caps/>
          <w:color w:val="000000"/>
          <w:sz w:val="24"/>
          <w:szCs w:val="24"/>
          <w:lang w:eastAsia="pt-BR"/>
        </w:rPr>
        <w:t>1- CÁLCULO DA INGESTÃO MÁXIMA ESTIMADA AGUDA (IMEA)</w:t>
      </w:r>
    </w:p>
    <w:p w14:paraId="6143CFB6" w14:textId="77777777"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color w:val="000000"/>
          <w:sz w:val="24"/>
          <w:szCs w:val="24"/>
          <w:lang w:eastAsia="pt-BR"/>
        </w:rPr>
        <w:t>A depender das características do alimento para o qual se pretende avaliar a exposição aguda, deve-se utilizar uma das equações abaixo:</w:t>
      </w:r>
    </w:p>
    <w:p w14:paraId="018456B5" w14:textId="77777777"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b/>
          <w:bCs/>
          <w:color w:val="000000"/>
          <w:sz w:val="24"/>
          <w:szCs w:val="24"/>
          <w:lang w:eastAsia="pt-BR"/>
        </w:rPr>
        <w:t>Caso 1:</w:t>
      </w:r>
      <w:r w:rsidRPr="0013430F">
        <w:rPr>
          <w:rFonts w:ascii="Times New Roman" w:hAnsi="Times New Roman"/>
          <w:color w:val="000000"/>
          <w:sz w:val="24"/>
          <w:szCs w:val="24"/>
          <w:lang w:eastAsia="pt-BR"/>
        </w:rPr>
        <w:t> quando U é igual ou menor que 25 g. Também se aplica à carne, fígado, rim, miúdos e ovos comestíveis, grãos, sementes oleaginosas e leguminosas, quando o resíduo é resultante do uso pós-colheita de agrotóxico.</w:t>
      </w:r>
    </w:p>
    <w:p w14:paraId="4CFF0C36" w14:textId="77777777"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color w:val="000000"/>
          <w:sz w:val="24"/>
          <w:szCs w:val="24"/>
          <w:lang w:eastAsia="pt-BR"/>
        </w:rPr>
        <w:t>Assume-se que a concentração média de resíduo de agrotóxico encontrado na amostra reflete a concentração de resíduo da porção de alimento consumida. Nesse caso, não se espera haver variabilidade (ν = 1).</w:t>
      </w:r>
    </w:p>
    <w:p w14:paraId="5661C261" w14:textId="1047E4D4" w:rsidR="002676A5" w:rsidRDefault="002676A5" w:rsidP="00AB6156">
      <w:pPr>
        <w:spacing w:after="200" w:line="240" w:lineRule="auto"/>
        <w:rPr>
          <w:rFonts w:ascii="Times New Roman" w:hAnsi="Times New Roman"/>
          <w:i/>
          <w:iCs/>
          <w:color w:val="000000"/>
          <w:sz w:val="24"/>
          <w:szCs w:val="24"/>
          <w:lang w:eastAsia="pt-BR"/>
        </w:rPr>
      </w:pPr>
      <w:r>
        <w:rPr>
          <w:rFonts w:ascii="Times New Roman" w:hAnsi="Times New Roman"/>
          <w:i/>
          <w:iCs/>
          <w:color w:val="000000"/>
          <w:sz w:val="24"/>
          <w:szCs w:val="24"/>
          <w:lang w:eastAsia="pt-BR"/>
        </w:rPr>
        <w:t xml:space="preserve">    </w:t>
      </w:r>
      <w:r w:rsidR="0013430F" w:rsidRPr="00AB6156">
        <w:rPr>
          <w:rFonts w:ascii="Times New Roman" w:hAnsi="Times New Roman"/>
          <w:noProof/>
          <w:sz w:val="24"/>
          <w:szCs w:val="24"/>
        </w:rPr>
        <w:drawing>
          <wp:inline distT="0" distB="0" distL="0" distR="0" wp14:anchorId="05E56427" wp14:editId="454750E3">
            <wp:extent cx="4151630" cy="582295"/>
            <wp:effectExtent l="0" t="0" r="1270" b="8255"/>
            <wp:docPr id="6" name="Imagem 6" descr="C:\Users\raianne.coutinho\AppData\Local\Microsoft\Windows\INetCache\Content.MSO\5B6C72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ianne.coutinho\AppData\Local\Microsoft\Windows\INetCache\Content.MSO\5B6C727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1630" cy="582295"/>
                    </a:xfrm>
                    <a:prstGeom prst="rect">
                      <a:avLst/>
                    </a:prstGeom>
                    <a:noFill/>
                    <a:ln>
                      <a:noFill/>
                    </a:ln>
                  </pic:spPr>
                </pic:pic>
              </a:graphicData>
            </a:graphic>
          </wp:inline>
        </w:drawing>
      </w:r>
      <w:r>
        <w:rPr>
          <w:rFonts w:ascii="Times New Roman" w:hAnsi="Times New Roman"/>
          <w:i/>
          <w:iCs/>
          <w:color w:val="000000"/>
          <w:sz w:val="24"/>
          <w:szCs w:val="24"/>
          <w:lang w:eastAsia="pt-BR"/>
        </w:rPr>
        <w:t xml:space="preserve">                  </w:t>
      </w:r>
    </w:p>
    <w:p w14:paraId="423FD379" w14:textId="77777777" w:rsidR="002676A5" w:rsidRDefault="002676A5" w:rsidP="00AB6156">
      <w:pPr>
        <w:spacing w:after="200" w:line="240" w:lineRule="auto"/>
        <w:rPr>
          <w:rFonts w:ascii="Times New Roman" w:hAnsi="Times New Roman"/>
          <w:i/>
          <w:iCs/>
          <w:color w:val="000000"/>
          <w:sz w:val="24"/>
          <w:szCs w:val="24"/>
          <w:lang w:eastAsia="pt-BR"/>
        </w:rPr>
      </w:pPr>
    </w:p>
    <w:p w14:paraId="3F68F7FD" w14:textId="7F6AE0D2"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b/>
          <w:bCs/>
          <w:color w:val="000000"/>
          <w:sz w:val="24"/>
          <w:szCs w:val="24"/>
          <w:lang w:eastAsia="pt-BR"/>
        </w:rPr>
        <w:t>Caso 2:</w:t>
      </w:r>
      <w:r w:rsidRPr="0013430F">
        <w:rPr>
          <w:rFonts w:ascii="Times New Roman" w:hAnsi="Times New Roman"/>
          <w:color w:val="000000"/>
          <w:sz w:val="24"/>
          <w:szCs w:val="24"/>
          <w:lang w:eastAsia="pt-BR"/>
        </w:rPr>
        <w:t> quando U é maior que 25 g.</w:t>
      </w:r>
    </w:p>
    <w:p w14:paraId="38FE7875" w14:textId="77777777"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color w:val="000000"/>
          <w:sz w:val="24"/>
          <w:szCs w:val="24"/>
          <w:lang w:eastAsia="pt-BR"/>
        </w:rPr>
        <w:t>Caso 2a: quando U é menor que a MP, assume-se que a primeira unidade de um determinado lote ou amostra de alimento contém resíduos na concentração de [MCR x ν] e que as demais unidades contêm resíduos na concentração do MCR.</w:t>
      </w:r>
    </w:p>
    <w:p w14:paraId="155FE84A" w14:textId="3A11E70A" w:rsidR="0013430F" w:rsidRPr="0013430F" w:rsidRDefault="0013430F" w:rsidP="00AB6156">
      <w:pPr>
        <w:spacing w:after="200" w:line="240" w:lineRule="auto"/>
        <w:rPr>
          <w:rFonts w:ascii="Times New Roman" w:hAnsi="Times New Roman"/>
          <w:color w:val="000000"/>
          <w:sz w:val="24"/>
          <w:szCs w:val="24"/>
          <w:lang w:eastAsia="pt-BR"/>
        </w:rPr>
      </w:pPr>
      <w:r w:rsidRPr="00AB6156">
        <w:rPr>
          <w:rFonts w:ascii="Times New Roman" w:hAnsi="Times New Roman"/>
          <w:noProof/>
          <w:sz w:val="24"/>
          <w:szCs w:val="24"/>
        </w:rPr>
        <w:drawing>
          <wp:inline distT="0" distB="0" distL="0" distR="0" wp14:anchorId="4C3FE2CA" wp14:editId="6198C08C">
            <wp:extent cx="5400040" cy="469265"/>
            <wp:effectExtent l="0" t="0" r="0" b="6985"/>
            <wp:docPr id="5" name="Imagem 5" descr="C:\Users\raianne.coutinho\AppData\Local\Microsoft\Windows\INetCache\Content.MSO\5484D0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ianne.coutinho\AppData\Local\Microsoft\Windows\INetCache\Content.MSO\5484D09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69265"/>
                    </a:xfrm>
                    <a:prstGeom prst="rect">
                      <a:avLst/>
                    </a:prstGeom>
                    <a:noFill/>
                    <a:ln>
                      <a:noFill/>
                    </a:ln>
                  </pic:spPr>
                </pic:pic>
              </a:graphicData>
            </a:graphic>
          </wp:inline>
        </w:drawing>
      </w:r>
      <w:r w:rsidR="002676A5">
        <w:rPr>
          <w:rFonts w:ascii="Times New Roman" w:hAnsi="Times New Roman"/>
          <w:i/>
          <w:iCs/>
          <w:color w:val="000000"/>
          <w:sz w:val="24"/>
          <w:szCs w:val="24"/>
          <w:lang w:eastAsia="pt-BR"/>
        </w:rPr>
        <w:t xml:space="preserve">                </w:t>
      </w:r>
    </w:p>
    <w:p w14:paraId="1B5F12D0" w14:textId="77777777"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color w:val="000000"/>
          <w:sz w:val="24"/>
          <w:szCs w:val="24"/>
          <w:lang w:eastAsia="pt-BR"/>
        </w:rPr>
        <w:t>Caso 2b: quando U é maior ou igual à MP, assume-se que é consumida somente uma unidade do alimento que contém resíduo na concentração de [MCR x ν].</w:t>
      </w:r>
    </w:p>
    <w:p w14:paraId="29616452" w14:textId="1B62CF42" w:rsidR="0013430F" w:rsidRPr="0013430F" w:rsidRDefault="0013430F" w:rsidP="00AB6156">
      <w:pPr>
        <w:spacing w:after="200" w:line="240" w:lineRule="auto"/>
        <w:rPr>
          <w:rFonts w:ascii="Times New Roman" w:hAnsi="Times New Roman"/>
          <w:color w:val="000000"/>
          <w:sz w:val="24"/>
          <w:szCs w:val="24"/>
          <w:lang w:eastAsia="pt-BR"/>
        </w:rPr>
      </w:pPr>
      <w:r w:rsidRPr="00AB6156">
        <w:rPr>
          <w:rFonts w:ascii="Times New Roman" w:hAnsi="Times New Roman"/>
          <w:noProof/>
          <w:sz w:val="24"/>
          <w:szCs w:val="24"/>
        </w:rPr>
        <w:drawing>
          <wp:inline distT="0" distB="0" distL="0" distR="0" wp14:anchorId="49EC492E" wp14:editId="61692FFC">
            <wp:extent cx="4306570" cy="589915"/>
            <wp:effectExtent l="0" t="0" r="0" b="635"/>
            <wp:docPr id="4" name="Imagem 4" descr="C:\Users\raianne.coutinho\AppData\Local\Microsoft\Windows\INetCache\Content.MSO\CFFDBA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ianne.coutinho\AppData\Local\Microsoft\Windows\INetCache\Content.MSO\CFFDBA6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6570" cy="589915"/>
                    </a:xfrm>
                    <a:prstGeom prst="rect">
                      <a:avLst/>
                    </a:prstGeom>
                    <a:noFill/>
                    <a:ln>
                      <a:noFill/>
                    </a:ln>
                  </pic:spPr>
                </pic:pic>
              </a:graphicData>
            </a:graphic>
          </wp:inline>
        </w:drawing>
      </w:r>
    </w:p>
    <w:p w14:paraId="18525E74" w14:textId="3EAD7E5A"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b/>
          <w:bCs/>
          <w:color w:val="000000"/>
          <w:sz w:val="24"/>
          <w:szCs w:val="24"/>
          <w:lang w:eastAsia="pt-BR"/>
        </w:rPr>
        <w:t>Caso 3:</w:t>
      </w:r>
      <w:r w:rsidRPr="0013430F">
        <w:rPr>
          <w:rFonts w:ascii="Times New Roman" w:hAnsi="Times New Roman"/>
          <w:color w:val="000000"/>
          <w:sz w:val="24"/>
          <w:szCs w:val="24"/>
          <w:lang w:eastAsia="pt-BR"/>
        </w:rPr>
        <w:t xml:space="preserve"> quando o </w:t>
      </w:r>
      <w:proofErr w:type="gramStart"/>
      <w:r w:rsidRPr="0013430F">
        <w:rPr>
          <w:rFonts w:ascii="Times New Roman" w:hAnsi="Times New Roman"/>
          <w:color w:val="000000"/>
          <w:sz w:val="24"/>
          <w:szCs w:val="24"/>
          <w:lang w:eastAsia="pt-BR"/>
        </w:rPr>
        <w:t>alimento  </w:t>
      </w:r>
      <w:r w:rsidRPr="0013430F">
        <w:rPr>
          <w:rFonts w:ascii="Times New Roman" w:hAnsi="Times New Roman"/>
          <w:i/>
          <w:iCs/>
          <w:color w:val="000000"/>
          <w:sz w:val="24"/>
          <w:szCs w:val="24"/>
          <w:lang w:eastAsia="pt-BR"/>
        </w:rPr>
        <w:t>in</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natura</w:t>
      </w:r>
      <w:r w:rsidRPr="0013430F">
        <w:rPr>
          <w:rFonts w:ascii="Times New Roman" w:hAnsi="Times New Roman"/>
          <w:color w:val="000000"/>
          <w:sz w:val="24"/>
          <w:szCs w:val="24"/>
          <w:lang w:eastAsia="pt-BR"/>
        </w:rPr>
        <w:t> ou processado é agregado ou misturado, devido à existência de vários produtores como origem. Também se aplica a leite, grãos, sementes oleaginosas e leguminosas quando é comprovado que o resíduo é resultante do uso pré-colheita de agrotóxico. Caso contrário, deve-se utilizar a equação 1.1 (caso 1).</w:t>
      </w:r>
    </w:p>
    <w:p w14:paraId="2AFE589D" w14:textId="240099F9" w:rsidR="0013430F" w:rsidRPr="0013430F" w:rsidRDefault="002676A5" w:rsidP="00AB6156">
      <w:pPr>
        <w:spacing w:after="200" w:line="240" w:lineRule="auto"/>
        <w:rPr>
          <w:rFonts w:ascii="Times New Roman" w:hAnsi="Times New Roman"/>
          <w:color w:val="000000"/>
          <w:sz w:val="24"/>
          <w:szCs w:val="24"/>
          <w:lang w:eastAsia="pt-BR"/>
        </w:rPr>
      </w:pPr>
      <w:r>
        <w:rPr>
          <w:rFonts w:ascii="Times New Roman" w:hAnsi="Times New Roman"/>
          <w:i/>
          <w:iCs/>
          <w:color w:val="000000"/>
          <w:sz w:val="24"/>
          <w:szCs w:val="24"/>
          <w:lang w:eastAsia="pt-BR"/>
        </w:rPr>
        <w:t xml:space="preserve">  </w:t>
      </w:r>
      <w:r w:rsidR="0013430F" w:rsidRPr="00AB6156">
        <w:rPr>
          <w:rFonts w:ascii="Times New Roman" w:hAnsi="Times New Roman"/>
          <w:noProof/>
          <w:sz w:val="24"/>
          <w:szCs w:val="24"/>
        </w:rPr>
        <w:drawing>
          <wp:inline distT="0" distB="0" distL="0" distR="0" wp14:anchorId="08C055D6" wp14:editId="4CCD8E15">
            <wp:extent cx="4085590" cy="597535"/>
            <wp:effectExtent l="0" t="0" r="0" b="0"/>
            <wp:docPr id="3" name="Imagem 3" descr="C:\Users\raianne.coutinho\AppData\Local\Microsoft\Windows\INetCache\Content.MSO\6DE61B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ianne.coutinho\AppData\Local\Microsoft\Windows\INetCache\Content.MSO\6DE61B6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5590" cy="597535"/>
                    </a:xfrm>
                    <a:prstGeom prst="rect">
                      <a:avLst/>
                    </a:prstGeom>
                    <a:noFill/>
                    <a:ln>
                      <a:noFill/>
                    </a:ln>
                  </pic:spPr>
                </pic:pic>
              </a:graphicData>
            </a:graphic>
          </wp:inline>
        </w:drawing>
      </w:r>
      <w:r>
        <w:rPr>
          <w:rFonts w:ascii="Times New Roman" w:hAnsi="Times New Roman"/>
          <w:i/>
          <w:iCs/>
          <w:color w:val="000000"/>
          <w:sz w:val="24"/>
          <w:szCs w:val="24"/>
          <w:lang w:eastAsia="pt-BR"/>
        </w:rPr>
        <w:t xml:space="preserve">                    </w:t>
      </w:r>
    </w:p>
    <w:p w14:paraId="7A9A5C05" w14:textId="77777777"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color w:val="000000"/>
          <w:sz w:val="24"/>
          <w:szCs w:val="24"/>
          <w:lang w:eastAsia="pt-BR"/>
        </w:rPr>
        <w:lastRenderedPageBreak/>
        <w:t>Onde:</w:t>
      </w:r>
    </w:p>
    <w:p w14:paraId="0EC9159E" w14:textId="351E2A5B"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MP</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Maior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Porção,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equivalente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percentil</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97,5</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curva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distribuição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consumo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diário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Pr="0013430F">
        <w:rPr>
          <w:rFonts w:ascii="Times New Roman" w:hAnsi="Times New Roman"/>
          <w:color w:val="000000"/>
          <w:sz w:val="24"/>
          <w:szCs w:val="24"/>
          <w:lang w:eastAsia="pt-BR"/>
        </w:rPr>
        <w:t>ν</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um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expresso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quilograma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(kg)</w:t>
      </w:r>
    </w:p>
    <w:p w14:paraId="534F1428" w14:textId="53C70867"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FC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Fator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Conversão</w:t>
      </w:r>
    </w:p>
    <w:p w14:paraId="1BC5207E" w14:textId="714721C1"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FP</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Fator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Processamento</w:t>
      </w:r>
    </w:p>
    <w:p w14:paraId="747C5311" w14:textId="115C2419"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MCR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Maior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Concentração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Resíduo,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expresso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miligrama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resíduo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quilograma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(mg/kg)</w:t>
      </w:r>
    </w:p>
    <w:p w14:paraId="608BB673" w14:textId="072A86FA"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MREC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Mediana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Resíduos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Estudos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Campo,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expresso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miligrama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resíduo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quilograma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(mg/kg)</w:t>
      </w:r>
    </w:p>
    <w:p w14:paraId="6AE33C9B" w14:textId="491C4F22"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PC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Peso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Corpóreo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médio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consumidores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para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cálculo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IMEA,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expresso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quilograma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(kg)</w:t>
      </w:r>
    </w:p>
    <w:p w14:paraId="2A98F68E" w14:textId="5E4FD5A0"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U</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Peso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médio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unidade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preferencialmente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na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parte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habitualmente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consumida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pela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população,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expresso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quilograma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(kg)</w:t>
      </w:r>
    </w:p>
    <w:p w14:paraId="49375CF5" w14:textId="7DE20765"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U</w:t>
      </w:r>
      <w:r w:rsidRPr="0013430F">
        <w:rPr>
          <w:rFonts w:ascii="Times New Roman" w:hAnsi="Times New Roman"/>
          <w:i/>
          <w:iCs/>
          <w:color w:val="000000"/>
          <w:sz w:val="24"/>
          <w:szCs w:val="24"/>
          <w:vertAlign w:val="subscript"/>
          <w:lang w:eastAsia="pt-BR"/>
        </w:rPr>
        <w:t>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Peso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médio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porção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comestível</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unidade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expresso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quilograma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(kg)</w:t>
      </w:r>
    </w:p>
    <w:p w14:paraId="7B81BE9B" w14:textId="26AD0CEE" w:rsidR="00AB6156"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color w:val="000000"/>
          <w:sz w:val="24"/>
          <w:szCs w:val="24"/>
          <w:lang w:eastAsia="pt-BR"/>
        </w:rPr>
        <w:t>ν</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Fator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variabilidade</w:t>
      </w:r>
    </w:p>
    <w:p w14:paraId="5586C388" w14:textId="0C23E36D"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b/>
          <w:bCs/>
          <w:i/>
          <w:iCs/>
          <w:color w:val="000000"/>
          <w:sz w:val="24"/>
          <w:szCs w:val="24"/>
          <w:lang w:eastAsia="pt-BR"/>
        </w:rPr>
        <w:t>Notas:</w:t>
      </w:r>
      <w:r w:rsidR="002676A5">
        <w:rPr>
          <w:rFonts w:ascii="Times New Roman" w:hAnsi="Times New Roman"/>
          <w:b/>
          <w:bCs/>
          <w:i/>
          <w:iCs/>
          <w:color w:val="000000"/>
          <w:sz w:val="24"/>
          <w:szCs w:val="24"/>
          <w:lang w:eastAsia="pt-BR"/>
        </w:rPr>
        <w:t xml:space="preserve">          </w:t>
      </w:r>
    </w:p>
    <w:p w14:paraId="2E0813D2" w14:textId="6C554A4F" w:rsidR="0013430F" w:rsidRPr="0013430F" w:rsidRDefault="0013430F" w:rsidP="00AB6156">
      <w:pPr>
        <w:numPr>
          <w:ilvl w:val="0"/>
          <w:numId w:val="8"/>
        </w:num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Na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indisponibilidade</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dados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permitam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obter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MCR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ou</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MREC,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LMR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ser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utilizado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como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concentração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resíduo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para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cálculo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IMEA.</w:t>
      </w:r>
    </w:p>
    <w:p w14:paraId="06ED29D9" w14:textId="32F95B52" w:rsidR="0013430F" w:rsidRPr="0013430F" w:rsidRDefault="0013430F" w:rsidP="00AB6156">
      <w:pPr>
        <w:numPr>
          <w:ilvl w:val="0"/>
          <w:numId w:val="8"/>
        </w:num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Quando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valor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U</w:t>
      </w:r>
      <w:r w:rsidRPr="0013430F">
        <w:rPr>
          <w:rFonts w:ascii="Times New Roman" w:hAnsi="Times New Roman"/>
          <w:i/>
          <w:iCs/>
          <w:color w:val="000000"/>
          <w:sz w:val="24"/>
          <w:szCs w:val="24"/>
          <w:vertAlign w:val="subscript"/>
          <w:lang w:eastAsia="pt-BR"/>
        </w:rPr>
        <w:t>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não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estiver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disponível,</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será</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considerado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valor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U</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na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equação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1.2.</w:t>
      </w:r>
    </w:p>
    <w:p w14:paraId="5F91F1CE" w14:textId="7422779D" w:rsidR="00AB6156" w:rsidRDefault="0013430F" w:rsidP="00AB6156">
      <w:pPr>
        <w:numPr>
          <w:ilvl w:val="0"/>
          <w:numId w:val="8"/>
        </w:num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Quando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disponível</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valores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MCR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ou</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MREC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na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porção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comestível</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ou</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para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processados,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uso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FP</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não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se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aplica.</w:t>
      </w:r>
    </w:p>
    <w:p w14:paraId="4ED437E1" w14:textId="4EF67276"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b/>
          <w:bCs/>
          <w:color w:val="000000"/>
          <w:sz w:val="24"/>
          <w:szCs w:val="24"/>
          <w:lang w:eastAsia="pt-BR"/>
        </w:rPr>
        <w:t>2- CÁLCULOS DA INGESTÃO DIÁRIA MÁXIMA TEÓRICA (IDMT)</w:t>
      </w:r>
    </w:p>
    <w:p w14:paraId="3E709A5D" w14:textId="77777777"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color w:val="000000"/>
          <w:sz w:val="24"/>
          <w:szCs w:val="24"/>
          <w:lang w:eastAsia="pt-BR"/>
        </w:rPr>
        <w:t>A Ingestão Diária Máxima Teórica (IDMT) é calculada pela equação 2.1.</w:t>
      </w:r>
    </w:p>
    <w:p w14:paraId="00DEC3A5" w14:textId="01E83616" w:rsidR="0013430F" w:rsidRPr="0013430F" w:rsidRDefault="0013430F" w:rsidP="00AB6156">
      <w:pPr>
        <w:spacing w:after="200" w:line="240" w:lineRule="auto"/>
        <w:rPr>
          <w:rFonts w:ascii="Times New Roman" w:hAnsi="Times New Roman"/>
          <w:color w:val="000000"/>
          <w:sz w:val="24"/>
          <w:szCs w:val="24"/>
          <w:lang w:eastAsia="pt-BR"/>
        </w:rPr>
      </w:pPr>
      <w:r w:rsidRPr="00AB6156">
        <w:rPr>
          <w:rFonts w:ascii="Times New Roman" w:hAnsi="Times New Roman"/>
          <w:noProof/>
          <w:sz w:val="24"/>
          <w:szCs w:val="24"/>
        </w:rPr>
        <w:drawing>
          <wp:inline distT="0" distB="0" distL="0" distR="0" wp14:anchorId="55A9AA57" wp14:editId="3D9AB751">
            <wp:extent cx="4188460" cy="427990"/>
            <wp:effectExtent l="0" t="0" r="2540" b="0"/>
            <wp:docPr id="1" name="Imagem 1" descr="C:\Users\raianne.coutinho\AppData\Local\Microsoft\Windows\INetCache\Content.MSO\38B96B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ianne.coutinho\AppData\Local\Microsoft\Windows\INetCache\Content.MSO\38B96B1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8460" cy="427990"/>
                    </a:xfrm>
                    <a:prstGeom prst="rect">
                      <a:avLst/>
                    </a:prstGeom>
                    <a:noFill/>
                    <a:ln>
                      <a:noFill/>
                    </a:ln>
                  </pic:spPr>
                </pic:pic>
              </a:graphicData>
            </a:graphic>
          </wp:inline>
        </w:drawing>
      </w:r>
      <w:r w:rsidR="002676A5">
        <w:rPr>
          <w:rFonts w:ascii="Times New Roman" w:hAnsi="Times New Roman"/>
          <w:i/>
          <w:iCs/>
          <w:color w:val="000000"/>
          <w:sz w:val="24"/>
          <w:szCs w:val="24"/>
          <w:lang w:eastAsia="pt-BR"/>
        </w:rPr>
        <w:t xml:space="preserve">          </w:t>
      </w:r>
    </w:p>
    <w:p w14:paraId="7D044CF5" w14:textId="77777777"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color w:val="000000"/>
          <w:sz w:val="24"/>
          <w:szCs w:val="24"/>
          <w:lang w:eastAsia="pt-BR"/>
        </w:rPr>
        <w:t>Onde:</w:t>
      </w:r>
    </w:p>
    <w:p w14:paraId="29093FCD" w14:textId="02F1D930"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MREC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Mediana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Resíduos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Estudos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Campo,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expresso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miligrama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resíduo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quilograma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(mg/kg)</w:t>
      </w:r>
    </w:p>
    <w:p w14:paraId="62E176F5" w14:textId="1B11DA0F"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color w:val="000000"/>
          <w:sz w:val="24"/>
          <w:szCs w:val="24"/>
          <w:lang w:eastAsia="pt-BR"/>
        </w:rPr>
        <w:t>C - </w:t>
      </w:r>
      <w:proofErr w:type="gramStart"/>
      <w:r w:rsidRPr="0013430F">
        <w:rPr>
          <w:rFonts w:ascii="Times New Roman" w:hAnsi="Times New Roman"/>
          <w:i/>
          <w:iCs/>
          <w:color w:val="000000"/>
          <w:sz w:val="24"/>
          <w:szCs w:val="24"/>
          <w:lang w:eastAsia="pt-BR"/>
        </w:rPr>
        <w:t>Consumo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diário</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per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capita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expresso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quilograma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(kg)</w:t>
      </w:r>
    </w:p>
    <w:p w14:paraId="7E9D8CE3" w14:textId="39B85BF1"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lastRenderedPageBreak/>
        <w:t>FC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Fator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Conversão</w:t>
      </w:r>
    </w:p>
    <w:p w14:paraId="7D32D247" w14:textId="27BE5BF4"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FP</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Fator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Processamento</w:t>
      </w:r>
    </w:p>
    <w:p w14:paraId="21B9EAB3" w14:textId="4C53DC0D" w:rsidR="0013430F" w:rsidRPr="0013430F" w:rsidRDefault="0013430F" w:rsidP="00AB6156">
      <w:p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PC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Peso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Corpóreo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médio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população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para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cálculo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IDMT,</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expresso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quilograma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(kg)</w:t>
      </w:r>
    </w:p>
    <w:p w14:paraId="746DA712" w14:textId="23C5A558" w:rsidR="0013430F" w:rsidRPr="0013430F" w:rsidRDefault="0013430F" w:rsidP="00AB6156">
      <w:pPr>
        <w:spacing w:after="200" w:line="240" w:lineRule="auto"/>
        <w:rPr>
          <w:rFonts w:ascii="Times New Roman" w:hAnsi="Times New Roman"/>
          <w:color w:val="000000"/>
          <w:sz w:val="24"/>
          <w:szCs w:val="24"/>
          <w:lang w:eastAsia="pt-BR"/>
        </w:rPr>
      </w:pPr>
      <w:r w:rsidRPr="0013430F">
        <w:rPr>
          <w:rFonts w:ascii="Times New Roman" w:hAnsi="Times New Roman"/>
          <w:b/>
          <w:bCs/>
          <w:i/>
          <w:iCs/>
          <w:color w:val="000000"/>
          <w:sz w:val="24"/>
          <w:szCs w:val="24"/>
          <w:lang w:eastAsia="pt-BR"/>
        </w:rPr>
        <w:t>Notas:</w:t>
      </w:r>
      <w:r w:rsidR="002676A5">
        <w:rPr>
          <w:rFonts w:ascii="Times New Roman" w:hAnsi="Times New Roman"/>
          <w:b/>
          <w:bCs/>
          <w:i/>
          <w:iCs/>
          <w:color w:val="000000"/>
          <w:sz w:val="24"/>
          <w:szCs w:val="24"/>
          <w:lang w:eastAsia="pt-BR"/>
        </w:rPr>
        <w:t xml:space="preserve">          </w:t>
      </w:r>
    </w:p>
    <w:p w14:paraId="2DAF59C6" w14:textId="4A063729" w:rsidR="0013430F" w:rsidRPr="0013430F" w:rsidRDefault="0013430F" w:rsidP="00AB6156">
      <w:pPr>
        <w:numPr>
          <w:ilvl w:val="0"/>
          <w:numId w:val="9"/>
        </w:num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Na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indisponibilidade</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dados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permitam</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obter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MREC,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LMR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ser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utilizado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como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concentração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resíduo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para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cálculo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IDMT.</w:t>
      </w:r>
    </w:p>
    <w:p w14:paraId="3B13BAB3" w14:textId="33425A41" w:rsidR="0013430F" w:rsidRPr="0013430F" w:rsidRDefault="0013430F" w:rsidP="00AB6156">
      <w:pPr>
        <w:numPr>
          <w:ilvl w:val="0"/>
          <w:numId w:val="9"/>
        </w:num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Quando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quantidade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dados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consumo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individual</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for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insuficiente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para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estimar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média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consumo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per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capita,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valor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ser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substituído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pelo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consumo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Pr="0013430F">
        <w:rPr>
          <w:rFonts w:ascii="Times New Roman" w:hAnsi="Times New Roman"/>
          <w:color w:val="000000"/>
          <w:sz w:val="24"/>
          <w:szCs w:val="24"/>
          <w:lang w:eastAsia="pt-BR"/>
        </w:rPr>
        <w:t> </w:t>
      </w:r>
      <w:r w:rsidRPr="0013430F">
        <w:rPr>
          <w:rFonts w:ascii="Times New Roman" w:hAnsi="Times New Roman"/>
          <w:i/>
          <w:iCs/>
          <w:color w:val="000000"/>
          <w:sz w:val="24"/>
          <w:szCs w:val="24"/>
          <w:lang w:eastAsia="pt-BR"/>
        </w:rPr>
        <w:t>que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melhor</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represente,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expresso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quilograma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(kg);</w:t>
      </w:r>
    </w:p>
    <w:p w14:paraId="73EF944F" w14:textId="29B19601" w:rsidR="00AB6156" w:rsidRDefault="0013430F" w:rsidP="00AB6156">
      <w:pPr>
        <w:numPr>
          <w:ilvl w:val="0"/>
          <w:numId w:val="9"/>
        </w:numPr>
        <w:spacing w:after="200" w:line="240" w:lineRule="auto"/>
        <w:rPr>
          <w:rFonts w:ascii="Times New Roman" w:hAnsi="Times New Roman"/>
          <w:color w:val="000000"/>
          <w:sz w:val="24"/>
          <w:szCs w:val="24"/>
          <w:lang w:eastAsia="pt-BR"/>
        </w:rPr>
      </w:pPr>
      <w:proofErr w:type="gramStart"/>
      <w:r w:rsidRPr="0013430F">
        <w:rPr>
          <w:rFonts w:ascii="Times New Roman" w:hAnsi="Times New Roman"/>
          <w:i/>
          <w:iCs/>
          <w:color w:val="000000"/>
          <w:sz w:val="24"/>
          <w:szCs w:val="24"/>
          <w:lang w:eastAsia="pt-BR"/>
        </w:rPr>
        <w:t>Quando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disponível</w:t>
      </w:r>
      <w:proofErr w:type="gramEnd"/>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valores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MREC</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na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porção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comestível</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ou</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para</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alimentos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processados,</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uso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do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FP</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não</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se</w:t>
      </w:r>
      <w:r w:rsidR="002676A5">
        <w:rPr>
          <w:rFonts w:ascii="Times New Roman" w:hAnsi="Times New Roman"/>
          <w:i/>
          <w:iCs/>
          <w:color w:val="000000"/>
          <w:sz w:val="24"/>
          <w:szCs w:val="24"/>
          <w:lang w:eastAsia="pt-BR"/>
        </w:rPr>
        <w:t xml:space="preserve">  </w:t>
      </w:r>
      <w:r w:rsidRPr="0013430F">
        <w:rPr>
          <w:rFonts w:ascii="Times New Roman" w:hAnsi="Times New Roman"/>
          <w:i/>
          <w:iCs/>
          <w:color w:val="000000"/>
          <w:sz w:val="24"/>
          <w:szCs w:val="24"/>
          <w:lang w:eastAsia="pt-BR"/>
        </w:rPr>
        <w:t>aplica.</w:t>
      </w:r>
    </w:p>
    <w:p w14:paraId="0CAED184" w14:textId="2DAA28E5" w:rsidR="0013430F" w:rsidRPr="00AB6156" w:rsidRDefault="0013430F" w:rsidP="00AB6156">
      <w:pPr>
        <w:spacing w:after="200" w:line="240" w:lineRule="auto"/>
        <w:ind w:firstLine="567"/>
        <w:jc w:val="both"/>
        <w:rPr>
          <w:rFonts w:ascii="Times New Roman" w:hAnsi="Times New Roman"/>
          <w:sz w:val="24"/>
          <w:szCs w:val="24"/>
        </w:rPr>
      </w:pPr>
    </w:p>
    <w:sectPr w:rsidR="0013430F" w:rsidRPr="00AB6156" w:rsidSect="00AF4E9B">
      <w:headerReference w:type="even" r:id="rId16"/>
      <w:headerReference w:type="default" r:id="rId17"/>
      <w:footerReference w:type="even" r:id="rId18"/>
      <w:footerReference w:type="default" r:id="rId19"/>
      <w:headerReference w:type="first" r:id="rId20"/>
      <w:footerReference w:type="firs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A073D" w14:textId="77777777" w:rsidR="00126DA9" w:rsidRDefault="00126DA9" w:rsidP="00656324">
      <w:pPr>
        <w:spacing w:after="0" w:line="240" w:lineRule="auto"/>
      </w:pPr>
      <w:r>
        <w:separator/>
      </w:r>
    </w:p>
  </w:endnote>
  <w:endnote w:type="continuationSeparator" w:id="0">
    <w:p w14:paraId="67DD42B2" w14:textId="77777777" w:rsidR="00126DA9" w:rsidRDefault="00126DA9" w:rsidP="0065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D439" w14:textId="77777777" w:rsidR="00782F57" w:rsidRDefault="00782F5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81DB" w14:textId="77777777" w:rsidR="00656324" w:rsidRDefault="00656324" w:rsidP="00656324">
    <w:pPr>
      <w:tabs>
        <w:tab w:val="right" w:pos="8504"/>
      </w:tabs>
      <w:spacing w:after="0" w:line="240" w:lineRule="auto"/>
      <w:jc w:val="center"/>
      <w:rPr>
        <w:rFonts w:ascii="Calibri" w:hAnsi="Calibri"/>
        <w:color w:val="943634"/>
        <w:sz w:val="24"/>
        <w:szCs w:val="24"/>
      </w:rPr>
    </w:pPr>
    <w:r w:rsidRPr="0018049F">
      <w:rPr>
        <w:rFonts w:ascii="Calibri" w:hAnsi="Calibri"/>
        <w:color w:val="943634"/>
        <w:sz w:val="24"/>
        <w:szCs w:val="24"/>
      </w:rPr>
      <w:t>Este texto não substitui o(s) publicado(s) em Diário Oficial da União.</w:t>
    </w:r>
  </w:p>
  <w:p w14:paraId="6F1A6421" w14:textId="77777777" w:rsidR="00656324" w:rsidRDefault="0065632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4594F" w14:textId="77777777" w:rsidR="00782F57" w:rsidRDefault="00782F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A741E" w14:textId="77777777" w:rsidR="00126DA9" w:rsidRDefault="00126DA9" w:rsidP="00656324">
      <w:pPr>
        <w:spacing w:after="0" w:line="240" w:lineRule="auto"/>
      </w:pPr>
      <w:r>
        <w:separator/>
      </w:r>
    </w:p>
  </w:footnote>
  <w:footnote w:type="continuationSeparator" w:id="0">
    <w:p w14:paraId="7E98E3A8" w14:textId="77777777" w:rsidR="00126DA9" w:rsidRDefault="00126DA9" w:rsidP="00656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72C4B" w14:textId="77777777" w:rsidR="00782F57" w:rsidRDefault="00782F5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BF840" w14:textId="77777777" w:rsidR="00656324" w:rsidRPr="0018049F" w:rsidRDefault="00104782" w:rsidP="00656324">
    <w:pPr>
      <w:pStyle w:val="PargrafodaLista"/>
      <w:tabs>
        <w:tab w:val="center" w:pos="4252"/>
        <w:tab w:val="right" w:pos="8504"/>
      </w:tabs>
      <w:spacing w:after="0" w:line="240" w:lineRule="auto"/>
      <w:ind w:left="0"/>
      <w:jc w:val="center"/>
      <w:rPr>
        <w:rFonts w:ascii="Calibri" w:hAnsi="Calibri"/>
      </w:rPr>
    </w:pPr>
    <w:r w:rsidRPr="00612614">
      <w:rPr>
        <w:noProof/>
        <w:lang w:eastAsia="pt-BR"/>
      </w:rPr>
      <w:drawing>
        <wp:inline distT="0" distB="0" distL="0" distR="0" wp14:anchorId="5DF70F48" wp14:editId="6A12356A">
          <wp:extent cx="638175" cy="629920"/>
          <wp:effectExtent l="0" t="0" r="0" b="0"/>
          <wp:docPr id="2" name="Imagem 7"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29920"/>
                  </a:xfrm>
                  <a:prstGeom prst="rect">
                    <a:avLst/>
                  </a:prstGeom>
                  <a:noFill/>
                  <a:ln>
                    <a:noFill/>
                  </a:ln>
                </pic:spPr>
              </pic:pic>
            </a:graphicData>
          </a:graphic>
        </wp:inline>
      </w:drawing>
    </w:r>
  </w:p>
  <w:p w14:paraId="614F7CA6" w14:textId="77777777" w:rsidR="00656324" w:rsidRPr="0018049F" w:rsidRDefault="00656324" w:rsidP="00656324">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14:paraId="416DDE7F" w14:textId="77777777" w:rsidR="00656324" w:rsidRDefault="00656324" w:rsidP="00656324">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14:paraId="2EFD8115" w14:textId="77777777" w:rsidR="00656324" w:rsidRDefault="00656324" w:rsidP="00656324">
    <w:pPr>
      <w:pStyle w:val="PargrafodaLista"/>
      <w:tabs>
        <w:tab w:val="center" w:pos="4252"/>
        <w:tab w:val="right" w:pos="8504"/>
      </w:tabs>
      <w:spacing w:after="0" w:line="240" w:lineRule="auto"/>
      <w:ind w:left="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6C007" w14:textId="77777777" w:rsidR="00782F57" w:rsidRDefault="00782F5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F5"/>
    <w:multiLevelType w:val="multilevel"/>
    <w:tmpl w:val="3258A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B4E2B"/>
    <w:multiLevelType w:val="multilevel"/>
    <w:tmpl w:val="1706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D415A"/>
    <w:multiLevelType w:val="multilevel"/>
    <w:tmpl w:val="9ADC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24876"/>
    <w:multiLevelType w:val="multilevel"/>
    <w:tmpl w:val="11FC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C4164"/>
    <w:multiLevelType w:val="multilevel"/>
    <w:tmpl w:val="BE2A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95DF5"/>
    <w:multiLevelType w:val="multilevel"/>
    <w:tmpl w:val="8CCC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123822"/>
    <w:multiLevelType w:val="multilevel"/>
    <w:tmpl w:val="61E8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lvlOverride w:ilvl="0">
      <w:startOverride w:val="4"/>
    </w:lvlOverride>
  </w:num>
  <w:num w:numId="4">
    <w:abstractNumId w:val="3"/>
    <w:lvlOverride w:ilvl="0">
      <w:startOverride w:val="5"/>
    </w:lvlOverride>
  </w:num>
  <w:num w:numId="5">
    <w:abstractNumId w:val="3"/>
    <w:lvlOverride w:ilvl="0">
      <w:startOverride w:val="6"/>
    </w:lvlOverride>
  </w:num>
  <w:num w:numId="6">
    <w:abstractNumId w:val="0"/>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1D"/>
    <w:rsid w:val="00103539"/>
    <w:rsid w:val="00104782"/>
    <w:rsid w:val="00126DA9"/>
    <w:rsid w:val="0013430F"/>
    <w:rsid w:val="00143412"/>
    <w:rsid w:val="001644A8"/>
    <w:rsid w:val="0018049F"/>
    <w:rsid w:val="001E53AA"/>
    <w:rsid w:val="002676A5"/>
    <w:rsid w:val="004144CC"/>
    <w:rsid w:val="00423638"/>
    <w:rsid w:val="0042556E"/>
    <w:rsid w:val="004C3529"/>
    <w:rsid w:val="00557C58"/>
    <w:rsid w:val="00612614"/>
    <w:rsid w:val="00656324"/>
    <w:rsid w:val="006B7BB9"/>
    <w:rsid w:val="00782F57"/>
    <w:rsid w:val="00847036"/>
    <w:rsid w:val="008B779E"/>
    <w:rsid w:val="008D7FC7"/>
    <w:rsid w:val="00944228"/>
    <w:rsid w:val="00A31ED1"/>
    <w:rsid w:val="00AB6156"/>
    <w:rsid w:val="00AF49B1"/>
    <w:rsid w:val="00AF4E9B"/>
    <w:rsid w:val="00BE216A"/>
    <w:rsid w:val="00C02D9F"/>
    <w:rsid w:val="00CC6090"/>
    <w:rsid w:val="00E241E3"/>
    <w:rsid w:val="00E4751D"/>
    <w:rsid w:val="00EB45B4"/>
    <w:rsid w:val="00ED396C"/>
    <w:rsid w:val="00EF33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FCDB2"/>
  <w14:defaultImageDpi w14:val="0"/>
  <w15:docId w15:val="{A41C403F-A7B3-4235-B19E-9AEC09A9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alinhadoesquerda">
    <w:name w:val="texto_alinhado_esquerda"/>
    <w:basedOn w:val="Normal"/>
    <w:rsid w:val="00E4751D"/>
    <w:pPr>
      <w:spacing w:before="120" w:after="120" w:line="240" w:lineRule="auto"/>
      <w:ind w:left="120" w:right="120"/>
    </w:pPr>
    <w:rPr>
      <w:rFonts w:ascii="Calibri" w:hAnsi="Calibri" w:cs="Calibri"/>
      <w:sz w:val="24"/>
      <w:szCs w:val="24"/>
      <w:lang w:eastAsia="pt-BR"/>
    </w:rPr>
  </w:style>
  <w:style w:type="paragraph" w:customStyle="1" w:styleId="textocentralizado">
    <w:name w:val="texto_centralizado"/>
    <w:basedOn w:val="Normal"/>
    <w:rsid w:val="00E4751D"/>
    <w:pPr>
      <w:spacing w:before="120" w:after="120" w:line="240" w:lineRule="auto"/>
      <w:ind w:left="120" w:right="120"/>
      <w:jc w:val="center"/>
    </w:pPr>
    <w:rPr>
      <w:rFonts w:ascii="Calibri" w:hAnsi="Calibri" w:cs="Calibri"/>
      <w:sz w:val="24"/>
      <w:szCs w:val="24"/>
      <w:lang w:eastAsia="pt-BR"/>
    </w:rPr>
  </w:style>
  <w:style w:type="paragraph" w:customStyle="1" w:styleId="textojustificado">
    <w:name w:val="texto_justificado"/>
    <w:basedOn w:val="Normal"/>
    <w:rsid w:val="00E4751D"/>
    <w:pPr>
      <w:spacing w:before="120" w:after="120" w:line="240" w:lineRule="auto"/>
      <w:ind w:left="120" w:right="120"/>
      <w:jc w:val="both"/>
    </w:pPr>
    <w:rPr>
      <w:rFonts w:ascii="Calibri" w:hAnsi="Calibri" w:cs="Calibri"/>
      <w:sz w:val="24"/>
      <w:szCs w:val="24"/>
      <w:lang w:eastAsia="pt-BR"/>
    </w:rPr>
  </w:style>
  <w:style w:type="paragraph" w:customStyle="1" w:styleId="textojustificadoespacamentosimples">
    <w:name w:val="texto_justificado_espacamento_simples"/>
    <w:basedOn w:val="Normal"/>
    <w:rsid w:val="00E4751D"/>
    <w:pPr>
      <w:spacing w:after="0" w:line="240" w:lineRule="auto"/>
      <w:jc w:val="both"/>
    </w:pPr>
    <w:rPr>
      <w:rFonts w:ascii="Calibri" w:hAnsi="Calibri" w:cs="Calibri"/>
      <w:sz w:val="24"/>
      <w:szCs w:val="24"/>
      <w:lang w:eastAsia="pt-BR"/>
    </w:rPr>
  </w:style>
  <w:style w:type="character" w:styleId="Forte">
    <w:name w:val="Strong"/>
    <w:basedOn w:val="Fontepargpadro"/>
    <w:uiPriority w:val="22"/>
    <w:qFormat/>
    <w:rsid w:val="00E4751D"/>
    <w:rPr>
      <w:rFonts w:cs="Times New Roman"/>
      <w:b/>
      <w:bCs/>
    </w:rPr>
  </w:style>
  <w:style w:type="paragraph" w:styleId="NormalWeb">
    <w:name w:val="Normal (Web)"/>
    <w:basedOn w:val="Normal"/>
    <w:uiPriority w:val="99"/>
    <w:semiHidden/>
    <w:unhideWhenUsed/>
    <w:rsid w:val="00E4751D"/>
    <w:pPr>
      <w:spacing w:before="100" w:beforeAutospacing="1" w:after="100" w:afterAutospacing="1" w:line="240" w:lineRule="auto"/>
    </w:pPr>
    <w:rPr>
      <w:rFonts w:ascii="Times New Roman" w:hAnsi="Times New Roman"/>
      <w:sz w:val="24"/>
      <w:szCs w:val="24"/>
      <w:lang w:eastAsia="pt-BR"/>
    </w:rPr>
  </w:style>
  <w:style w:type="paragraph" w:styleId="Cabealho">
    <w:name w:val="header"/>
    <w:basedOn w:val="Normal"/>
    <w:link w:val="CabealhoChar"/>
    <w:uiPriority w:val="99"/>
    <w:unhideWhenUsed/>
    <w:rsid w:val="00656324"/>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656324"/>
    <w:rPr>
      <w:rFonts w:cs="Times New Roman"/>
    </w:rPr>
  </w:style>
  <w:style w:type="paragraph" w:styleId="Rodap">
    <w:name w:val="footer"/>
    <w:basedOn w:val="Normal"/>
    <w:link w:val="RodapChar"/>
    <w:uiPriority w:val="99"/>
    <w:unhideWhenUsed/>
    <w:rsid w:val="00656324"/>
    <w:pPr>
      <w:tabs>
        <w:tab w:val="center" w:pos="4252"/>
        <w:tab w:val="right" w:pos="8504"/>
      </w:tabs>
      <w:spacing w:after="0" w:line="240" w:lineRule="auto"/>
    </w:pPr>
  </w:style>
  <w:style w:type="character" w:customStyle="1" w:styleId="RodapChar">
    <w:name w:val="Rodapé Char"/>
    <w:basedOn w:val="Fontepargpadro"/>
    <w:link w:val="Rodap"/>
    <w:uiPriority w:val="99"/>
    <w:locked/>
    <w:rsid w:val="00656324"/>
    <w:rPr>
      <w:rFonts w:cs="Times New Roman"/>
    </w:rPr>
  </w:style>
  <w:style w:type="paragraph" w:styleId="PargrafodaLista">
    <w:name w:val="List Paragraph"/>
    <w:basedOn w:val="Normal"/>
    <w:uiPriority w:val="34"/>
    <w:qFormat/>
    <w:rsid w:val="00656324"/>
    <w:pPr>
      <w:ind w:left="720"/>
      <w:contextualSpacing/>
    </w:pPr>
    <w:rPr>
      <w:rFonts w:eastAsiaTheme="minorEastAsia"/>
    </w:rPr>
  </w:style>
  <w:style w:type="paragraph" w:styleId="Textodebalo">
    <w:name w:val="Balloon Text"/>
    <w:basedOn w:val="Normal"/>
    <w:link w:val="TextodebaloChar"/>
    <w:uiPriority w:val="99"/>
    <w:semiHidden/>
    <w:unhideWhenUsed/>
    <w:rsid w:val="00782F5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82F57"/>
    <w:rPr>
      <w:rFonts w:ascii="Segoe UI" w:hAnsi="Segoe UI" w:cs="Segoe UI"/>
      <w:sz w:val="18"/>
      <w:szCs w:val="18"/>
    </w:rPr>
  </w:style>
  <w:style w:type="paragraph" w:customStyle="1" w:styleId="textocentralizadomaiusculas">
    <w:name w:val="texto_centralizado_maiusculas"/>
    <w:basedOn w:val="Normal"/>
    <w:rsid w:val="00103539"/>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103539"/>
    <w:rPr>
      <w:i/>
      <w:iCs/>
    </w:rPr>
  </w:style>
  <w:style w:type="paragraph" w:customStyle="1" w:styleId="tabelatextocentralizado">
    <w:name w:val="tabela_texto_centralizado"/>
    <w:basedOn w:val="Normal"/>
    <w:rsid w:val="00103539"/>
    <w:pPr>
      <w:spacing w:before="100" w:beforeAutospacing="1" w:after="100" w:afterAutospacing="1" w:line="240" w:lineRule="auto"/>
    </w:pPr>
    <w:rPr>
      <w:rFonts w:ascii="Times New Roman" w:hAnsi="Times New Roman"/>
      <w:sz w:val="24"/>
      <w:szCs w:val="24"/>
      <w:lang w:eastAsia="pt-BR"/>
    </w:rPr>
  </w:style>
  <w:style w:type="paragraph" w:customStyle="1" w:styleId="textoalinhadoesquerdaespacamentosimplesmaiusc">
    <w:name w:val="texto_alinhado_esquerda_espacamento_simples_maiusc"/>
    <w:basedOn w:val="Normal"/>
    <w:rsid w:val="0013430F"/>
    <w:pPr>
      <w:spacing w:before="100" w:beforeAutospacing="1" w:after="100" w:afterAutospacing="1" w:line="240" w:lineRule="auto"/>
    </w:pPr>
    <w:rPr>
      <w:rFonts w:ascii="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586272">
      <w:bodyDiv w:val="1"/>
      <w:marLeft w:val="0"/>
      <w:marRight w:val="0"/>
      <w:marTop w:val="0"/>
      <w:marBottom w:val="0"/>
      <w:divBdr>
        <w:top w:val="none" w:sz="0" w:space="0" w:color="auto"/>
        <w:left w:val="none" w:sz="0" w:space="0" w:color="auto"/>
        <w:bottom w:val="none" w:sz="0" w:space="0" w:color="auto"/>
        <w:right w:val="none" w:sz="0" w:space="0" w:color="auto"/>
      </w:divBdr>
      <w:divsChild>
        <w:div w:id="1718242704">
          <w:marLeft w:val="0"/>
          <w:marRight w:val="0"/>
          <w:marTop w:val="0"/>
          <w:marBottom w:val="0"/>
          <w:divBdr>
            <w:top w:val="none" w:sz="0" w:space="0" w:color="auto"/>
            <w:left w:val="none" w:sz="0" w:space="0" w:color="auto"/>
            <w:bottom w:val="none" w:sz="0" w:space="0" w:color="auto"/>
            <w:right w:val="none" w:sz="0" w:space="0" w:color="auto"/>
          </w:divBdr>
        </w:div>
        <w:div w:id="547649427">
          <w:marLeft w:val="0"/>
          <w:marRight w:val="0"/>
          <w:marTop w:val="0"/>
          <w:marBottom w:val="0"/>
          <w:divBdr>
            <w:top w:val="none" w:sz="0" w:space="0" w:color="auto"/>
            <w:left w:val="none" w:sz="0" w:space="0" w:color="auto"/>
            <w:bottom w:val="none" w:sz="0" w:space="0" w:color="auto"/>
            <w:right w:val="none" w:sz="0" w:space="0" w:color="auto"/>
          </w:divBdr>
        </w:div>
      </w:divsChild>
    </w:div>
    <w:div w:id="932477166">
      <w:marLeft w:val="0"/>
      <w:marRight w:val="0"/>
      <w:marTop w:val="0"/>
      <w:marBottom w:val="0"/>
      <w:divBdr>
        <w:top w:val="none" w:sz="0" w:space="0" w:color="auto"/>
        <w:left w:val="none" w:sz="0" w:space="0" w:color="auto"/>
        <w:bottom w:val="none" w:sz="0" w:space="0" w:color="auto"/>
        <w:right w:val="none" w:sz="0" w:space="0" w:color="auto"/>
      </w:divBdr>
    </w:div>
    <w:div w:id="203275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D2E69-03A5-4A02-BC98-AD0CA1491EDD}">
  <ds:schemaRefs>
    <ds:schemaRef ds:uri="http://schemas.microsoft.com/sharepoint/v3/contenttype/forms"/>
  </ds:schemaRefs>
</ds:datastoreItem>
</file>

<file path=customXml/itemProps2.xml><?xml version="1.0" encoding="utf-8"?>
<ds:datastoreItem xmlns:ds="http://schemas.openxmlformats.org/officeDocument/2006/customXml" ds:itemID="{1A2BE71B-9960-48BD-B7BA-E123128C0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6C9B4A-78D6-41B7-8D1C-1AD61AD231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7A941A-2643-42EB-BC10-12266354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2891</Words>
  <Characters>15612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7</cp:revision>
  <cp:lastPrinted>2019-07-31T12:28:00Z</cp:lastPrinted>
  <dcterms:created xsi:type="dcterms:W3CDTF">2019-07-31T12:30:00Z</dcterms:created>
  <dcterms:modified xsi:type="dcterms:W3CDTF">2019-07-31T12:38:00Z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