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C6B51" w:rsidRDefault="00763E5B" w:rsidP="005C6B51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5C6B51">
        <w:rPr>
          <w:rFonts w:ascii="Times New Roman" w:hAnsi="Times New Roman" w:cs="Times New Roman"/>
          <w:b/>
          <w:szCs w:val="24"/>
        </w:rPr>
        <w:t xml:space="preserve">RESOLUÇÃO </w:t>
      </w:r>
      <w:r w:rsidR="005C6B51" w:rsidRPr="005C6B51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5C6B51">
        <w:rPr>
          <w:rFonts w:ascii="Times New Roman" w:hAnsi="Times New Roman" w:cs="Times New Roman"/>
          <w:b/>
          <w:szCs w:val="24"/>
        </w:rPr>
        <w:t xml:space="preserve">– RDC Nº 322, DE 22 DE NOVEMBRO DE </w:t>
      </w:r>
      <w:proofErr w:type="gramStart"/>
      <w:r w:rsidRPr="005C6B51">
        <w:rPr>
          <w:rFonts w:ascii="Times New Roman" w:hAnsi="Times New Roman" w:cs="Times New Roman"/>
          <w:b/>
          <w:szCs w:val="24"/>
        </w:rPr>
        <w:t>2002</w:t>
      </w:r>
      <w:proofErr w:type="gramEnd"/>
    </w:p>
    <w:p w:rsidR="00763E5B" w:rsidRPr="005C6B51" w:rsidRDefault="00763E5B" w:rsidP="00763E5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C6B51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228, de 26 de novembro de 2002</w:t>
      </w:r>
      <w:proofErr w:type="gramStart"/>
      <w:r w:rsidRPr="005C6B5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D3EB8" w:rsidRPr="005C6B51" w:rsidTr="00ED3EB8">
        <w:tc>
          <w:tcPr>
            <w:tcW w:w="4322" w:type="dxa"/>
          </w:tcPr>
          <w:p w:rsidR="00ED3EB8" w:rsidRPr="005C6B51" w:rsidRDefault="00ED3EB8" w:rsidP="00763E5B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ED3EB8" w:rsidRPr="005C6B51" w:rsidRDefault="00ED3EB8" w:rsidP="00ED3E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B51">
              <w:rPr>
                <w:rFonts w:ascii="Times New Roman" w:hAnsi="Times New Roman" w:cs="Times New Roman"/>
                <w:sz w:val="24"/>
                <w:szCs w:val="24"/>
              </w:rPr>
              <w:t xml:space="preserve">Altera a Resolução da Diretoria Colegiada RDC nº 46, de 20 de fevereiro de 2002, que dispõe sobre Regulamento Técnico para álcool etílico hidratado, em todas as graduações, e álcool </w:t>
            </w:r>
            <w:proofErr w:type="gramStart"/>
            <w:r w:rsidRPr="005C6B51">
              <w:rPr>
                <w:rFonts w:ascii="Times New Roman" w:hAnsi="Times New Roman" w:cs="Times New Roman"/>
                <w:sz w:val="24"/>
                <w:szCs w:val="24"/>
              </w:rPr>
              <w:t>etílico anidro comercializados</w:t>
            </w:r>
            <w:proofErr w:type="gramEnd"/>
            <w:r w:rsidRPr="005C6B51">
              <w:rPr>
                <w:rFonts w:ascii="Times New Roman" w:hAnsi="Times New Roman" w:cs="Times New Roman"/>
                <w:sz w:val="24"/>
                <w:szCs w:val="24"/>
              </w:rPr>
              <w:t xml:space="preserve"> por atacadistas e varejistas.</w:t>
            </w:r>
          </w:p>
        </w:tc>
        <w:bookmarkStart w:id="0" w:name="_GoBack"/>
        <w:bookmarkEnd w:id="0"/>
      </w:tr>
    </w:tbl>
    <w:p w:rsidR="00ED3EB8" w:rsidRPr="005C6B51" w:rsidRDefault="00ED3EB8" w:rsidP="00ED3E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C6B51">
        <w:rPr>
          <w:rFonts w:ascii="Times New Roman" w:hAnsi="Times New Roman" w:cs="Times New Roman"/>
          <w:sz w:val="24"/>
          <w:szCs w:val="24"/>
        </w:rPr>
        <w:t xml:space="preserve">A </w:t>
      </w:r>
      <w:r w:rsidRPr="005C6B51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5C6B51">
        <w:rPr>
          <w:rFonts w:ascii="Times New Roman" w:hAnsi="Times New Roman" w:cs="Times New Roman"/>
          <w:sz w:val="24"/>
          <w:szCs w:val="24"/>
        </w:rPr>
        <w:t xml:space="preserve">, no uso da atribuição que lhe confere o art. 11, inciso IV, do Regulamento da ANVISA aprovado pelo Decreto n.º 3.029, de 16 de abril de 1999, c/c o § 1º do Art. 111 do Regimento Interno aprovado pela Portaria n.º 593, de 25 de agosto de </w:t>
      </w:r>
      <w:proofErr w:type="gramStart"/>
      <w:r w:rsidRPr="005C6B51">
        <w:rPr>
          <w:rFonts w:ascii="Times New Roman" w:hAnsi="Times New Roman" w:cs="Times New Roman"/>
          <w:sz w:val="24"/>
          <w:szCs w:val="24"/>
        </w:rPr>
        <w:t>2000,</w:t>
      </w:r>
      <w:proofErr w:type="gramEnd"/>
      <w:r w:rsidRPr="005C6B51">
        <w:rPr>
          <w:rFonts w:ascii="Times New Roman" w:hAnsi="Times New Roman" w:cs="Times New Roman"/>
          <w:sz w:val="24"/>
          <w:szCs w:val="24"/>
        </w:rPr>
        <w:t xml:space="preserve">em seu anexo II, em reunião realizada em 21 de novembro de 2002, </w:t>
      </w:r>
    </w:p>
    <w:p w:rsidR="00ED3EB8" w:rsidRPr="005C6B51" w:rsidRDefault="00ED3EB8" w:rsidP="00ED3E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6B51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5C6B51">
        <w:rPr>
          <w:rFonts w:ascii="Times New Roman" w:hAnsi="Times New Roman" w:cs="Times New Roman"/>
          <w:sz w:val="24"/>
          <w:szCs w:val="24"/>
        </w:rPr>
        <w:t xml:space="preserve"> a seguinte Resolução e eu, Diretor-Presidente, determino a sua publicação: </w:t>
      </w:r>
    </w:p>
    <w:p w:rsidR="00ED3EB8" w:rsidRPr="005C6B51" w:rsidRDefault="00ED3EB8" w:rsidP="00ED3E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C6B51">
        <w:rPr>
          <w:rFonts w:ascii="Times New Roman" w:hAnsi="Times New Roman" w:cs="Times New Roman"/>
          <w:b/>
          <w:sz w:val="24"/>
          <w:szCs w:val="24"/>
        </w:rPr>
        <w:t>Art. 1º</w:t>
      </w:r>
      <w:r w:rsidRPr="005C6B51">
        <w:rPr>
          <w:rFonts w:ascii="Times New Roman" w:hAnsi="Times New Roman" w:cs="Times New Roman"/>
          <w:sz w:val="24"/>
          <w:szCs w:val="24"/>
        </w:rPr>
        <w:t xml:space="preserve"> O inciso I do art. 2º da Resolução - RDC n.º 46, de 20 de fevereiro de 2002, passa a vigorar com a seguinte redação: </w:t>
      </w:r>
    </w:p>
    <w:p w:rsidR="00ED3EB8" w:rsidRPr="005C6B51" w:rsidRDefault="00ED3EB8" w:rsidP="00ED3E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C6B51">
        <w:rPr>
          <w:rFonts w:ascii="Times New Roman" w:hAnsi="Times New Roman" w:cs="Times New Roman"/>
          <w:sz w:val="24"/>
          <w:szCs w:val="24"/>
        </w:rPr>
        <w:t xml:space="preserve">"Art. </w:t>
      </w:r>
      <w:proofErr w:type="gramStart"/>
      <w:r w:rsidRPr="005C6B51">
        <w:rPr>
          <w:rFonts w:ascii="Times New Roman" w:hAnsi="Times New Roman" w:cs="Times New Roman"/>
          <w:sz w:val="24"/>
          <w:szCs w:val="24"/>
        </w:rPr>
        <w:t>2º ...</w:t>
      </w:r>
      <w:proofErr w:type="gramEnd"/>
      <w:r w:rsidRPr="005C6B51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 </w:t>
      </w:r>
    </w:p>
    <w:p w:rsidR="00ED3EB8" w:rsidRPr="005C6B51" w:rsidRDefault="00ED3EB8" w:rsidP="00ED3E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6B5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</w:t>
      </w:r>
      <w:proofErr w:type="gramEnd"/>
      <w:r w:rsidRPr="005C6B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EB8" w:rsidRPr="005C6B51" w:rsidRDefault="00ED3EB8" w:rsidP="00ED3E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6B5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</w:t>
      </w:r>
      <w:proofErr w:type="gramEnd"/>
      <w:r w:rsidRPr="005C6B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EB8" w:rsidRPr="005C6B51" w:rsidRDefault="00ED3EB8" w:rsidP="00ED3E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C6B51">
        <w:rPr>
          <w:rFonts w:ascii="Times New Roman" w:hAnsi="Times New Roman" w:cs="Times New Roman"/>
          <w:sz w:val="24"/>
          <w:szCs w:val="24"/>
        </w:rPr>
        <w:t>I - o álcool etílico comercializado com graduações acima de 540 GL (</w:t>
      </w:r>
      <w:proofErr w:type="spellStart"/>
      <w:r w:rsidRPr="005C6B51">
        <w:rPr>
          <w:rFonts w:ascii="Times New Roman" w:hAnsi="Times New Roman" w:cs="Times New Roman"/>
          <w:sz w:val="24"/>
          <w:szCs w:val="24"/>
        </w:rPr>
        <w:t>cinqüenta</w:t>
      </w:r>
      <w:proofErr w:type="spellEnd"/>
      <w:r w:rsidRPr="005C6B51">
        <w:rPr>
          <w:rFonts w:ascii="Times New Roman" w:hAnsi="Times New Roman" w:cs="Times New Roman"/>
          <w:sz w:val="24"/>
          <w:szCs w:val="24"/>
        </w:rPr>
        <w:t xml:space="preserve"> e quatro graus Gay </w:t>
      </w:r>
      <w:proofErr w:type="spellStart"/>
      <w:r w:rsidRPr="005C6B51">
        <w:rPr>
          <w:rFonts w:ascii="Times New Roman" w:hAnsi="Times New Roman" w:cs="Times New Roman"/>
          <w:sz w:val="24"/>
          <w:szCs w:val="24"/>
        </w:rPr>
        <w:t>Lussac</w:t>
      </w:r>
      <w:proofErr w:type="spellEnd"/>
      <w:r w:rsidRPr="005C6B51">
        <w:rPr>
          <w:rFonts w:ascii="Times New Roman" w:hAnsi="Times New Roman" w:cs="Times New Roman"/>
          <w:sz w:val="24"/>
          <w:szCs w:val="24"/>
        </w:rPr>
        <w:t xml:space="preserve">) à temperatura de 200 C (vinte graus Celsius) deverá ser comercializado unicamente em solução coloidal na forma de </w:t>
      </w:r>
      <w:proofErr w:type="gramStart"/>
      <w:r w:rsidRPr="005C6B51">
        <w:rPr>
          <w:rFonts w:ascii="Times New Roman" w:hAnsi="Times New Roman" w:cs="Times New Roman"/>
          <w:sz w:val="24"/>
          <w:szCs w:val="24"/>
        </w:rPr>
        <w:t>gel desnaturados</w:t>
      </w:r>
      <w:proofErr w:type="gramEnd"/>
      <w:r w:rsidRPr="005C6B51">
        <w:rPr>
          <w:rFonts w:ascii="Times New Roman" w:hAnsi="Times New Roman" w:cs="Times New Roman"/>
          <w:sz w:val="24"/>
          <w:szCs w:val="24"/>
        </w:rPr>
        <w:t xml:space="preserve"> e no volume máximo de 500g (quinhentos gramas) em embalagens resistentes ao impacto. Para formulações que apresentem valores superiores ou igual a 68% p/p (sessenta e oito </w:t>
      </w:r>
      <w:proofErr w:type="spellStart"/>
      <w:r w:rsidRPr="005C6B51">
        <w:rPr>
          <w:rFonts w:ascii="Times New Roman" w:hAnsi="Times New Roman" w:cs="Times New Roman"/>
          <w:sz w:val="24"/>
          <w:szCs w:val="24"/>
        </w:rPr>
        <w:t>porcento</w:t>
      </w:r>
      <w:proofErr w:type="spellEnd"/>
      <w:r w:rsidRPr="005C6B51">
        <w:rPr>
          <w:rFonts w:ascii="Times New Roman" w:hAnsi="Times New Roman" w:cs="Times New Roman"/>
          <w:sz w:val="24"/>
          <w:szCs w:val="24"/>
        </w:rPr>
        <w:t xml:space="preserve">, peso por peso), a viscosidade dinâmica na temperatura de 250 C (vinte e cinco graus Celsius) deverá ser maior ou igual a 8000 </w:t>
      </w:r>
      <w:proofErr w:type="spellStart"/>
      <w:proofErr w:type="gramStart"/>
      <w:r w:rsidRPr="005C6B51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5C6B51">
        <w:rPr>
          <w:rFonts w:ascii="Times New Roman" w:hAnsi="Times New Roman" w:cs="Times New Roman"/>
          <w:sz w:val="24"/>
          <w:szCs w:val="24"/>
        </w:rPr>
        <w:t xml:space="preserve"> (oito mil </w:t>
      </w:r>
      <w:proofErr w:type="spellStart"/>
      <w:r w:rsidRPr="005C6B51">
        <w:rPr>
          <w:rFonts w:ascii="Times New Roman" w:hAnsi="Times New Roman" w:cs="Times New Roman"/>
          <w:sz w:val="24"/>
          <w:szCs w:val="24"/>
        </w:rPr>
        <w:t>centipoise</w:t>
      </w:r>
      <w:proofErr w:type="spellEnd"/>
      <w:r w:rsidRPr="005C6B51">
        <w:rPr>
          <w:rFonts w:ascii="Times New Roman" w:hAnsi="Times New Roman" w:cs="Times New Roman"/>
          <w:sz w:val="24"/>
          <w:szCs w:val="24"/>
        </w:rPr>
        <w:t xml:space="preserve">) e maior ou igual a 4000 </w:t>
      </w:r>
      <w:proofErr w:type="spellStart"/>
      <w:r w:rsidRPr="005C6B51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5C6B51">
        <w:rPr>
          <w:rFonts w:ascii="Times New Roman" w:hAnsi="Times New Roman" w:cs="Times New Roman"/>
          <w:sz w:val="24"/>
          <w:szCs w:val="24"/>
        </w:rPr>
        <w:t xml:space="preserve"> (quatro mil </w:t>
      </w:r>
      <w:proofErr w:type="spellStart"/>
      <w:r w:rsidRPr="005C6B51">
        <w:rPr>
          <w:rFonts w:ascii="Times New Roman" w:hAnsi="Times New Roman" w:cs="Times New Roman"/>
          <w:sz w:val="24"/>
          <w:szCs w:val="24"/>
        </w:rPr>
        <w:t>centipoise</w:t>
      </w:r>
      <w:proofErr w:type="spellEnd"/>
      <w:r w:rsidRPr="005C6B51">
        <w:rPr>
          <w:rFonts w:ascii="Times New Roman" w:hAnsi="Times New Roman" w:cs="Times New Roman"/>
          <w:sz w:val="24"/>
          <w:szCs w:val="24"/>
        </w:rPr>
        <w:t xml:space="preserve">) para valores inferiores a 68% p/p (sessenta e oito </w:t>
      </w:r>
      <w:proofErr w:type="spellStart"/>
      <w:r w:rsidRPr="005C6B51">
        <w:rPr>
          <w:rFonts w:ascii="Times New Roman" w:hAnsi="Times New Roman" w:cs="Times New Roman"/>
          <w:sz w:val="24"/>
          <w:szCs w:val="24"/>
        </w:rPr>
        <w:t>porcento</w:t>
      </w:r>
      <w:proofErr w:type="spellEnd"/>
      <w:r w:rsidRPr="005C6B51">
        <w:rPr>
          <w:rFonts w:ascii="Times New Roman" w:hAnsi="Times New Roman" w:cs="Times New Roman"/>
          <w:sz w:val="24"/>
          <w:szCs w:val="24"/>
        </w:rPr>
        <w:t xml:space="preserve">, peso por peso). </w:t>
      </w:r>
    </w:p>
    <w:p w:rsidR="00ED3EB8" w:rsidRPr="005C6B51" w:rsidRDefault="00ED3EB8" w:rsidP="00ED3EB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5C6B51">
        <w:rPr>
          <w:rFonts w:ascii="Times New Roman" w:hAnsi="Times New Roman" w:cs="Times New Roman"/>
          <w:b/>
          <w:sz w:val="24"/>
          <w:szCs w:val="24"/>
        </w:rPr>
        <w:t>Art. 2º</w:t>
      </w:r>
      <w:r w:rsidRPr="005C6B51">
        <w:rPr>
          <w:rFonts w:ascii="Times New Roman" w:hAnsi="Times New Roman" w:cs="Times New Roman"/>
          <w:sz w:val="24"/>
          <w:szCs w:val="24"/>
        </w:rPr>
        <w:t xml:space="preserve"> Está Resolução entra em vigor na data de sua publicação.</w:t>
      </w:r>
    </w:p>
    <w:p w:rsidR="00ED3EB8" w:rsidRPr="005C6B51" w:rsidRDefault="00ED3EB8" w:rsidP="00ED3EB8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B51">
        <w:rPr>
          <w:rFonts w:ascii="Times New Roman" w:hAnsi="Times New Roman" w:cs="Times New Roman"/>
          <w:sz w:val="24"/>
          <w:szCs w:val="24"/>
        </w:rPr>
        <w:t>GONZALO VECINA NETO</w:t>
      </w:r>
    </w:p>
    <w:p w:rsidR="00ED3EB8" w:rsidRPr="005C6B51" w:rsidRDefault="00ED3EB8" w:rsidP="00ED3EB8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B51">
        <w:rPr>
          <w:rFonts w:ascii="Times New Roman" w:hAnsi="Times New Roman" w:cs="Times New Roman"/>
          <w:sz w:val="24"/>
          <w:szCs w:val="24"/>
        </w:rPr>
        <w:t>(Of. El. nº 539)</w:t>
      </w:r>
    </w:p>
    <w:sectPr w:rsidR="00ED3EB8" w:rsidRPr="005C6B5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B51" w:rsidRDefault="005C6B51" w:rsidP="005C6B51">
      <w:pPr>
        <w:spacing w:after="0" w:line="240" w:lineRule="auto"/>
      </w:pPr>
      <w:r>
        <w:separator/>
      </w:r>
    </w:p>
  </w:endnote>
  <w:endnote w:type="continuationSeparator" w:id="0">
    <w:p w:rsidR="005C6B51" w:rsidRDefault="005C6B51" w:rsidP="005C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B51" w:rsidRPr="005C6B51" w:rsidRDefault="005C6B51" w:rsidP="005C6B5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B51" w:rsidRDefault="005C6B51" w:rsidP="005C6B51">
      <w:pPr>
        <w:spacing w:after="0" w:line="240" w:lineRule="auto"/>
      </w:pPr>
      <w:r>
        <w:separator/>
      </w:r>
    </w:p>
  </w:footnote>
  <w:footnote w:type="continuationSeparator" w:id="0">
    <w:p w:rsidR="005C6B51" w:rsidRDefault="005C6B51" w:rsidP="005C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B51" w:rsidRPr="00B517AC" w:rsidRDefault="005C6B51" w:rsidP="005C6B5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5AE1F1B" wp14:editId="63EC4E8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C6B51" w:rsidRPr="00B517AC" w:rsidRDefault="005C6B51" w:rsidP="005C6B5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C6B51" w:rsidRPr="00B517AC" w:rsidRDefault="005C6B51" w:rsidP="005C6B5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C6B51" w:rsidRDefault="005C6B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5B"/>
    <w:rsid w:val="0004277C"/>
    <w:rsid w:val="001E708B"/>
    <w:rsid w:val="005C6B51"/>
    <w:rsid w:val="007441BF"/>
    <w:rsid w:val="00763E5B"/>
    <w:rsid w:val="00786686"/>
    <w:rsid w:val="00B30817"/>
    <w:rsid w:val="00D621E1"/>
    <w:rsid w:val="00E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3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C6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B51"/>
  </w:style>
  <w:style w:type="paragraph" w:styleId="Rodap">
    <w:name w:val="footer"/>
    <w:basedOn w:val="Normal"/>
    <w:link w:val="RodapChar"/>
    <w:uiPriority w:val="99"/>
    <w:unhideWhenUsed/>
    <w:rsid w:val="005C6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B51"/>
  </w:style>
  <w:style w:type="paragraph" w:styleId="Textodebalo">
    <w:name w:val="Balloon Text"/>
    <w:basedOn w:val="Normal"/>
    <w:link w:val="TextodebaloChar"/>
    <w:uiPriority w:val="99"/>
    <w:semiHidden/>
    <w:unhideWhenUsed/>
    <w:rsid w:val="005C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3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C6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B51"/>
  </w:style>
  <w:style w:type="paragraph" w:styleId="Rodap">
    <w:name w:val="footer"/>
    <w:basedOn w:val="Normal"/>
    <w:link w:val="RodapChar"/>
    <w:uiPriority w:val="99"/>
    <w:unhideWhenUsed/>
    <w:rsid w:val="005C6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B51"/>
  </w:style>
  <w:style w:type="paragraph" w:styleId="Textodebalo">
    <w:name w:val="Balloon Text"/>
    <w:basedOn w:val="Normal"/>
    <w:link w:val="TextodebaloChar"/>
    <w:uiPriority w:val="99"/>
    <w:semiHidden/>
    <w:unhideWhenUsed/>
    <w:rsid w:val="005C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7188FE-8976-40A7-864A-61075EAE3C82}"/>
</file>

<file path=customXml/itemProps2.xml><?xml version="1.0" encoding="utf-8"?>
<ds:datastoreItem xmlns:ds="http://schemas.openxmlformats.org/officeDocument/2006/customXml" ds:itemID="{FC5E84C7-A48C-40A3-99C1-4B9D6B7DD56A}"/>
</file>

<file path=customXml/itemProps3.xml><?xml version="1.0" encoding="utf-8"?>
<ds:datastoreItem xmlns:ds="http://schemas.openxmlformats.org/officeDocument/2006/customXml" ds:itemID="{09476B3C-B6D5-48E2-BDCC-54A7EBA0F1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2016-12-19T18:37:00Z</dcterms:created>
  <dcterms:modified xsi:type="dcterms:W3CDTF">2016-12-19T18:37:00Z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