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A8" w:rsidRPr="007F2D07" w:rsidRDefault="006419B1" w:rsidP="007F2D07">
      <w:pPr>
        <w:tabs>
          <w:tab w:val="left" w:pos="1276"/>
        </w:tabs>
        <w:ind w:left="-284" w:right="-284"/>
        <w:jc w:val="center"/>
        <w:rPr>
          <w:b/>
          <w:bCs/>
          <w:sz w:val="22"/>
          <w:szCs w:val="24"/>
        </w:rPr>
      </w:pPr>
      <w:r w:rsidRPr="007F2D07">
        <w:rPr>
          <w:b/>
          <w:bCs/>
          <w:sz w:val="22"/>
          <w:szCs w:val="24"/>
        </w:rPr>
        <w:t>RESOLUÇÃO D</w:t>
      </w:r>
      <w:r w:rsidR="000108B2" w:rsidRPr="007F2D07">
        <w:rPr>
          <w:b/>
          <w:bCs/>
          <w:sz w:val="22"/>
          <w:szCs w:val="24"/>
        </w:rPr>
        <w:t>E</w:t>
      </w:r>
      <w:r w:rsidRPr="007F2D07">
        <w:rPr>
          <w:b/>
          <w:bCs/>
          <w:sz w:val="22"/>
          <w:szCs w:val="24"/>
        </w:rPr>
        <w:t xml:space="preserve"> DIRETORIA COLEGIADA - RDC Nº 349, DE </w:t>
      </w:r>
      <w:proofErr w:type="gramStart"/>
      <w:r w:rsidRPr="007F2D07">
        <w:rPr>
          <w:b/>
          <w:bCs/>
          <w:sz w:val="22"/>
          <w:szCs w:val="24"/>
        </w:rPr>
        <w:t>3</w:t>
      </w:r>
      <w:proofErr w:type="gramEnd"/>
      <w:r w:rsidRPr="007F2D07">
        <w:rPr>
          <w:b/>
          <w:bCs/>
          <w:sz w:val="22"/>
          <w:szCs w:val="24"/>
        </w:rPr>
        <w:t xml:space="preserve"> DE DEZEMBRO DE 2003</w:t>
      </w:r>
    </w:p>
    <w:p w:rsidR="006419B1" w:rsidRDefault="006419B1" w:rsidP="00D04B8E">
      <w:pPr>
        <w:tabs>
          <w:tab w:val="left" w:pos="1276"/>
        </w:tabs>
        <w:ind w:left="851" w:firstLine="283"/>
        <w:jc w:val="center"/>
        <w:rPr>
          <w:b/>
          <w:bCs/>
          <w:color w:val="0000FF"/>
          <w:sz w:val="24"/>
          <w:szCs w:val="24"/>
        </w:rPr>
      </w:pPr>
    </w:p>
    <w:p w:rsidR="00D04B8E" w:rsidRDefault="00D04B8E" w:rsidP="007F2D07">
      <w:pPr>
        <w:tabs>
          <w:tab w:val="left" w:pos="1276"/>
        </w:tabs>
        <w:jc w:val="center"/>
        <w:rPr>
          <w:b/>
          <w:bCs/>
          <w:color w:val="0000FF"/>
          <w:sz w:val="24"/>
          <w:szCs w:val="24"/>
        </w:rPr>
      </w:pPr>
      <w:r w:rsidRPr="00D04B8E">
        <w:rPr>
          <w:b/>
          <w:bCs/>
          <w:color w:val="0000FF"/>
          <w:sz w:val="24"/>
          <w:szCs w:val="24"/>
        </w:rPr>
        <w:t>(Publicada em DOU nº</w:t>
      </w:r>
      <w:r>
        <w:rPr>
          <w:b/>
          <w:bCs/>
          <w:color w:val="0000FF"/>
          <w:sz w:val="24"/>
          <w:szCs w:val="24"/>
        </w:rPr>
        <w:t xml:space="preserve"> 236, de 04 de dezembro de 2003)</w:t>
      </w:r>
    </w:p>
    <w:p w:rsidR="006419B1" w:rsidRDefault="006419B1" w:rsidP="007F2D07">
      <w:pPr>
        <w:tabs>
          <w:tab w:val="left" w:pos="1276"/>
        </w:tabs>
        <w:jc w:val="center"/>
        <w:rPr>
          <w:b/>
          <w:bCs/>
          <w:color w:val="0000FF"/>
          <w:sz w:val="24"/>
          <w:szCs w:val="24"/>
        </w:rPr>
      </w:pPr>
    </w:p>
    <w:p w:rsidR="00215DFD" w:rsidRDefault="00D04B8E" w:rsidP="007F2D07">
      <w:pPr>
        <w:tabs>
          <w:tab w:val="left" w:pos="1276"/>
        </w:tabs>
        <w:jc w:val="center"/>
        <w:rPr>
          <w:b/>
          <w:bCs/>
          <w:color w:val="0000FF"/>
          <w:sz w:val="24"/>
          <w:szCs w:val="24"/>
        </w:rPr>
      </w:pPr>
      <w:r w:rsidRPr="00783AF0">
        <w:rPr>
          <w:b/>
          <w:bCs/>
          <w:color w:val="0000FF"/>
          <w:sz w:val="24"/>
          <w:szCs w:val="24"/>
        </w:rPr>
        <w:t>(Revogada pela Resolução – RDC nº 204, de 06 de julho de 2005</w:t>
      </w:r>
      <w:proofErr w:type="gramStart"/>
      <w:r w:rsidRPr="00783AF0">
        <w:rPr>
          <w:b/>
          <w:bCs/>
          <w:color w:val="0000FF"/>
          <w:sz w:val="24"/>
          <w:szCs w:val="24"/>
        </w:rPr>
        <w:t>)</w:t>
      </w:r>
      <w:proofErr w:type="gramEnd"/>
    </w:p>
    <w:p w:rsidR="00215DFD" w:rsidRDefault="00215DFD" w:rsidP="00D04B8E">
      <w:pPr>
        <w:tabs>
          <w:tab w:val="left" w:pos="1276"/>
        </w:tabs>
        <w:ind w:left="851" w:firstLine="283"/>
        <w:jc w:val="center"/>
        <w:rPr>
          <w:b/>
          <w:bCs/>
          <w:color w:val="0000FF"/>
          <w:sz w:val="24"/>
          <w:szCs w:val="24"/>
        </w:rPr>
      </w:pPr>
    </w:p>
    <w:p w:rsidR="00D04B8E" w:rsidRPr="00D04B8E" w:rsidRDefault="00D04B8E" w:rsidP="00D04B8E">
      <w:pPr>
        <w:tabs>
          <w:tab w:val="left" w:pos="1276"/>
        </w:tabs>
        <w:ind w:left="851" w:firstLine="283"/>
        <w:jc w:val="center"/>
        <w:rPr>
          <w:b/>
          <w:bCs/>
          <w:color w:val="0000FF"/>
          <w:sz w:val="24"/>
          <w:szCs w:val="24"/>
        </w:rPr>
      </w:pPr>
      <w:r w:rsidRPr="00D04B8E">
        <w:rPr>
          <w:b/>
          <w:bCs/>
          <w:color w:val="0000FF"/>
          <w:sz w:val="24"/>
          <w:szCs w:val="24"/>
        </w:rPr>
        <w:t xml:space="preserve">  </w:t>
      </w:r>
    </w:p>
    <w:p w:rsidR="00B74CA8" w:rsidRPr="00140991" w:rsidRDefault="00B74CA8" w:rsidP="00215DFD">
      <w:pPr>
        <w:ind w:firstLine="567"/>
        <w:jc w:val="both"/>
        <w:rPr>
          <w:strike/>
          <w:sz w:val="24"/>
          <w:szCs w:val="24"/>
        </w:rPr>
      </w:pPr>
      <w:r w:rsidRPr="00140991">
        <w:rPr>
          <w:b/>
          <w:bCs/>
          <w:strike/>
          <w:sz w:val="24"/>
          <w:szCs w:val="24"/>
        </w:rPr>
        <w:t>A Diretoria Colegiada da Agência Nacional de Vigilância Sanitária</w:t>
      </w:r>
      <w:r w:rsidRPr="00140991">
        <w:rPr>
          <w:strike/>
          <w:sz w:val="24"/>
          <w:szCs w:val="24"/>
        </w:rPr>
        <w:t xml:space="preserve">, no uso da atribuição que lhe confere o art. </w:t>
      </w:r>
      <w:proofErr w:type="gramStart"/>
      <w:r w:rsidRPr="00140991">
        <w:rPr>
          <w:strike/>
          <w:sz w:val="24"/>
          <w:szCs w:val="24"/>
        </w:rPr>
        <w:t>11 inciso IV</w:t>
      </w:r>
      <w:proofErr w:type="gramEnd"/>
      <w:r w:rsidRPr="00140991">
        <w:rPr>
          <w:strike/>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15 de outubro de 2003,</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proofErr w:type="gramStart"/>
      <w:r w:rsidRPr="00140991">
        <w:rPr>
          <w:strike/>
          <w:sz w:val="24"/>
          <w:szCs w:val="24"/>
        </w:rPr>
        <w:t>considerando</w:t>
      </w:r>
      <w:proofErr w:type="gramEnd"/>
      <w:r w:rsidRPr="00140991">
        <w:rPr>
          <w:strike/>
          <w:sz w:val="24"/>
          <w:szCs w:val="24"/>
        </w:rPr>
        <w:t xml:space="preserve"> o disposto na Lei n.º 9.782, de 26 de janeiro de 1999, em seu art. 7º, inciso IX, </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proofErr w:type="gramStart"/>
      <w:r w:rsidRPr="00140991">
        <w:rPr>
          <w:strike/>
          <w:sz w:val="24"/>
          <w:szCs w:val="24"/>
        </w:rPr>
        <w:t>considerando</w:t>
      </w:r>
      <w:proofErr w:type="gramEnd"/>
      <w:r w:rsidRPr="00140991">
        <w:rPr>
          <w:strike/>
          <w:sz w:val="24"/>
          <w:szCs w:val="24"/>
        </w:rPr>
        <w:t xml:space="preserve"> o disposto na Lei n.º 6.360, de 23 de setembro de 1976, em seu art. 12, </w:t>
      </w:r>
      <w:r w:rsidRPr="00140991">
        <w:rPr>
          <w:i/>
          <w:iCs/>
          <w:strike/>
          <w:sz w:val="24"/>
          <w:szCs w:val="24"/>
        </w:rPr>
        <w:t xml:space="preserve">caput, </w:t>
      </w:r>
      <w:r w:rsidRPr="00140991">
        <w:rPr>
          <w:strike/>
          <w:sz w:val="24"/>
          <w:szCs w:val="24"/>
        </w:rPr>
        <w:t>e § 3º, e, no art. 15, e o disposto no art. 3º e seguintes, do Capítulo II, do Decreto-lei n.º 986, de 21 de outubro de 1969,</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proofErr w:type="gramStart"/>
      <w:r w:rsidRPr="00140991">
        <w:rPr>
          <w:strike/>
          <w:sz w:val="24"/>
          <w:szCs w:val="24"/>
        </w:rPr>
        <w:t>considerando</w:t>
      </w:r>
      <w:proofErr w:type="gramEnd"/>
      <w:r w:rsidRPr="00140991">
        <w:rPr>
          <w:strike/>
          <w:sz w:val="24"/>
          <w:szCs w:val="24"/>
        </w:rPr>
        <w:t xml:space="preserve"> as especificidades do processo de registro e de autorização de funcionamento e a necessidade de adequação das normas vigentes,</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proofErr w:type="gramStart"/>
      <w:r w:rsidRPr="00140991">
        <w:rPr>
          <w:strike/>
          <w:sz w:val="24"/>
          <w:szCs w:val="24"/>
        </w:rPr>
        <w:t>adota</w:t>
      </w:r>
      <w:proofErr w:type="gramEnd"/>
      <w:r w:rsidRPr="00140991">
        <w:rPr>
          <w:strike/>
          <w:sz w:val="24"/>
          <w:szCs w:val="24"/>
        </w:rPr>
        <w:t xml:space="preserve"> a seguinte Resolução de Diretoria Colegiada, e eu, Diretor-Presidente, determino a sua publicação: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1º Esta Resolução regulamenta procedimento das petições submetidas à análise pelos setores técnicos da ANVISA nos processos de registro.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2º Para os efeitos desta Resolução</w:t>
      </w:r>
      <w:proofErr w:type="gramStart"/>
      <w:r w:rsidRPr="00140991">
        <w:rPr>
          <w:strike/>
          <w:sz w:val="24"/>
          <w:szCs w:val="24"/>
        </w:rPr>
        <w:t>, consideram-se</w:t>
      </w:r>
      <w:proofErr w:type="gramEnd"/>
      <w:r w:rsidRPr="00140991">
        <w:rPr>
          <w:strike/>
          <w:sz w:val="24"/>
          <w:szCs w:val="24"/>
        </w:rPr>
        <w:t>:</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 – Aditamento - toda e qualquer complementação ao processo, não exigida formalmente, que se limita ao aprimoramento do conhecimento do objeto do processo, não resultando em manifestação diversa da peticionada;</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II – Arquivamento Temporário – ato formalizado mediante requerimento por meio do qual o interessado solicita o sobrestamento de petição que resulte abertura de processo, à vista de razões fundamentadas, não podendo ultrapassar o prazo de </w:t>
      </w:r>
      <w:proofErr w:type="gramStart"/>
      <w:r w:rsidRPr="00140991">
        <w:rPr>
          <w:strike/>
          <w:sz w:val="24"/>
          <w:szCs w:val="24"/>
        </w:rPr>
        <w:t>1</w:t>
      </w:r>
      <w:proofErr w:type="gramEnd"/>
      <w:r w:rsidRPr="00140991">
        <w:rPr>
          <w:strike/>
          <w:sz w:val="24"/>
          <w:szCs w:val="24"/>
        </w:rPr>
        <w:t xml:space="preserve"> (hum) ano a contar do seu requerimento;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III – Deferimento de Petição – ato produzido pela autoridade competente após conclusão da análise técnica com resultado satisfatório;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IV - Desarquivamento de Processo – ato formalizado mediante petição por meio do qual o interessado solicita o prosseguimento de processo que tenha sido arquivado;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V - Exigência Técnica – providência que pode ser utilizada como diligência ao processo, quando a autoridade sanitária entender necessária a solicitação de informações </w:t>
      </w:r>
      <w:r w:rsidRPr="00140991">
        <w:rPr>
          <w:strike/>
          <w:sz w:val="24"/>
          <w:szCs w:val="24"/>
        </w:rPr>
        <w:lastRenderedPageBreak/>
        <w:t>ou esclarecimentos sobre a documentação que instrui as petições protocolizadas na ANVISA;</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VI – Indeferimento de Petição - ato produzido pela autoridade competente seja pela conclusão da análise técnica com resultado insatisfatório, seja pela insuficiência da documentação técnica exigida;</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VII – Petição – toda e qualquer solicitação apresentada na ANVISA da qual resulte sua manifestação, seja na abertura de processo, seja quando vinculada a processo já existente;</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 1º Consideram-se para os fins do inciso VII deste artigo, as solicitações apresentadas nos Estados, onde já estiver </w:t>
      </w:r>
      <w:proofErr w:type="gramStart"/>
      <w:r w:rsidRPr="00140991">
        <w:rPr>
          <w:strike/>
          <w:sz w:val="24"/>
          <w:szCs w:val="24"/>
        </w:rPr>
        <w:t>implementado</w:t>
      </w:r>
      <w:proofErr w:type="gramEnd"/>
      <w:r w:rsidRPr="00140991">
        <w:rPr>
          <w:strike/>
          <w:sz w:val="24"/>
          <w:szCs w:val="24"/>
        </w:rPr>
        <w:t xml:space="preserve"> o processo de descentralização.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2º As exigências técnicas referidas neste artigo deverão observar as seguintes diretrizes:</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 – as petições ao serem analisadas pela área competente, somente poderão ser passíveis de diligências com vistas a informações e esclarecimentos sobre a documentação instruída quando do seu protocolo, com a remessa de exigência técnica ao interessado, ou seu responsável;</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 – não são passíveis de exigência técnica as petições que não estiverem instruídas com a documentação exigida quando do seu protocolo, incluindo o comprovante de recolhimento da taxa, quando couber.</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Parágrafo único. A insuficiência da documentação técnica exigida quando do protocolo da petição e a conclusão da análise técnica com resultado insatisfatório pelos documentos apresentados ensejam o indeferimento da petição.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3º As exigências técnicas serão padronizadas conforme modelo adotado pela ANVISA e deverão constar:</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 – a razão social, número do Cadastro Nacional de Pessoa Jurídica – CNPJ, e o endereço da empresa;</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 – número do processo, denominação do produto e assunto de petição;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III – descrição técnica a ser suprida e prazo para seu cumprimento;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IV – assinatura da autoridade administrativa responsável, com indicação do respectivo cargo ou função, ou comprovação de sua autenticidade.</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4º O interessado ou seu responsável será notificado para cumprimento da exigência técnica, sucessivamente:</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 – por meio eletrônico, quando possuir senha de segurança junto a ANVISA;</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lastRenderedPageBreak/>
        <w:t>II – por sistema de imagens fac-símile ou outro similar, ficando responsável pela qualidade e fidelidade do expediente transmitido e sua entrega ao notificado;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III – por via postal, com aviso de recebimento, inclusive pelo órgão de vigilância sanitária estadual, na hipótese de procedimento descentralizado.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5º O prazo para cumprimento da exigência será de no máximo 30 (trinta) dias:</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 – a contar da juntada no processo da confirmação da leitura da mensagem e-mail, quando notificado por meio eletrônico;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 – da data de confirmação da remessa por sistema de imagens fac-símile ou outro similar, quando dessa forma for notificado;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III – da data da entrega do aviso de recebimento, quando notificado por via postal.</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 1º O prazo de que trata o </w:t>
      </w:r>
      <w:r w:rsidRPr="00140991">
        <w:rPr>
          <w:i/>
          <w:iCs/>
          <w:strike/>
          <w:sz w:val="24"/>
          <w:szCs w:val="24"/>
        </w:rPr>
        <w:t xml:space="preserve">caput </w:t>
      </w:r>
      <w:r w:rsidRPr="00140991">
        <w:rPr>
          <w:strike/>
          <w:sz w:val="24"/>
          <w:szCs w:val="24"/>
        </w:rPr>
        <w:t xml:space="preserve">deste artigo poderá ser </w:t>
      </w:r>
      <w:proofErr w:type="gramStart"/>
      <w:r w:rsidRPr="00140991">
        <w:rPr>
          <w:strike/>
          <w:sz w:val="24"/>
          <w:szCs w:val="24"/>
        </w:rPr>
        <w:t>prorrogado uma única vez, de ofício</w:t>
      </w:r>
      <w:proofErr w:type="gramEnd"/>
      <w:r w:rsidRPr="00140991">
        <w:rPr>
          <w:strike/>
          <w:sz w:val="24"/>
          <w:szCs w:val="24"/>
        </w:rPr>
        <w:t xml:space="preserve"> ou a pedido do notificado, à vista de razões fundamentadas, não podendo para todos os efeitos ser superior a 60 (sessenta) dias de prorrogação.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 2º Excetua-se do disposto no parágrafo anterior os processos em exigência técnica por inspeção sanitária e interdição, nos quais os prazos poderão ser prorrogados sucessivamente, à vista de razões fundamentadas, não podendo, para todos os efeitos, ser superior a 90 (noventa) dias de prorrogação. </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3º A concessão ou não de prorrogação de prazo para cumprimento de exigência técnica será efetivada mediante despacho nos autos do processo e comunicado ao notificado ou responsável.</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6º Quando formulada exigência técnica, o notificado poderá:</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 – cumpri-la integralmente no prazo consignado, apresentando o que tenha sido solicitado pela área técnica competente da ANVISA;</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II – solicitar prorrogação de prazo para seu cumprimento;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III – apresentar justificativa pela não apresentação do que tenha sido </w:t>
      </w:r>
      <w:proofErr w:type="gramStart"/>
      <w:r w:rsidRPr="00140991">
        <w:rPr>
          <w:strike/>
          <w:sz w:val="24"/>
          <w:szCs w:val="24"/>
        </w:rPr>
        <w:t>solicitado pela área técnica competente da ANVISA, a vista de eventual inexatidão da avaliação desta</w:t>
      </w:r>
      <w:proofErr w:type="gramEnd"/>
      <w:r w:rsidRPr="00140991">
        <w:rPr>
          <w:strike/>
          <w:sz w:val="24"/>
          <w:szCs w:val="24"/>
        </w:rPr>
        <w:t>;</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IV - solicitar o arquivamento temporário do processo.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1º Para os fins deste artigo somente será considerado o protocolo junto ao setor competente da ANVISA, ou no órgão de vigilância sanitária estadual onde se localiza a empresa notificada, quando o procedimento for descentralizado.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lastRenderedPageBreak/>
        <w:t>§ 2º Na hipótese do inciso III deste artigo, se a autoridade não reconsiderar seu ato, deverá encaminhar a justificativa à autoridade hierarquicamente superior para deliberação.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7º A exigência técnica recebida pelo notificado interrompe para todos os efeitos o prazo para decisão no processo, não sendo considerado o lapso temporal anteriormente decorrido.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8º O arquivamento temporário de processo não interrompe, suspende ou prorroga os prazos para efeitos de revalidação de registro, nem cancela as obrigações decorrentes de exigências técnicas efetivadas.</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9º Quando ocorrer o arquivamento temporário do processo, o mesmo perderá a prioridade da ordem cronológica de entrada, ficando submetido, quando do seu desarquivamento, ao cumprimento da regulamentação então vigente.</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10 O não cumprimento da exigência técnica, na forma desta Resolução, acarretará o indeferimento da petição, inicial ou não, e sua publicação pela autoridade competente da ANVISA no Diário Oficial da União, na forma do Regimento.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Parágrafo único. O indeferimento deverá ser motivado nos autos do processo pela autoridade que formulou a exigência técnica.</w:t>
      </w:r>
    </w:p>
    <w:p w:rsidR="00B74CA8" w:rsidRPr="00140991" w:rsidRDefault="00B74CA8">
      <w:pPr>
        <w:ind w:firstLine="567"/>
        <w:jc w:val="both"/>
        <w:rPr>
          <w:strike/>
          <w:sz w:val="24"/>
          <w:szCs w:val="24"/>
        </w:rPr>
      </w:pPr>
    </w:p>
    <w:p w:rsidR="00B74CA8" w:rsidRDefault="00B74CA8">
      <w:pPr>
        <w:ind w:firstLine="567"/>
        <w:jc w:val="both"/>
        <w:rPr>
          <w:strike/>
          <w:sz w:val="24"/>
          <w:szCs w:val="24"/>
        </w:rPr>
      </w:pPr>
      <w:r w:rsidRPr="00140991">
        <w:rPr>
          <w:strike/>
          <w:sz w:val="24"/>
          <w:szCs w:val="24"/>
        </w:rPr>
        <w:t>Art. 11 O prazo para interposição de recursos administrativos é de 30 (trinta) dias a contar da sua publicação.</w:t>
      </w:r>
    </w:p>
    <w:p w:rsidR="00F036D1" w:rsidRPr="00140991" w:rsidRDefault="00F036D1">
      <w:pPr>
        <w:ind w:firstLine="567"/>
        <w:jc w:val="both"/>
        <w:rPr>
          <w:strike/>
          <w:sz w:val="24"/>
          <w:szCs w:val="24"/>
        </w:rPr>
      </w:pPr>
    </w:p>
    <w:p w:rsidR="00215DFD" w:rsidRPr="00140991" w:rsidRDefault="007C726F" w:rsidP="00215DFD">
      <w:pPr>
        <w:ind w:firstLine="567"/>
        <w:jc w:val="both"/>
        <w:rPr>
          <w:b/>
          <w:bCs/>
          <w:strike/>
          <w:color w:val="0000FF"/>
          <w:sz w:val="24"/>
          <w:szCs w:val="24"/>
        </w:rPr>
      </w:pPr>
      <w:r w:rsidRPr="00140991">
        <w:rPr>
          <w:strike/>
          <w:sz w:val="24"/>
          <w:szCs w:val="24"/>
        </w:rPr>
        <w:t>Art. 11 Salvo disposição legal específica, o prazo para interposição de recurso administrativo é de 10 (dez) dias a contar de sua publicação, que deverá ser dirigido à autoridade que proferiu a decisão, a qual, se não a reconsiderar no prazo de cinco dias, o encaminhará a Diretoria Colegiada.</w:t>
      </w:r>
      <w:r w:rsidR="00F036D1">
        <w:rPr>
          <w:strike/>
          <w:sz w:val="24"/>
          <w:szCs w:val="24"/>
        </w:rPr>
        <w:t xml:space="preserve"> </w:t>
      </w:r>
      <w:r w:rsidR="00215DFD">
        <w:rPr>
          <w:b/>
          <w:bCs/>
          <w:strike/>
          <w:color w:val="0000FF"/>
          <w:sz w:val="24"/>
          <w:szCs w:val="24"/>
        </w:rPr>
        <w:t>(R</w:t>
      </w:r>
      <w:r w:rsidR="00215DFD" w:rsidRPr="00140991">
        <w:rPr>
          <w:b/>
          <w:bCs/>
          <w:strike/>
          <w:color w:val="0000FF"/>
          <w:sz w:val="24"/>
          <w:szCs w:val="24"/>
        </w:rPr>
        <w:t>edação dada pela Resolução – RDC nº 104, de 05 de maio de 2004</w:t>
      </w:r>
      <w:proofErr w:type="gramStart"/>
      <w:r w:rsidR="00215DFD" w:rsidRPr="00140991">
        <w:rPr>
          <w:b/>
          <w:bCs/>
          <w:strike/>
          <w:color w:val="0000FF"/>
          <w:sz w:val="24"/>
          <w:szCs w:val="24"/>
        </w:rPr>
        <w:t>)</w:t>
      </w:r>
      <w:proofErr w:type="gramEnd"/>
    </w:p>
    <w:p w:rsidR="00215DFD" w:rsidRPr="00140991" w:rsidRDefault="00215DFD">
      <w:pPr>
        <w:ind w:firstLine="567"/>
        <w:jc w:val="both"/>
        <w:rPr>
          <w:strike/>
          <w:sz w:val="24"/>
          <w:szCs w:val="24"/>
        </w:rPr>
      </w:pPr>
    </w:p>
    <w:p w:rsidR="007C726F" w:rsidRPr="00140991" w:rsidRDefault="007C726F">
      <w:pPr>
        <w:ind w:firstLine="567"/>
        <w:jc w:val="both"/>
        <w:rPr>
          <w:b/>
          <w:bCs/>
          <w:strike/>
          <w:color w:val="0000FF"/>
          <w:sz w:val="24"/>
          <w:szCs w:val="24"/>
        </w:rPr>
      </w:pPr>
      <w:r w:rsidRPr="00140991">
        <w:rPr>
          <w:strike/>
          <w:sz w:val="24"/>
          <w:szCs w:val="24"/>
        </w:rPr>
        <w:t xml:space="preserve">Parágrafo único. O pedido de reconsideração estará implícito no recurso administrativo. </w:t>
      </w:r>
      <w:r w:rsidR="006419B1">
        <w:rPr>
          <w:b/>
          <w:bCs/>
          <w:strike/>
          <w:color w:val="0000FF"/>
          <w:sz w:val="24"/>
          <w:szCs w:val="24"/>
        </w:rPr>
        <w:t>(R</w:t>
      </w:r>
      <w:r w:rsidRPr="00140991">
        <w:rPr>
          <w:b/>
          <w:bCs/>
          <w:strike/>
          <w:color w:val="0000FF"/>
          <w:sz w:val="24"/>
          <w:szCs w:val="24"/>
        </w:rPr>
        <w:t>edação dada</w:t>
      </w:r>
      <w:r w:rsidR="00140991" w:rsidRPr="00140991">
        <w:rPr>
          <w:b/>
          <w:bCs/>
          <w:strike/>
          <w:color w:val="0000FF"/>
          <w:sz w:val="24"/>
          <w:szCs w:val="24"/>
        </w:rPr>
        <w:t xml:space="preserve"> pela Resolução – RDC nº 104, de 05 de maio de 2004</w:t>
      </w:r>
      <w:proofErr w:type="gramStart"/>
      <w:r w:rsidR="00140991" w:rsidRPr="00140991">
        <w:rPr>
          <w:b/>
          <w:bCs/>
          <w:strike/>
          <w:color w:val="0000FF"/>
          <w:sz w:val="24"/>
          <w:szCs w:val="24"/>
        </w:rPr>
        <w:t>)</w:t>
      </w:r>
      <w:proofErr w:type="gramEnd"/>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12 Para fins de contagem de prazos</w:t>
      </w:r>
      <w:proofErr w:type="gramStart"/>
      <w:r w:rsidRPr="00140991">
        <w:rPr>
          <w:strike/>
          <w:sz w:val="24"/>
          <w:szCs w:val="24"/>
        </w:rPr>
        <w:t>, exclui-se</w:t>
      </w:r>
      <w:proofErr w:type="gramEnd"/>
      <w:r w:rsidRPr="00140991">
        <w:rPr>
          <w:strike/>
          <w:sz w:val="24"/>
          <w:szCs w:val="24"/>
        </w:rPr>
        <w:t xml:space="preserve"> o dia do começo e inclui-se o do vencimento.</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 xml:space="preserve">Art. 13 Revoga-se a Resolução-RDC n.º 237, de </w:t>
      </w:r>
      <w:proofErr w:type="gramStart"/>
      <w:r w:rsidRPr="00140991">
        <w:rPr>
          <w:strike/>
          <w:sz w:val="24"/>
          <w:szCs w:val="24"/>
        </w:rPr>
        <w:t>3</w:t>
      </w:r>
      <w:proofErr w:type="gramEnd"/>
      <w:r w:rsidRPr="00140991">
        <w:rPr>
          <w:strike/>
          <w:sz w:val="24"/>
          <w:szCs w:val="24"/>
        </w:rPr>
        <w:t xml:space="preserve"> de setembro de 2003.</w:t>
      </w:r>
    </w:p>
    <w:p w:rsidR="00B74CA8" w:rsidRPr="00140991" w:rsidRDefault="00B74CA8">
      <w:pPr>
        <w:ind w:firstLine="567"/>
        <w:jc w:val="both"/>
        <w:rPr>
          <w:strike/>
          <w:sz w:val="24"/>
          <w:szCs w:val="24"/>
        </w:rPr>
      </w:pPr>
    </w:p>
    <w:p w:rsidR="00B74CA8" w:rsidRPr="00140991" w:rsidRDefault="00B74CA8">
      <w:pPr>
        <w:ind w:firstLine="567"/>
        <w:jc w:val="both"/>
        <w:rPr>
          <w:strike/>
          <w:sz w:val="24"/>
          <w:szCs w:val="24"/>
        </w:rPr>
      </w:pPr>
      <w:r w:rsidRPr="00140991">
        <w:rPr>
          <w:strike/>
          <w:sz w:val="24"/>
          <w:szCs w:val="24"/>
        </w:rPr>
        <w:t>Art. 14 Esta Resolução entra em vigor na data de sua publicação.</w:t>
      </w:r>
    </w:p>
    <w:p w:rsidR="00B74CA8" w:rsidRPr="00D04B8E" w:rsidRDefault="00B74CA8">
      <w:pPr>
        <w:ind w:firstLine="567"/>
        <w:jc w:val="both"/>
        <w:rPr>
          <w:sz w:val="24"/>
          <w:szCs w:val="24"/>
        </w:rPr>
      </w:pPr>
    </w:p>
    <w:p w:rsidR="00B74CA8" w:rsidRPr="00D04B8E" w:rsidRDefault="00B74CA8">
      <w:pPr>
        <w:ind w:firstLine="567"/>
        <w:jc w:val="both"/>
        <w:rPr>
          <w:sz w:val="24"/>
          <w:szCs w:val="24"/>
        </w:rPr>
      </w:pPr>
      <w:bookmarkStart w:id="0" w:name="_GoBack"/>
      <w:bookmarkEnd w:id="0"/>
    </w:p>
    <w:p w:rsidR="00B74CA8" w:rsidRPr="00D04B8E" w:rsidRDefault="00B74CA8">
      <w:pPr>
        <w:ind w:firstLine="567"/>
        <w:jc w:val="both"/>
        <w:rPr>
          <w:sz w:val="24"/>
          <w:szCs w:val="24"/>
        </w:rPr>
      </w:pPr>
    </w:p>
    <w:p w:rsidR="00B74CA8" w:rsidRPr="00D04B8E" w:rsidRDefault="00B74CA8">
      <w:pPr>
        <w:jc w:val="center"/>
        <w:rPr>
          <w:sz w:val="24"/>
          <w:szCs w:val="24"/>
        </w:rPr>
      </w:pPr>
      <w:r w:rsidRPr="00D04B8E">
        <w:rPr>
          <w:sz w:val="24"/>
          <w:szCs w:val="24"/>
        </w:rPr>
        <w:t>CLAUDIO MAIEROVITCH PESSANHA HENRIQUES</w:t>
      </w:r>
    </w:p>
    <w:sectPr w:rsidR="00B74CA8" w:rsidRPr="00D04B8E" w:rsidSect="007F2D07">
      <w:headerReference w:type="default" r:id="rId8"/>
      <w:footerReference w:type="default" r:id="rId9"/>
      <w:type w:val="continuous"/>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DFD" w:rsidRDefault="00215DFD">
      <w:r>
        <w:separator/>
      </w:r>
    </w:p>
  </w:endnote>
  <w:endnote w:type="continuationSeparator" w:id="0">
    <w:p w:rsidR="00215DFD" w:rsidRDefault="0021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07" w:rsidRPr="007F2D07" w:rsidRDefault="007F2D07" w:rsidP="007F2D07">
    <w:pPr>
      <w:tabs>
        <w:tab w:val="center" w:pos="4252"/>
        <w:tab w:val="right" w:pos="8504"/>
      </w:tabs>
      <w:jc w:val="center"/>
      <w:rPr>
        <w:rFonts w:ascii="Calibri" w:eastAsia="Calibri" w:hAnsi="Calibri"/>
        <w:sz w:val="22"/>
        <w:szCs w:val="22"/>
        <w:lang w:eastAsia="en-US"/>
      </w:rPr>
    </w:pPr>
    <w:r w:rsidRPr="007F2D07">
      <w:rPr>
        <w:rFonts w:ascii="Calibri" w:eastAsia="Calibri" w:hAnsi="Calibri"/>
        <w:color w:val="943634"/>
        <w:sz w:val="22"/>
        <w:szCs w:val="22"/>
        <w:lang w:eastAsia="en-US"/>
      </w:rPr>
      <w:t>Este texto não substitui o(s) publicado(s) em Diário Oficial da União.</w:t>
    </w:r>
  </w:p>
  <w:p w:rsidR="00215DFD" w:rsidRDefault="00215DFD">
    <w:pPr>
      <w:pStyle w:val="Rodap"/>
      <w:ind w:right="360"/>
    </w:pPr>
  </w:p>
  <w:p w:rsidR="007F2D07" w:rsidRDefault="007F2D07">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DFD" w:rsidRDefault="00215DFD">
      <w:r>
        <w:separator/>
      </w:r>
    </w:p>
  </w:footnote>
  <w:footnote w:type="continuationSeparator" w:id="0">
    <w:p w:rsidR="00215DFD" w:rsidRDefault="00215D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07" w:rsidRDefault="007F2D07">
    <w:pPr>
      <w:pStyle w:val="Cabealho"/>
    </w:pPr>
  </w:p>
  <w:p w:rsidR="007F2D07" w:rsidRPr="007F2D07" w:rsidRDefault="007F2D07" w:rsidP="007F2D07">
    <w:pPr>
      <w:tabs>
        <w:tab w:val="center" w:pos="4252"/>
        <w:tab w:val="right" w:pos="8504"/>
      </w:tabs>
      <w:jc w:val="center"/>
      <w:rPr>
        <w:rFonts w:ascii="Calibri" w:eastAsia="Calibri" w:hAnsi="Calibri"/>
        <w:sz w:val="22"/>
        <w:szCs w:val="22"/>
        <w:lang w:eastAsia="en-US"/>
      </w:rPr>
    </w:pPr>
    <w:r w:rsidRPr="007F2D07">
      <w:rPr>
        <w:rFonts w:ascii="Calibri" w:eastAsia="Calibri" w:hAnsi="Calibri"/>
        <w:noProof/>
        <w:sz w:val="22"/>
        <w:szCs w:val="22"/>
      </w:rPr>
      <w:drawing>
        <wp:inline distT="0" distB="0" distL="0" distR="0" wp14:anchorId="05879E03" wp14:editId="3EC597F5">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7F2D07" w:rsidRPr="007F2D07" w:rsidRDefault="007F2D07" w:rsidP="007F2D07">
    <w:pPr>
      <w:tabs>
        <w:tab w:val="center" w:pos="4252"/>
        <w:tab w:val="right" w:pos="8504"/>
      </w:tabs>
      <w:jc w:val="center"/>
      <w:rPr>
        <w:rFonts w:ascii="Calibri" w:eastAsia="Calibri" w:hAnsi="Calibri"/>
        <w:b/>
        <w:sz w:val="24"/>
        <w:szCs w:val="22"/>
        <w:lang w:eastAsia="en-US"/>
      </w:rPr>
    </w:pPr>
    <w:r w:rsidRPr="007F2D07">
      <w:rPr>
        <w:rFonts w:ascii="Calibri" w:eastAsia="Calibri" w:hAnsi="Calibri"/>
        <w:b/>
        <w:sz w:val="24"/>
        <w:szCs w:val="22"/>
        <w:lang w:eastAsia="en-US"/>
      </w:rPr>
      <w:t>Ministério da Saúde - MS</w:t>
    </w:r>
  </w:p>
  <w:p w:rsidR="007F2D07" w:rsidRPr="007F2D07" w:rsidRDefault="007F2D07" w:rsidP="007F2D07">
    <w:pPr>
      <w:tabs>
        <w:tab w:val="center" w:pos="4252"/>
        <w:tab w:val="right" w:pos="8504"/>
      </w:tabs>
      <w:jc w:val="center"/>
      <w:rPr>
        <w:rFonts w:ascii="Calibri" w:eastAsia="Calibri" w:hAnsi="Calibri"/>
        <w:b/>
        <w:sz w:val="24"/>
        <w:szCs w:val="22"/>
        <w:lang w:eastAsia="en-US"/>
      </w:rPr>
    </w:pPr>
    <w:r w:rsidRPr="007F2D07">
      <w:rPr>
        <w:rFonts w:ascii="Calibri" w:eastAsia="Calibri" w:hAnsi="Calibri"/>
        <w:b/>
        <w:sz w:val="24"/>
        <w:szCs w:val="22"/>
        <w:lang w:eastAsia="en-US"/>
      </w:rPr>
      <w:t>Agência Nacional de Vigilância Sanitária - ANVISA</w:t>
    </w:r>
  </w:p>
  <w:p w:rsidR="007F2D07" w:rsidRDefault="007F2D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C97"/>
    <w:multiLevelType w:val="hybridMultilevel"/>
    <w:tmpl w:val="E668CA4A"/>
    <w:lvl w:ilvl="0" w:tplc="88BE7806">
      <w:start w:val="1"/>
      <w:numFmt w:val="lowerLetter"/>
      <w:lvlText w:val="%1)"/>
      <w:lvlJc w:val="left"/>
      <w:pPr>
        <w:tabs>
          <w:tab w:val="num" w:pos="1784"/>
        </w:tabs>
        <w:ind w:left="1784" w:hanging="360"/>
      </w:pPr>
      <w:rPr>
        <w:rFonts w:cs="Times New Roman" w:hint="default"/>
      </w:rPr>
    </w:lvl>
    <w:lvl w:ilvl="1" w:tplc="04160019">
      <w:start w:val="1"/>
      <w:numFmt w:val="lowerLetter"/>
      <w:lvlText w:val="%2."/>
      <w:lvlJc w:val="left"/>
      <w:pPr>
        <w:tabs>
          <w:tab w:val="num" w:pos="2504"/>
        </w:tabs>
        <w:ind w:left="2504" w:hanging="360"/>
      </w:pPr>
      <w:rPr>
        <w:rFonts w:cs="Times New Roman"/>
      </w:rPr>
    </w:lvl>
    <w:lvl w:ilvl="2" w:tplc="0416001B">
      <w:start w:val="1"/>
      <w:numFmt w:val="lowerRoman"/>
      <w:lvlText w:val="%3."/>
      <w:lvlJc w:val="right"/>
      <w:pPr>
        <w:tabs>
          <w:tab w:val="num" w:pos="3224"/>
        </w:tabs>
        <w:ind w:left="3224" w:hanging="180"/>
      </w:pPr>
      <w:rPr>
        <w:rFonts w:cs="Times New Roman"/>
      </w:rPr>
    </w:lvl>
    <w:lvl w:ilvl="3" w:tplc="0416000F">
      <w:start w:val="1"/>
      <w:numFmt w:val="decimal"/>
      <w:lvlText w:val="%4."/>
      <w:lvlJc w:val="left"/>
      <w:pPr>
        <w:tabs>
          <w:tab w:val="num" w:pos="3944"/>
        </w:tabs>
        <w:ind w:left="3944" w:hanging="360"/>
      </w:pPr>
      <w:rPr>
        <w:rFonts w:cs="Times New Roman"/>
      </w:rPr>
    </w:lvl>
    <w:lvl w:ilvl="4" w:tplc="04160019">
      <w:start w:val="1"/>
      <w:numFmt w:val="lowerLetter"/>
      <w:lvlText w:val="%5."/>
      <w:lvlJc w:val="left"/>
      <w:pPr>
        <w:tabs>
          <w:tab w:val="num" w:pos="4664"/>
        </w:tabs>
        <w:ind w:left="4664" w:hanging="360"/>
      </w:pPr>
      <w:rPr>
        <w:rFonts w:cs="Times New Roman"/>
      </w:rPr>
    </w:lvl>
    <w:lvl w:ilvl="5" w:tplc="0416001B">
      <w:start w:val="1"/>
      <w:numFmt w:val="lowerRoman"/>
      <w:lvlText w:val="%6."/>
      <w:lvlJc w:val="right"/>
      <w:pPr>
        <w:tabs>
          <w:tab w:val="num" w:pos="5384"/>
        </w:tabs>
        <w:ind w:left="5384" w:hanging="180"/>
      </w:pPr>
      <w:rPr>
        <w:rFonts w:cs="Times New Roman"/>
      </w:rPr>
    </w:lvl>
    <w:lvl w:ilvl="6" w:tplc="0416000F">
      <w:start w:val="1"/>
      <w:numFmt w:val="decimal"/>
      <w:lvlText w:val="%7."/>
      <w:lvlJc w:val="left"/>
      <w:pPr>
        <w:tabs>
          <w:tab w:val="num" w:pos="6104"/>
        </w:tabs>
        <w:ind w:left="6104" w:hanging="360"/>
      </w:pPr>
      <w:rPr>
        <w:rFonts w:cs="Times New Roman"/>
      </w:rPr>
    </w:lvl>
    <w:lvl w:ilvl="7" w:tplc="04160019">
      <w:start w:val="1"/>
      <w:numFmt w:val="lowerLetter"/>
      <w:lvlText w:val="%8."/>
      <w:lvlJc w:val="left"/>
      <w:pPr>
        <w:tabs>
          <w:tab w:val="num" w:pos="6824"/>
        </w:tabs>
        <w:ind w:left="6824" w:hanging="360"/>
      </w:pPr>
      <w:rPr>
        <w:rFonts w:cs="Times New Roman"/>
      </w:rPr>
    </w:lvl>
    <w:lvl w:ilvl="8" w:tplc="0416001B">
      <w:start w:val="1"/>
      <w:numFmt w:val="lowerRoman"/>
      <w:lvlText w:val="%9."/>
      <w:lvlJc w:val="right"/>
      <w:pPr>
        <w:tabs>
          <w:tab w:val="num" w:pos="7544"/>
        </w:tabs>
        <w:ind w:left="7544" w:hanging="180"/>
      </w:pPr>
      <w:rPr>
        <w:rFonts w:cs="Times New Roman"/>
      </w:rPr>
    </w:lvl>
  </w:abstractNum>
  <w:abstractNum w:abstractNumId="1">
    <w:nsid w:val="2F5768DA"/>
    <w:multiLevelType w:val="hybridMultilevel"/>
    <w:tmpl w:val="6BF619FC"/>
    <w:lvl w:ilvl="0" w:tplc="FFFFFFFF">
      <w:start w:val="1"/>
      <w:numFmt w:val="upperRoman"/>
      <w:lvlText w:val="%1."/>
      <w:lvlJc w:val="right"/>
      <w:pPr>
        <w:tabs>
          <w:tab w:val="num" w:pos="720"/>
        </w:tabs>
        <w:ind w:left="720" w:hanging="18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
    <w:nsid w:val="3B08514A"/>
    <w:multiLevelType w:val="hybridMultilevel"/>
    <w:tmpl w:val="1388B22C"/>
    <w:lvl w:ilvl="0" w:tplc="648A63DA">
      <w:start w:val="1"/>
      <w:numFmt w:val="lowerLetter"/>
      <w:lvlText w:val="%1)"/>
      <w:lvlJc w:val="left"/>
      <w:pPr>
        <w:tabs>
          <w:tab w:val="num" w:pos="1784"/>
        </w:tabs>
        <w:ind w:left="1784" w:hanging="360"/>
      </w:pPr>
      <w:rPr>
        <w:rFonts w:cs="Times New Roman" w:hint="default"/>
      </w:rPr>
    </w:lvl>
    <w:lvl w:ilvl="1" w:tplc="04160019">
      <w:start w:val="1"/>
      <w:numFmt w:val="lowerLetter"/>
      <w:lvlText w:val="%2."/>
      <w:lvlJc w:val="left"/>
      <w:pPr>
        <w:tabs>
          <w:tab w:val="num" w:pos="2504"/>
        </w:tabs>
        <w:ind w:left="2504" w:hanging="360"/>
      </w:pPr>
      <w:rPr>
        <w:rFonts w:cs="Times New Roman"/>
      </w:rPr>
    </w:lvl>
    <w:lvl w:ilvl="2" w:tplc="0416001B">
      <w:start w:val="1"/>
      <w:numFmt w:val="lowerRoman"/>
      <w:lvlText w:val="%3."/>
      <w:lvlJc w:val="right"/>
      <w:pPr>
        <w:tabs>
          <w:tab w:val="num" w:pos="3224"/>
        </w:tabs>
        <w:ind w:left="3224" w:hanging="180"/>
      </w:pPr>
      <w:rPr>
        <w:rFonts w:cs="Times New Roman"/>
      </w:rPr>
    </w:lvl>
    <w:lvl w:ilvl="3" w:tplc="0416000F">
      <w:start w:val="1"/>
      <w:numFmt w:val="decimal"/>
      <w:lvlText w:val="%4."/>
      <w:lvlJc w:val="left"/>
      <w:pPr>
        <w:tabs>
          <w:tab w:val="num" w:pos="3944"/>
        </w:tabs>
        <w:ind w:left="3944" w:hanging="360"/>
      </w:pPr>
      <w:rPr>
        <w:rFonts w:cs="Times New Roman"/>
      </w:rPr>
    </w:lvl>
    <w:lvl w:ilvl="4" w:tplc="04160019">
      <w:start w:val="1"/>
      <w:numFmt w:val="lowerLetter"/>
      <w:lvlText w:val="%5."/>
      <w:lvlJc w:val="left"/>
      <w:pPr>
        <w:tabs>
          <w:tab w:val="num" w:pos="4664"/>
        </w:tabs>
        <w:ind w:left="4664" w:hanging="360"/>
      </w:pPr>
      <w:rPr>
        <w:rFonts w:cs="Times New Roman"/>
      </w:rPr>
    </w:lvl>
    <w:lvl w:ilvl="5" w:tplc="0416001B">
      <w:start w:val="1"/>
      <w:numFmt w:val="lowerRoman"/>
      <w:lvlText w:val="%6."/>
      <w:lvlJc w:val="right"/>
      <w:pPr>
        <w:tabs>
          <w:tab w:val="num" w:pos="5384"/>
        </w:tabs>
        <w:ind w:left="5384" w:hanging="180"/>
      </w:pPr>
      <w:rPr>
        <w:rFonts w:cs="Times New Roman"/>
      </w:rPr>
    </w:lvl>
    <w:lvl w:ilvl="6" w:tplc="0416000F">
      <w:start w:val="1"/>
      <w:numFmt w:val="decimal"/>
      <w:lvlText w:val="%7."/>
      <w:lvlJc w:val="left"/>
      <w:pPr>
        <w:tabs>
          <w:tab w:val="num" w:pos="6104"/>
        </w:tabs>
        <w:ind w:left="6104" w:hanging="360"/>
      </w:pPr>
      <w:rPr>
        <w:rFonts w:cs="Times New Roman"/>
      </w:rPr>
    </w:lvl>
    <w:lvl w:ilvl="7" w:tplc="04160019">
      <w:start w:val="1"/>
      <w:numFmt w:val="lowerLetter"/>
      <w:lvlText w:val="%8."/>
      <w:lvlJc w:val="left"/>
      <w:pPr>
        <w:tabs>
          <w:tab w:val="num" w:pos="6824"/>
        </w:tabs>
        <w:ind w:left="6824" w:hanging="360"/>
      </w:pPr>
      <w:rPr>
        <w:rFonts w:cs="Times New Roman"/>
      </w:rPr>
    </w:lvl>
    <w:lvl w:ilvl="8" w:tplc="0416001B">
      <w:start w:val="1"/>
      <w:numFmt w:val="lowerRoman"/>
      <w:lvlText w:val="%9."/>
      <w:lvlJc w:val="right"/>
      <w:pPr>
        <w:tabs>
          <w:tab w:val="num" w:pos="7544"/>
        </w:tabs>
        <w:ind w:left="7544" w:hanging="180"/>
      </w:pPr>
      <w:rPr>
        <w:rFonts w:cs="Times New Roman"/>
      </w:rPr>
    </w:lvl>
  </w:abstractNum>
  <w:abstractNum w:abstractNumId="3">
    <w:nsid w:val="55F57152"/>
    <w:multiLevelType w:val="singleLevel"/>
    <w:tmpl w:val="F0663B0C"/>
    <w:lvl w:ilvl="0">
      <w:numFmt w:val="bullet"/>
      <w:lvlText w:val="-"/>
      <w:lvlJc w:val="left"/>
      <w:pPr>
        <w:tabs>
          <w:tab w:val="num" w:pos="360"/>
        </w:tabs>
        <w:ind w:left="360" w:hanging="360"/>
      </w:pPr>
      <w:rPr>
        <w:rFonts w:hint="default"/>
      </w:rPr>
    </w:lvl>
  </w:abstractNum>
  <w:abstractNum w:abstractNumId="4">
    <w:nsid w:val="613C18BE"/>
    <w:multiLevelType w:val="singleLevel"/>
    <w:tmpl w:val="F0663B0C"/>
    <w:lvl w:ilvl="0">
      <w:numFmt w:val="bullet"/>
      <w:lvlText w:val="-"/>
      <w:lvlJc w:val="left"/>
      <w:pPr>
        <w:tabs>
          <w:tab w:val="num" w:pos="360"/>
        </w:tabs>
        <w:ind w:left="360" w:hanging="360"/>
      </w:pPr>
      <w:rPr>
        <w:rFonts w:hint="default"/>
      </w:rPr>
    </w:lvl>
  </w:abstractNum>
  <w:abstractNum w:abstractNumId="5">
    <w:nsid w:val="6DF51ADE"/>
    <w:multiLevelType w:val="singleLevel"/>
    <w:tmpl w:val="F0663B0C"/>
    <w:lvl w:ilvl="0">
      <w:numFmt w:val="bullet"/>
      <w:lvlText w:val="-"/>
      <w:lvlJc w:val="left"/>
      <w:pPr>
        <w:tabs>
          <w:tab w:val="num" w:pos="360"/>
        </w:tabs>
        <w:ind w:left="360" w:hanging="360"/>
      </w:pPr>
      <w:rPr>
        <w:rFonts w:hint="default"/>
      </w:rPr>
    </w:lvl>
  </w:abstractNum>
  <w:abstractNum w:abstractNumId="6">
    <w:nsid w:val="6FDA5484"/>
    <w:multiLevelType w:val="hybridMultilevel"/>
    <w:tmpl w:val="A554F340"/>
    <w:lvl w:ilvl="0" w:tplc="7E24CE9A">
      <w:start w:val="1"/>
      <w:numFmt w:val="lowerLetter"/>
      <w:lvlText w:val="%1)"/>
      <w:lvlJc w:val="left"/>
      <w:pPr>
        <w:tabs>
          <w:tab w:val="num" w:pos="1784"/>
        </w:tabs>
        <w:ind w:left="1784" w:hanging="360"/>
      </w:pPr>
      <w:rPr>
        <w:rFonts w:cs="Times New Roman" w:hint="default"/>
      </w:rPr>
    </w:lvl>
    <w:lvl w:ilvl="1" w:tplc="04160019">
      <w:start w:val="1"/>
      <w:numFmt w:val="lowerLetter"/>
      <w:lvlText w:val="%2."/>
      <w:lvlJc w:val="left"/>
      <w:pPr>
        <w:tabs>
          <w:tab w:val="num" w:pos="2504"/>
        </w:tabs>
        <w:ind w:left="2504" w:hanging="360"/>
      </w:pPr>
      <w:rPr>
        <w:rFonts w:cs="Times New Roman"/>
      </w:rPr>
    </w:lvl>
    <w:lvl w:ilvl="2" w:tplc="0416001B">
      <w:start w:val="1"/>
      <w:numFmt w:val="lowerRoman"/>
      <w:lvlText w:val="%3."/>
      <w:lvlJc w:val="right"/>
      <w:pPr>
        <w:tabs>
          <w:tab w:val="num" w:pos="3224"/>
        </w:tabs>
        <w:ind w:left="3224" w:hanging="180"/>
      </w:pPr>
      <w:rPr>
        <w:rFonts w:cs="Times New Roman"/>
      </w:rPr>
    </w:lvl>
    <w:lvl w:ilvl="3" w:tplc="0416000F">
      <w:start w:val="1"/>
      <w:numFmt w:val="decimal"/>
      <w:lvlText w:val="%4."/>
      <w:lvlJc w:val="left"/>
      <w:pPr>
        <w:tabs>
          <w:tab w:val="num" w:pos="3944"/>
        </w:tabs>
        <w:ind w:left="3944" w:hanging="360"/>
      </w:pPr>
      <w:rPr>
        <w:rFonts w:cs="Times New Roman"/>
      </w:rPr>
    </w:lvl>
    <w:lvl w:ilvl="4" w:tplc="04160019">
      <w:start w:val="1"/>
      <w:numFmt w:val="lowerLetter"/>
      <w:lvlText w:val="%5."/>
      <w:lvlJc w:val="left"/>
      <w:pPr>
        <w:tabs>
          <w:tab w:val="num" w:pos="4664"/>
        </w:tabs>
        <w:ind w:left="4664" w:hanging="360"/>
      </w:pPr>
      <w:rPr>
        <w:rFonts w:cs="Times New Roman"/>
      </w:rPr>
    </w:lvl>
    <w:lvl w:ilvl="5" w:tplc="0416001B">
      <w:start w:val="1"/>
      <w:numFmt w:val="lowerRoman"/>
      <w:lvlText w:val="%6."/>
      <w:lvlJc w:val="right"/>
      <w:pPr>
        <w:tabs>
          <w:tab w:val="num" w:pos="5384"/>
        </w:tabs>
        <w:ind w:left="5384" w:hanging="180"/>
      </w:pPr>
      <w:rPr>
        <w:rFonts w:cs="Times New Roman"/>
      </w:rPr>
    </w:lvl>
    <w:lvl w:ilvl="6" w:tplc="0416000F">
      <w:start w:val="1"/>
      <w:numFmt w:val="decimal"/>
      <w:lvlText w:val="%7."/>
      <w:lvlJc w:val="left"/>
      <w:pPr>
        <w:tabs>
          <w:tab w:val="num" w:pos="6104"/>
        </w:tabs>
        <w:ind w:left="6104" w:hanging="360"/>
      </w:pPr>
      <w:rPr>
        <w:rFonts w:cs="Times New Roman"/>
      </w:rPr>
    </w:lvl>
    <w:lvl w:ilvl="7" w:tplc="04160019">
      <w:start w:val="1"/>
      <w:numFmt w:val="lowerLetter"/>
      <w:lvlText w:val="%8."/>
      <w:lvlJc w:val="left"/>
      <w:pPr>
        <w:tabs>
          <w:tab w:val="num" w:pos="6824"/>
        </w:tabs>
        <w:ind w:left="6824" w:hanging="360"/>
      </w:pPr>
      <w:rPr>
        <w:rFonts w:cs="Times New Roman"/>
      </w:rPr>
    </w:lvl>
    <w:lvl w:ilvl="8" w:tplc="0416001B">
      <w:start w:val="1"/>
      <w:numFmt w:val="lowerRoman"/>
      <w:lvlText w:val="%9."/>
      <w:lvlJc w:val="right"/>
      <w:pPr>
        <w:tabs>
          <w:tab w:val="num" w:pos="7544"/>
        </w:tabs>
        <w:ind w:left="7544" w:hanging="180"/>
      </w:pPr>
      <w:rPr>
        <w:rFonts w:cs="Times New Roman"/>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141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B74CA8"/>
    <w:rsid w:val="000108B2"/>
    <w:rsid w:val="00140991"/>
    <w:rsid w:val="00215DFD"/>
    <w:rsid w:val="002F2ACE"/>
    <w:rsid w:val="0060220B"/>
    <w:rsid w:val="006419B1"/>
    <w:rsid w:val="00783AF0"/>
    <w:rsid w:val="007C726F"/>
    <w:rsid w:val="007F2D07"/>
    <w:rsid w:val="00B72037"/>
    <w:rsid w:val="00B74CA8"/>
    <w:rsid w:val="00C11CFD"/>
    <w:rsid w:val="00D04B8E"/>
    <w:rsid w:val="00F03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Block Text"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20B"/>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rsid w:val="0060220B"/>
    <w:pPr>
      <w:keepNext/>
      <w:outlineLvl w:val="0"/>
    </w:pPr>
    <w:rPr>
      <w:sz w:val="28"/>
      <w:szCs w:val="28"/>
    </w:rPr>
  </w:style>
  <w:style w:type="paragraph" w:styleId="Ttulo2">
    <w:name w:val="heading 2"/>
    <w:basedOn w:val="Normal"/>
    <w:next w:val="Normal"/>
    <w:link w:val="Ttulo2Char"/>
    <w:uiPriority w:val="99"/>
    <w:qFormat/>
    <w:rsid w:val="0060220B"/>
    <w:pPr>
      <w:keepNext/>
      <w:outlineLvl w:val="1"/>
    </w:pPr>
    <w:rPr>
      <w:color w:val="FF0000"/>
      <w:sz w:val="28"/>
      <w:szCs w:val="28"/>
    </w:rPr>
  </w:style>
  <w:style w:type="paragraph" w:styleId="Ttulo3">
    <w:name w:val="heading 3"/>
    <w:basedOn w:val="Normal"/>
    <w:next w:val="Normal"/>
    <w:link w:val="Ttulo3Char"/>
    <w:uiPriority w:val="99"/>
    <w:qFormat/>
    <w:rsid w:val="0060220B"/>
    <w:pPr>
      <w:keepNext/>
      <w:jc w:val="center"/>
      <w:outlineLvl w:val="2"/>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60220B"/>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60220B"/>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60220B"/>
    <w:rPr>
      <w:rFonts w:asciiTheme="majorHAnsi" w:eastAsiaTheme="majorEastAsia" w:hAnsiTheme="majorHAnsi" w:cs="Times New Roman"/>
      <w:b/>
      <w:bCs/>
      <w:sz w:val="26"/>
      <w:szCs w:val="26"/>
    </w:rPr>
  </w:style>
  <w:style w:type="paragraph" w:styleId="Corpodetexto2">
    <w:name w:val="Body Text 2"/>
    <w:basedOn w:val="Normal"/>
    <w:link w:val="Corpodetexto2Char"/>
    <w:uiPriority w:val="99"/>
    <w:rsid w:val="0060220B"/>
    <w:pPr>
      <w:jc w:val="both"/>
    </w:pPr>
    <w:rPr>
      <w:color w:val="FF0000"/>
      <w:sz w:val="28"/>
      <w:szCs w:val="28"/>
    </w:rPr>
  </w:style>
  <w:style w:type="character" w:customStyle="1" w:styleId="Corpodetexto2Char">
    <w:name w:val="Corpo de texto 2 Char"/>
    <w:basedOn w:val="Fontepargpadro"/>
    <w:link w:val="Corpodetexto2"/>
    <w:uiPriority w:val="99"/>
    <w:semiHidden/>
    <w:locked/>
    <w:rsid w:val="0060220B"/>
    <w:rPr>
      <w:rFonts w:ascii="Times New Roman" w:hAnsi="Times New Roman" w:cs="Times New Roman"/>
      <w:sz w:val="20"/>
      <w:szCs w:val="20"/>
    </w:rPr>
  </w:style>
  <w:style w:type="paragraph" w:styleId="Corpodetexto">
    <w:name w:val="Body Text"/>
    <w:basedOn w:val="Normal"/>
    <w:link w:val="CorpodetextoChar"/>
    <w:uiPriority w:val="99"/>
    <w:rsid w:val="0060220B"/>
    <w:pPr>
      <w:jc w:val="both"/>
    </w:pPr>
    <w:rPr>
      <w:sz w:val="28"/>
      <w:szCs w:val="28"/>
    </w:rPr>
  </w:style>
  <w:style w:type="character" w:customStyle="1" w:styleId="CorpodetextoChar">
    <w:name w:val="Corpo de texto Char"/>
    <w:basedOn w:val="Fontepargpadro"/>
    <w:link w:val="Corpodetexto"/>
    <w:uiPriority w:val="99"/>
    <w:semiHidden/>
    <w:locked/>
    <w:rsid w:val="0060220B"/>
    <w:rPr>
      <w:rFonts w:ascii="Times New Roman" w:hAnsi="Times New Roman" w:cs="Times New Roman"/>
      <w:sz w:val="20"/>
      <w:szCs w:val="20"/>
    </w:rPr>
  </w:style>
  <w:style w:type="paragraph" w:styleId="Recuodecorpodetexto2">
    <w:name w:val="Body Text Indent 2"/>
    <w:basedOn w:val="Normal"/>
    <w:link w:val="Recuodecorpodetexto2Char"/>
    <w:uiPriority w:val="99"/>
    <w:rsid w:val="0060220B"/>
    <w:pPr>
      <w:ind w:firstLine="708"/>
      <w:jc w:val="both"/>
    </w:pPr>
    <w:rPr>
      <w:sz w:val="28"/>
      <w:szCs w:val="28"/>
    </w:rPr>
  </w:style>
  <w:style w:type="character" w:customStyle="1" w:styleId="Recuodecorpodetexto2Char">
    <w:name w:val="Recuo de corpo de texto 2 Char"/>
    <w:basedOn w:val="Fontepargpadro"/>
    <w:link w:val="Recuodecorpodetexto2"/>
    <w:uiPriority w:val="99"/>
    <w:semiHidden/>
    <w:locked/>
    <w:rsid w:val="0060220B"/>
    <w:rPr>
      <w:rFonts w:ascii="Times New Roman" w:hAnsi="Times New Roman" w:cs="Times New Roman"/>
      <w:sz w:val="20"/>
      <w:szCs w:val="20"/>
    </w:rPr>
  </w:style>
  <w:style w:type="paragraph" w:styleId="Recuodecorpodetexto3">
    <w:name w:val="Body Text Indent 3"/>
    <w:basedOn w:val="Normal"/>
    <w:link w:val="Recuodecorpodetexto3Char"/>
    <w:uiPriority w:val="99"/>
    <w:rsid w:val="0060220B"/>
    <w:pPr>
      <w:ind w:firstLine="708"/>
      <w:jc w:val="both"/>
    </w:pPr>
    <w:rPr>
      <w:color w:val="FF0000"/>
      <w:sz w:val="28"/>
      <w:szCs w:val="28"/>
    </w:rPr>
  </w:style>
  <w:style w:type="character" w:customStyle="1" w:styleId="Recuodecorpodetexto3Char">
    <w:name w:val="Recuo de corpo de texto 3 Char"/>
    <w:basedOn w:val="Fontepargpadro"/>
    <w:link w:val="Recuodecorpodetexto3"/>
    <w:uiPriority w:val="99"/>
    <w:semiHidden/>
    <w:locked/>
    <w:rsid w:val="0060220B"/>
    <w:rPr>
      <w:rFonts w:ascii="Times New Roman" w:hAnsi="Times New Roman" w:cs="Times New Roman"/>
      <w:sz w:val="16"/>
      <w:szCs w:val="16"/>
    </w:rPr>
  </w:style>
  <w:style w:type="paragraph" w:styleId="Corpodetexto3">
    <w:name w:val="Body Text 3"/>
    <w:basedOn w:val="Normal"/>
    <w:link w:val="Corpodetexto3Char"/>
    <w:uiPriority w:val="99"/>
    <w:rsid w:val="0060220B"/>
    <w:rPr>
      <w:sz w:val="28"/>
      <w:szCs w:val="28"/>
    </w:rPr>
  </w:style>
  <w:style w:type="character" w:customStyle="1" w:styleId="Corpodetexto3Char">
    <w:name w:val="Corpo de texto 3 Char"/>
    <w:basedOn w:val="Fontepargpadro"/>
    <w:link w:val="Corpodetexto3"/>
    <w:uiPriority w:val="99"/>
    <w:semiHidden/>
    <w:locked/>
    <w:rsid w:val="0060220B"/>
    <w:rPr>
      <w:rFonts w:ascii="Times New Roman" w:hAnsi="Times New Roman" w:cs="Times New Roman"/>
      <w:sz w:val="16"/>
      <w:szCs w:val="16"/>
    </w:rPr>
  </w:style>
  <w:style w:type="paragraph" w:styleId="Textoembloco">
    <w:name w:val="Block Text"/>
    <w:basedOn w:val="Normal"/>
    <w:uiPriority w:val="99"/>
    <w:rsid w:val="0060220B"/>
    <w:pPr>
      <w:ind w:left="1702" w:right="284" w:firstLine="1132"/>
    </w:pPr>
    <w:rPr>
      <w:b/>
      <w:bCs/>
      <w:sz w:val="24"/>
      <w:szCs w:val="24"/>
    </w:rPr>
  </w:style>
  <w:style w:type="paragraph" w:styleId="NormalWeb">
    <w:name w:val="Normal (Web)"/>
    <w:basedOn w:val="Normal"/>
    <w:uiPriority w:val="99"/>
    <w:rsid w:val="0060220B"/>
    <w:pPr>
      <w:spacing w:before="100" w:beforeAutospacing="1" w:after="100" w:afterAutospacing="1"/>
    </w:pPr>
    <w:rPr>
      <w:rFonts w:ascii="Arial Unicode MS" w:eastAsia="Arial Unicode MS" w:hAnsi="Arial Unicode MS" w:cs="Arial Unicode MS"/>
      <w:sz w:val="24"/>
      <w:szCs w:val="24"/>
    </w:rPr>
  </w:style>
  <w:style w:type="paragraph" w:styleId="Rodap">
    <w:name w:val="footer"/>
    <w:basedOn w:val="Normal"/>
    <w:link w:val="RodapChar"/>
    <w:uiPriority w:val="99"/>
    <w:rsid w:val="0060220B"/>
    <w:pPr>
      <w:tabs>
        <w:tab w:val="center" w:pos="4419"/>
        <w:tab w:val="right" w:pos="8838"/>
      </w:tabs>
    </w:pPr>
  </w:style>
  <w:style w:type="character" w:customStyle="1" w:styleId="RodapChar">
    <w:name w:val="Rodapé Char"/>
    <w:basedOn w:val="Fontepargpadro"/>
    <w:link w:val="Rodap"/>
    <w:uiPriority w:val="99"/>
    <w:semiHidden/>
    <w:locked/>
    <w:rsid w:val="0060220B"/>
    <w:rPr>
      <w:rFonts w:ascii="Times New Roman" w:hAnsi="Times New Roman" w:cs="Times New Roman"/>
      <w:sz w:val="20"/>
      <w:szCs w:val="20"/>
    </w:rPr>
  </w:style>
  <w:style w:type="character" w:styleId="Nmerodepgina">
    <w:name w:val="page number"/>
    <w:basedOn w:val="Fontepargpadro"/>
    <w:uiPriority w:val="99"/>
    <w:rsid w:val="0060220B"/>
    <w:rPr>
      <w:rFonts w:cs="Times New Roman"/>
    </w:rPr>
  </w:style>
  <w:style w:type="paragraph" w:styleId="Cabealho">
    <w:name w:val="header"/>
    <w:basedOn w:val="Normal"/>
    <w:link w:val="CabealhoChar"/>
    <w:uiPriority w:val="99"/>
    <w:rsid w:val="0060220B"/>
    <w:pPr>
      <w:tabs>
        <w:tab w:val="center" w:pos="4419"/>
        <w:tab w:val="right" w:pos="8838"/>
      </w:tabs>
    </w:pPr>
  </w:style>
  <w:style w:type="character" w:customStyle="1" w:styleId="CabealhoChar">
    <w:name w:val="Cabeçalho Char"/>
    <w:basedOn w:val="Fontepargpadro"/>
    <w:link w:val="Cabealho"/>
    <w:uiPriority w:val="99"/>
    <w:semiHidden/>
    <w:locked/>
    <w:rsid w:val="0060220B"/>
    <w:rPr>
      <w:rFonts w:ascii="Times New Roman" w:hAnsi="Times New Roman" w:cs="Times New Roman"/>
      <w:sz w:val="20"/>
      <w:szCs w:val="20"/>
    </w:rPr>
  </w:style>
  <w:style w:type="paragraph" w:styleId="Textodebalo">
    <w:name w:val="Balloon Text"/>
    <w:basedOn w:val="Normal"/>
    <w:link w:val="TextodebaloChar"/>
    <w:uiPriority w:val="99"/>
    <w:semiHidden/>
    <w:unhideWhenUsed/>
    <w:rsid w:val="007F2D07"/>
    <w:rPr>
      <w:rFonts w:ascii="Tahoma" w:hAnsi="Tahoma" w:cs="Tahoma"/>
      <w:sz w:val="16"/>
      <w:szCs w:val="16"/>
    </w:rPr>
  </w:style>
  <w:style w:type="character" w:customStyle="1" w:styleId="TextodebaloChar">
    <w:name w:val="Texto de balão Char"/>
    <w:basedOn w:val="Fontepargpadro"/>
    <w:link w:val="Textodebalo"/>
    <w:uiPriority w:val="99"/>
    <w:semiHidden/>
    <w:rsid w:val="007F2D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Block Text"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sz w:val="28"/>
      <w:szCs w:val="28"/>
    </w:rPr>
  </w:style>
  <w:style w:type="paragraph" w:styleId="Ttulo2">
    <w:name w:val="heading 2"/>
    <w:basedOn w:val="Normal"/>
    <w:next w:val="Normal"/>
    <w:link w:val="Ttulo2Char"/>
    <w:uiPriority w:val="99"/>
    <w:qFormat/>
    <w:pPr>
      <w:keepNext/>
      <w:outlineLvl w:val="1"/>
    </w:pPr>
    <w:rPr>
      <w:color w:val="FF0000"/>
      <w:sz w:val="28"/>
      <w:szCs w:val="28"/>
    </w:rPr>
  </w:style>
  <w:style w:type="paragraph" w:styleId="Ttulo3">
    <w:name w:val="heading 3"/>
    <w:basedOn w:val="Normal"/>
    <w:next w:val="Normal"/>
    <w:link w:val="Ttulo3Char"/>
    <w:uiPriority w:val="99"/>
    <w:qFormat/>
    <w:pPr>
      <w:keepNext/>
      <w:jc w:val="center"/>
      <w:outlineLvl w:val="2"/>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Corpodetexto2">
    <w:name w:val="Body Text 2"/>
    <w:basedOn w:val="Normal"/>
    <w:link w:val="Corpodetexto2Char"/>
    <w:uiPriority w:val="99"/>
    <w:pPr>
      <w:jc w:val="both"/>
    </w:pPr>
    <w:rPr>
      <w:color w:val="FF0000"/>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sz w:val="28"/>
      <w:szCs w:val="2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708"/>
      <w:jc w:val="both"/>
    </w:pPr>
    <w:rPr>
      <w:sz w:val="28"/>
      <w:szCs w:val="28"/>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708"/>
      <w:jc w:val="both"/>
    </w:pPr>
    <w:rPr>
      <w:color w:val="FF0000"/>
      <w:sz w:val="28"/>
      <w:szCs w:val="28"/>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3">
    <w:name w:val="Body Text 3"/>
    <w:basedOn w:val="Normal"/>
    <w:link w:val="Corpodetexto3Char"/>
    <w:uiPriority w:val="99"/>
    <w:rPr>
      <w:sz w:val="28"/>
      <w:szCs w:val="28"/>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Textoembloco">
    <w:name w:val="Block Text"/>
    <w:basedOn w:val="Normal"/>
    <w:uiPriority w:val="99"/>
    <w:pPr>
      <w:ind w:left="1702" w:right="284" w:firstLine="1132"/>
    </w:pPr>
    <w:rPr>
      <w:b/>
      <w:bCs/>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D1AE8-D060-4337-8871-F99F3514869E}"/>
</file>

<file path=customXml/itemProps2.xml><?xml version="1.0" encoding="utf-8"?>
<ds:datastoreItem xmlns:ds="http://schemas.openxmlformats.org/officeDocument/2006/customXml" ds:itemID="{59175CD8-47DA-4140-99EF-9919F3E674F6}"/>
</file>

<file path=customXml/itemProps3.xml><?xml version="1.0" encoding="utf-8"?>
<ds:datastoreItem xmlns:ds="http://schemas.openxmlformats.org/officeDocument/2006/customXml" ds:itemID="{D731F09C-9975-4F19-BBDB-9E65B92ECEBE}"/>
</file>

<file path=docProps/app.xml><?xml version="1.0" encoding="utf-8"?>
<Properties xmlns="http://schemas.openxmlformats.org/officeDocument/2006/extended-properties" xmlns:vt="http://schemas.openxmlformats.org/officeDocument/2006/docPropsVTypes">
  <Template>Normal</Template>
  <TotalTime>35</TotalTime>
  <Pages>4</Pages>
  <Words>1330</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Atos e Contratos de Alienação”</vt:lpstr>
    </vt:vector>
  </TitlesOfParts>
  <Company>anvs</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Atos e Contratos de Alienação”</dc:title>
  <dc:creator>Mariene.Castilho</dc:creator>
  <cp:lastModifiedBy>Raianne Liberal Coutinho</cp:lastModifiedBy>
  <cp:revision>10</cp:revision>
  <cp:lastPrinted>2016-07-26T18:05:00Z</cp:lastPrinted>
  <dcterms:created xsi:type="dcterms:W3CDTF">2015-08-31T18:50:00Z</dcterms:created>
  <dcterms:modified xsi:type="dcterms:W3CDTF">2016-07-26T18:05:00Z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