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73F6" w:rsidRPr="00CC16E3" w:rsidRDefault="000E01EB" w:rsidP="00CC16E3">
      <w:pPr>
        <w:pStyle w:val="Corpodetexto2"/>
        <w:tabs>
          <w:tab w:val="left" w:pos="284"/>
        </w:tabs>
        <w:ind w:left="-284" w:right="-284"/>
        <w:jc w:val="center"/>
        <w:rPr>
          <w:rFonts w:ascii="Times New Roman" w:hAnsi="Times New Roman" w:cs="Times New Roman"/>
          <w:b/>
          <w:bCs/>
          <w:sz w:val="22"/>
          <w:szCs w:val="24"/>
        </w:rPr>
      </w:pPr>
      <w:bookmarkStart w:id="0" w:name="_GoBack"/>
      <w:bookmarkEnd w:id="0"/>
      <w:r w:rsidRPr="00CC16E3">
        <w:rPr>
          <w:rFonts w:ascii="Times New Roman" w:hAnsi="Times New Roman" w:cs="Times New Roman"/>
          <w:b/>
          <w:bCs/>
          <w:sz w:val="22"/>
          <w:szCs w:val="24"/>
        </w:rPr>
        <w:t>RESOLUÇÃO DE DIRETORIA COLEGIADA - RDC Nº 351, DE 20 DE DEZEMBRO DE 2002</w:t>
      </w:r>
    </w:p>
    <w:p w:rsidR="000E01EB" w:rsidRDefault="000E01EB" w:rsidP="008F6422">
      <w:pPr>
        <w:pStyle w:val="Corpodetexto2"/>
        <w:tabs>
          <w:tab w:val="left" w:pos="284"/>
        </w:tabs>
        <w:ind w:firstLine="567"/>
        <w:jc w:val="center"/>
        <w:rPr>
          <w:rFonts w:ascii="Times New Roman" w:hAnsi="Times New Roman" w:cs="Times New Roman"/>
          <w:b/>
          <w:bCs/>
          <w:sz w:val="24"/>
          <w:szCs w:val="24"/>
        </w:rPr>
      </w:pPr>
    </w:p>
    <w:p w:rsidR="008F6422" w:rsidRDefault="008F6422" w:rsidP="008F6422">
      <w:pPr>
        <w:pStyle w:val="Corpodetexto2"/>
        <w:tabs>
          <w:tab w:val="left" w:pos="284"/>
        </w:tabs>
        <w:ind w:firstLine="567"/>
        <w:jc w:val="center"/>
        <w:rPr>
          <w:rFonts w:ascii="Times New Roman" w:hAnsi="Times New Roman" w:cs="Times New Roman"/>
          <w:b/>
          <w:bCs/>
          <w:color w:val="0000FF"/>
          <w:sz w:val="24"/>
          <w:szCs w:val="24"/>
        </w:rPr>
      </w:pPr>
      <w:r w:rsidRPr="008F6422">
        <w:rPr>
          <w:rFonts w:ascii="Times New Roman" w:hAnsi="Times New Roman" w:cs="Times New Roman"/>
          <w:b/>
          <w:bCs/>
          <w:color w:val="0000FF"/>
          <w:sz w:val="24"/>
          <w:szCs w:val="24"/>
        </w:rPr>
        <w:t xml:space="preserve">(Publicada em DOU nº </w:t>
      </w:r>
      <w:r>
        <w:rPr>
          <w:rFonts w:ascii="Times New Roman" w:hAnsi="Times New Roman" w:cs="Times New Roman"/>
          <w:b/>
          <w:bCs/>
          <w:color w:val="0000FF"/>
          <w:sz w:val="24"/>
          <w:szCs w:val="24"/>
        </w:rPr>
        <w:t>247, de</w:t>
      </w:r>
      <w:r w:rsidR="006625E5">
        <w:rPr>
          <w:rFonts w:ascii="Times New Roman" w:hAnsi="Times New Roman" w:cs="Times New Roman"/>
          <w:b/>
          <w:bCs/>
          <w:color w:val="0000FF"/>
          <w:sz w:val="24"/>
          <w:szCs w:val="24"/>
        </w:rPr>
        <w:t xml:space="preserve"> </w:t>
      </w:r>
      <w:r>
        <w:rPr>
          <w:rFonts w:ascii="Times New Roman" w:hAnsi="Times New Roman" w:cs="Times New Roman"/>
          <w:b/>
          <w:bCs/>
          <w:color w:val="0000FF"/>
          <w:sz w:val="24"/>
          <w:szCs w:val="24"/>
        </w:rPr>
        <w:t>23 de dezembro de 2002)</w:t>
      </w:r>
    </w:p>
    <w:p w:rsidR="000E01EB" w:rsidRDefault="000E01EB" w:rsidP="008F6422">
      <w:pPr>
        <w:pStyle w:val="Corpodetexto2"/>
        <w:tabs>
          <w:tab w:val="left" w:pos="284"/>
        </w:tabs>
        <w:ind w:firstLine="567"/>
        <w:jc w:val="center"/>
        <w:rPr>
          <w:rFonts w:ascii="Times New Roman" w:hAnsi="Times New Roman" w:cs="Times New Roman"/>
          <w:b/>
          <w:bCs/>
          <w:color w:val="0000FF"/>
          <w:sz w:val="24"/>
          <w:szCs w:val="24"/>
        </w:rPr>
      </w:pPr>
    </w:p>
    <w:p w:rsidR="001F73F6" w:rsidRPr="008F6422" w:rsidRDefault="001F73F6">
      <w:pPr>
        <w:pStyle w:val="Recuodecorpodetexto2"/>
        <w:ind w:firstLine="567"/>
        <w:rPr>
          <w:sz w:val="24"/>
          <w:szCs w:val="24"/>
        </w:rPr>
      </w:pPr>
      <w:r w:rsidRPr="008F6422">
        <w:rPr>
          <w:b/>
          <w:bCs/>
          <w:sz w:val="24"/>
          <w:szCs w:val="24"/>
        </w:rPr>
        <w:t>A Diretoria Colegiada da Agência Nacional de Vigilância Sanitária</w:t>
      </w:r>
      <w:r w:rsidRPr="008F6422">
        <w:rPr>
          <w:sz w:val="24"/>
          <w:szCs w:val="24"/>
        </w:rPr>
        <w:t xml:space="preserve">, no uso da atribuição que lhe confere o art. 11, inciso IV, do Regulamento da ANVISA, aprovado pelo Decreto 3.029, de 16 de abril de 1999 e o art. 111, inciso I, alínea “b”, da Portaria n.º 593, de 25 de agosto de 2000, republicada no DOU de 22 de dezembro de 2000, em reunião realizada em 18 de dezembro de 2002, e, </w:t>
      </w:r>
    </w:p>
    <w:p w:rsidR="001F73F6" w:rsidRPr="008F6422" w:rsidRDefault="001F73F6">
      <w:pPr>
        <w:pStyle w:val="Corpodetexto"/>
        <w:ind w:firstLine="567"/>
        <w:rPr>
          <w:rFonts w:ascii="Times New Roman" w:hAnsi="Times New Roman" w:cs="Times New Roman"/>
          <w:sz w:val="24"/>
          <w:szCs w:val="24"/>
        </w:rPr>
      </w:pPr>
    </w:p>
    <w:p w:rsidR="001F73F6" w:rsidRPr="008F6422" w:rsidRDefault="001F73F6">
      <w:pPr>
        <w:pStyle w:val="Corpodetexto"/>
        <w:ind w:firstLine="567"/>
        <w:rPr>
          <w:rFonts w:ascii="Times New Roman" w:hAnsi="Times New Roman" w:cs="Times New Roman"/>
          <w:sz w:val="24"/>
          <w:szCs w:val="24"/>
        </w:rPr>
      </w:pPr>
      <w:r w:rsidRPr="008F6422">
        <w:rPr>
          <w:rFonts w:ascii="Times New Roman" w:hAnsi="Times New Roman" w:cs="Times New Roman"/>
          <w:sz w:val="24"/>
          <w:szCs w:val="24"/>
        </w:rPr>
        <w:t>considerando a Portaria nº 31 /SNVS, de 27 de abril de 1993,</w:t>
      </w:r>
    </w:p>
    <w:p w:rsidR="001F73F6" w:rsidRPr="008F6422" w:rsidRDefault="001F73F6">
      <w:pPr>
        <w:pStyle w:val="Corpodetexto"/>
        <w:ind w:firstLine="567"/>
        <w:rPr>
          <w:rFonts w:ascii="Times New Roman" w:hAnsi="Times New Roman" w:cs="Times New Roman"/>
          <w:sz w:val="24"/>
          <w:szCs w:val="24"/>
        </w:rPr>
      </w:pPr>
    </w:p>
    <w:p w:rsidR="001F73F6" w:rsidRPr="008F6422" w:rsidRDefault="001F73F6">
      <w:pPr>
        <w:ind w:firstLine="567"/>
        <w:jc w:val="both"/>
        <w:rPr>
          <w:sz w:val="24"/>
          <w:szCs w:val="24"/>
        </w:rPr>
      </w:pPr>
      <w:r w:rsidRPr="008F6422">
        <w:rPr>
          <w:sz w:val="24"/>
          <w:szCs w:val="24"/>
        </w:rPr>
        <w:t>considerando a Resolução CONAMA nº 5, de 5 de agosto de 1993;</w:t>
      </w:r>
    </w:p>
    <w:p w:rsidR="001F73F6" w:rsidRPr="008F6422" w:rsidRDefault="001F73F6">
      <w:pPr>
        <w:ind w:firstLine="567"/>
        <w:jc w:val="both"/>
        <w:rPr>
          <w:sz w:val="24"/>
          <w:szCs w:val="24"/>
        </w:rPr>
      </w:pPr>
    </w:p>
    <w:p w:rsidR="001F73F6" w:rsidRPr="008F6422" w:rsidRDefault="001F73F6">
      <w:pPr>
        <w:ind w:firstLine="567"/>
        <w:jc w:val="both"/>
        <w:rPr>
          <w:sz w:val="24"/>
          <w:szCs w:val="24"/>
        </w:rPr>
      </w:pPr>
      <w:r w:rsidRPr="008F6422">
        <w:rPr>
          <w:sz w:val="24"/>
          <w:szCs w:val="24"/>
        </w:rPr>
        <w:t>considerando a RDC nº 217, de 21 de novembro de 2001;</w:t>
      </w:r>
    </w:p>
    <w:p w:rsidR="001F73F6" w:rsidRPr="008F6422" w:rsidRDefault="001F73F6">
      <w:pPr>
        <w:ind w:firstLine="567"/>
        <w:jc w:val="both"/>
        <w:rPr>
          <w:sz w:val="24"/>
          <w:szCs w:val="24"/>
        </w:rPr>
      </w:pPr>
    </w:p>
    <w:p w:rsidR="001F73F6" w:rsidRPr="008F6422" w:rsidRDefault="001F73F6">
      <w:pPr>
        <w:ind w:firstLine="567"/>
        <w:jc w:val="both"/>
        <w:rPr>
          <w:sz w:val="24"/>
          <w:szCs w:val="24"/>
        </w:rPr>
      </w:pPr>
      <w:r w:rsidRPr="008F6422">
        <w:rPr>
          <w:sz w:val="24"/>
          <w:szCs w:val="24"/>
        </w:rPr>
        <w:t>considerando a Resolução CONAMA nº 283, de 12 de julho de 2001;</w:t>
      </w:r>
    </w:p>
    <w:p w:rsidR="001F73F6" w:rsidRPr="008F6422" w:rsidRDefault="001F73F6">
      <w:pPr>
        <w:ind w:firstLine="567"/>
        <w:jc w:val="both"/>
        <w:rPr>
          <w:sz w:val="24"/>
          <w:szCs w:val="24"/>
        </w:rPr>
      </w:pPr>
    </w:p>
    <w:p w:rsidR="001F73F6" w:rsidRPr="008F6422" w:rsidRDefault="001F73F6">
      <w:pPr>
        <w:ind w:firstLine="567"/>
        <w:jc w:val="both"/>
        <w:rPr>
          <w:sz w:val="24"/>
          <w:szCs w:val="24"/>
        </w:rPr>
      </w:pPr>
      <w:r w:rsidRPr="008F6422">
        <w:rPr>
          <w:sz w:val="24"/>
          <w:szCs w:val="24"/>
        </w:rPr>
        <w:t>considerando a orientação técnica emanada do CENEPI/FUNASA-MS conforme o previsto no § 3º do art. 7º da Lei nº 9.782, de 26 de janeiro de 1999;</w:t>
      </w:r>
    </w:p>
    <w:p w:rsidR="001F73F6" w:rsidRPr="008F6422" w:rsidRDefault="001F73F6">
      <w:pPr>
        <w:ind w:firstLine="567"/>
        <w:jc w:val="both"/>
        <w:rPr>
          <w:sz w:val="24"/>
          <w:szCs w:val="24"/>
        </w:rPr>
      </w:pPr>
    </w:p>
    <w:p w:rsidR="001F73F6" w:rsidRPr="008F6422" w:rsidRDefault="001F73F6">
      <w:pPr>
        <w:pStyle w:val="Corpodetexto"/>
        <w:ind w:firstLine="567"/>
        <w:rPr>
          <w:rFonts w:ascii="Times New Roman" w:hAnsi="Times New Roman" w:cs="Times New Roman"/>
          <w:sz w:val="24"/>
          <w:szCs w:val="24"/>
        </w:rPr>
      </w:pPr>
      <w:r w:rsidRPr="008F6422">
        <w:rPr>
          <w:rFonts w:ascii="Times New Roman" w:hAnsi="Times New Roman" w:cs="Times New Roman"/>
          <w:sz w:val="24"/>
          <w:szCs w:val="24"/>
        </w:rPr>
        <w:t>considerando a Lei nº 6.437 de 20 de agosto de 1977 e demais disposições aplicáveis,</w:t>
      </w:r>
    </w:p>
    <w:p w:rsidR="001F73F6" w:rsidRPr="008F6422" w:rsidRDefault="001F73F6">
      <w:pPr>
        <w:ind w:firstLine="567"/>
        <w:jc w:val="both"/>
        <w:rPr>
          <w:sz w:val="24"/>
          <w:szCs w:val="24"/>
        </w:rPr>
      </w:pPr>
    </w:p>
    <w:p w:rsidR="001F73F6" w:rsidRPr="008F6422" w:rsidRDefault="001F73F6">
      <w:pPr>
        <w:pStyle w:val="Recuodecorpodetexto2"/>
        <w:ind w:firstLine="567"/>
        <w:rPr>
          <w:sz w:val="24"/>
          <w:szCs w:val="24"/>
        </w:rPr>
      </w:pPr>
      <w:r w:rsidRPr="008F6422">
        <w:rPr>
          <w:sz w:val="24"/>
          <w:szCs w:val="24"/>
        </w:rPr>
        <w:t>Adotou a seguinte Resolução de Diretoria Colegiada e eu, Diretor Presidente, determino a sua publicação.</w:t>
      </w:r>
    </w:p>
    <w:p w:rsidR="001F73F6" w:rsidRPr="008F6422" w:rsidRDefault="001F73F6">
      <w:pPr>
        <w:ind w:firstLine="567"/>
        <w:jc w:val="both"/>
        <w:rPr>
          <w:sz w:val="24"/>
          <w:szCs w:val="24"/>
        </w:rPr>
      </w:pPr>
    </w:p>
    <w:p w:rsidR="001F73F6" w:rsidRPr="00AD0428" w:rsidRDefault="001F73F6">
      <w:pPr>
        <w:ind w:firstLine="567"/>
        <w:jc w:val="both"/>
        <w:rPr>
          <w:bCs/>
          <w:color w:val="000000"/>
          <w:sz w:val="24"/>
          <w:szCs w:val="24"/>
        </w:rPr>
      </w:pPr>
      <w:r w:rsidRPr="00AD0428">
        <w:rPr>
          <w:sz w:val="24"/>
          <w:szCs w:val="24"/>
        </w:rPr>
        <w:t xml:space="preserve">Art. 1º Para fins da Gestão de Resíduos Sólidos em Portos, Aeroportos e Fronteiras </w:t>
      </w:r>
      <w:r w:rsidRPr="00AD0428">
        <w:rPr>
          <w:bCs/>
          <w:color w:val="000000"/>
          <w:sz w:val="24"/>
          <w:szCs w:val="24"/>
        </w:rPr>
        <w:t xml:space="preserve">define-se como de risco sanitário </w:t>
      </w:r>
      <w:r w:rsidRPr="00AD0428">
        <w:rPr>
          <w:bCs/>
          <w:sz w:val="24"/>
          <w:szCs w:val="24"/>
        </w:rPr>
        <w:t>as áreas endêmicas e epidêmicas</w:t>
      </w:r>
      <w:r w:rsidRPr="00AD0428">
        <w:rPr>
          <w:bCs/>
          <w:color w:val="000000"/>
          <w:sz w:val="24"/>
          <w:szCs w:val="24"/>
        </w:rPr>
        <w:t xml:space="preserve"> de Cólera e as com evidência de circulação do </w:t>
      </w:r>
      <w:r w:rsidRPr="00AD0428">
        <w:rPr>
          <w:bCs/>
          <w:i/>
          <w:iCs/>
          <w:color w:val="000000"/>
          <w:sz w:val="24"/>
          <w:szCs w:val="24"/>
        </w:rPr>
        <w:t>Vibrio cholerae</w:t>
      </w:r>
      <w:r w:rsidRPr="00AD0428">
        <w:rPr>
          <w:bCs/>
          <w:color w:val="000000"/>
          <w:sz w:val="24"/>
          <w:szCs w:val="24"/>
        </w:rPr>
        <w:t xml:space="preserve"> patogênico.</w:t>
      </w:r>
    </w:p>
    <w:p w:rsidR="001F73F6" w:rsidRPr="008F6422" w:rsidRDefault="001F73F6">
      <w:pPr>
        <w:ind w:firstLine="567"/>
        <w:jc w:val="both"/>
        <w:rPr>
          <w:color w:val="000000"/>
          <w:sz w:val="24"/>
          <w:szCs w:val="24"/>
        </w:rPr>
      </w:pPr>
    </w:p>
    <w:p w:rsidR="001F73F6" w:rsidRPr="003253C4" w:rsidRDefault="001F73F6">
      <w:pPr>
        <w:pStyle w:val="Recuodecorpodetexto2"/>
        <w:ind w:firstLine="567"/>
        <w:rPr>
          <w:strike/>
          <w:sz w:val="24"/>
          <w:szCs w:val="24"/>
        </w:rPr>
      </w:pPr>
      <w:r w:rsidRPr="003253C4">
        <w:rPr>
          <w:strike/>
          <w:sz w:val="24"/>
          <w:szCs w:val="24"/>
        </w:rPr>
        <w:t>Art. 2º Para fins de efeito de vigilância e monitoramento sanitário nacional e internacional são classificados para efeito de manejo, tratamento e disposição final, como resíduos sólidos que apresentam risco potencial à saúde pública e ao meio ambiente devido a presença de agentes biológicos – Grupo A, aqueles provenientes de meios de transporte - marítimos, terrestres e aéreos - oriundos dos Estados Brasileiros e Países que possuam casos de cólera, com anormalidades clínicas, óbitos a bordo e dos serviços de saúde de bordo.</w:t>
      </w:r>
    </w:p>
    <w:p w:rsidR="001F73F6" w:rsidRPr="008F6422" w:rsidRDefault="001F73F6">
      <w:pPr>
        <w:ind w:firstLine="567"/>
        <w:jc w:val="both"/>
        <w:rPr>
          <w:sz w:val="24"/>
          <w:szCs w:val="24"/>
        </w:rPr>
      </w:pPr>
    </w:p>
    <w:p w:rsidR="003253C4" w:rsidRPr="003253C4" w:rsidRDefault="003253C4" w:rsidP="00016F77">
      <w:pPr>
        <w:autoSpaceDE w:val="0"/>
        <w:autoSpaceDN w:val="0"/>
        <w:adjustRightInd w:val="0"/>
        <w:ind w:firstLine="567"/>
        <w:jc w:val="both"/>
        <w:rPr>
          <w:b/>
          <w:color w:val="0000FF"/>
          <w:sz w:val="24"/>
          <w:szCs w:val="24"/>
        </w:rPr>
      </w:pPr>
      <w:r>
        <w:rPr>
          <w:sz w:val="24"/>
          <w:szCs w:val="24"/>
        </w:rPr>
        <w:t xml:space="preserve">Art. 2º </w:t>
      </w:r>
      <w:r w:rsidRPr="003253C4">
        <w:rPr>
          <w:sz w:val="24"/>
          <w:szCs w:val="24"/>
        </w:rPr>
        <w:t>Para fins de efeit</w:t>
      </w:r>
      <w:r>
        <w:rPr>
          <w:sz w:val="24"/>
          <w:szCs w:val="24"/>
        </w:rPr>
        <w:t xml:space="preserve">o de vigilância e monitoramento </w:t>
      </w:r>
      <w:r w:rsidRPr="003253C4">
        <w:rPr>
          <w:sz w:val="24"/>
          <w:szCs w:val="24"/>
        </w:rPr>
        <w:t>sanitário nacional e internacional s</w:t>
      </w:r>
      <w:r>
        <w:rPr>
          <w:sz w:val="24"/>
          <w:szCs w:val="24"/>
        </w:rPr>
        <w:t xml:space="preserve">ão classificados para efeito de </w:t>
      </w:r>
      <w:r w:rsidRPr="003253C4">
        <w:rPr>
          <w:sz w:val="24"/>
          <w:szCs w:val="24"/>
        </w:rPr>
        <w:t>manejo, tratamento e disposição f</w:t>
      </w:r>
      <w:r>
        <w:rPr>
          <w:sz w:val="24"/>
          <w:szCs w:val="24"/>
        </w:rPr>
        <w:t xml:space="preserve">inal, como resíduos sólidos que </w:t>
      </w:r>
      <w:r w:rsidRPr="003253C4">
        <w:rPr>
          <w:sz w:val="24"/>
          <w:szCs w:val="24"/>
        </w:rPr>
        <w:t>apresentam risco potencial à saúde pú</w:t>
      </w:r>
      <w:r>
        <w:rPr>
          <w:sz w:val="24"/>
          <w:szCs w:val="24"/>
        </w:rPr>
        <w:t xml:space="preserve">blica e ao meio ambiente devido </w:t>
      </w:r>
      <w:r w:rsidRPr="003253C4">
        <w:rPr>
          <w:sz w:val="24"/>
          <w:szCs w:val="24"/>
        </w:rPr>
        <w:t>a presença de agentes biológicos - Grupo A, aqueles provenientes</w:t>
      </w:r>
      <w:r w:rsidR="00016F77">
        <w:rPr>
          <w:sz w:val="24"/>
          <w:szCs w:val="24"/>
        </w:rPr>
        <w:t xml:space="preserve"> </w:t>
      </w:r>
      <w:r w:rsidRPr="003253C4">
        <w:rPr>
          <w:sz w:val="24"/>
          <w:szCs w:val="24"/>
        </w:rPr>
        <w:t>de meios de transporte - aqu</w:t>
      </w:r>
      <w:r>
        <w:rPr>
          <w:sz w:val="24"/>
          <w:szCs w:val="24"/>
        </w:rPr>
        <w:t xml:space="preserve">aviários, terrestres e aéreos - </w:t>
      </w:r>
      <w:r w:rsidRPr="003253C4">
        <w:rPr>
          <w:sz w:val="24"/>
          <w:szCs w:val="24"/>
        </w:rPr>
        <w:t>oriundos dos Estados Brasileiro</w:t>
      </w:r>
      <w:r>
        <w:rPr>
          <w:sz w:val="24"/>
          <w:szCs w:val="24"/>
        </w:rPr>
        <w:t xml:space="preserve">s e Países que possuam casos de </w:t>
      </w:r>
      <w:r w:rsidRPr="003253C4">
        <w:rPr>
          <w:sz w:val="24"/>
          <w:szCs w:val="24"/>
        </w:rPr>
        <w:t>cólera, com anormalidades clínicas, óbitos a bordo e dos serviços de</w:t>
      </w:r>
      <w:r>
        <w:rPr>
          <w:sz w:val="24"/>
          <w:szCs w:val="24"/>
        </w:rPr>
        <w:t xml:space="preserve"> </w:t>
      </w:r>
      <w:r w:rsidRPr="003253C4">
        <w:rPr>
          <w:sz w:val="24"/>
          <w:szCs w:val="24"/>
        </w:rPr>
        <w:t>saúde de bordo.</w:t>
      </w:r>
      <w:r>
        <w:rPr>
          <w:sz w:val="24"/>
          <w:szCs w:val="24"/>
        </w:rPr>
        <w:t xml:space="preserve"> </w:t>
      </w:r>
      <w:r w:rsidRPr="003253C4">
        <w:rPr>
          <w:b/>
          <w:color w:val="0000FF"/>
          <w:sz w:val="24"/>
          <w:szCs w:val="24"/>
        </w:rPr>
        <w:t>(</w:t>
      </w:r>
      <w:r>
        <w:rPr>
          <w:b/>
          <w:bCs/>
          <w:color w:val="0000FF"/>
          <w:sz w:val="24"/>
          <w:szCs w:val="24"/>
        </w:rPr>
        <w:t>Retificad</w:t>
      </w:r>
      <w:r w:rsidR="005C3122">
        <w:rPr>
          <w:b/>
          <w:bCs/>
          <w:color w:val="0000FF"/>
          <w:sz w:val="24"/>
          <w:szCs w:val="24"/>
        </w:rPr>
        <w:t>o</w:t>
      </w:r>
      <w:r>
        <w:rPr>
          <w:b/>
          <w:bCs/>
          <w:color w:val="0000FF"/>
          <w:sz w:val="24"/>
          <w:szCs w:val="24"/>
        </w:rPr>
        <w:t xml:space="preserve"> em DOU nº 137, de 18 de julho de 2003)</w:t>
      </w:r>
      <w:r>
        <w:rPr>
          <w:b/>
          <w:color w:val="0000FF"/>
          <w:sz w:val="24"/>
          <w:szCs w:val="24"/>
        </w:rPr>
        <w:t xml:space="preserve"> </w:t>
      </w:r>
    </w:p>
    <w:p w:rsidR="003253C4" w:rsidRDefault="003253C4">
      <w:pPr>
        <w:ind w:firstLine="567"/>
        <w:jc w:val="both"/>
        <w:rPr>
          <w:sz w:val="24"/>
          <w:szCs w:val="24"/>
        </w:rPr>
      </w:pPr>
    </w:p>
    <w:p w:rsidR="00ED1B53" w:rsidRPr="003253C4" w:rsidRDefault="001F73F6" w:rsidP="00016F77">
      <w:pPr>
        <w:autoSpaceDE w:val="0"/>
        <w:autoSpaceDN w:val="0"/>
        <w:adjustRightInd w:val="0"/>
        <w:ind w:firstLine="567"/>
        <w:jc w:val="both"/>
        <w:rPr>
          <w:b/>
          <w:color w:val="0000FF"/>
          <w:sz w:val="24"/>
          <w:szCs w:val="24"/>
        </w:rPr>
      </w:pPr>
      <w:r w:rsidRPr="00ED1B53">
        <w:rPr>
          <w:strike/>
          <w:sz w:val="24"/>
          <w:szCs w:val="24"/>
        </w:rPr>
        <w:lastRenderedPageBreak/>
        <w:t>Art. 3º Atualizar os países reconhecidos internacionalmente como áreas de risco para cólera, segundo avaliação  epidemiológica periódica, anexo I .</w:t>
      </w:r>
      <w:r w:rsidR="00ED1B53" w:rsidRPr="00ED1B53">
        <w:rPr>
          <w:b/>
          <w:color w:val="0000FF"/>
          <w:sz w:val="24"/>
          <w:szCs w:val="24"/>
        </w:rPr>
        <w:t xml:space="preserve"> </w:t>
      </w:r>
      <w:r w:rsidR="00ED1B53" w:rsidRPr="003253C4">
        <w:rPr>
          <w:b/>
          <w:color w:val="0000FF"/>
          <w:sz w:val="24"/>
          <w:szCs w:val="24"/>
        </w:rPr>
        <w:t>(</w:t>
      </w:r>
      <w:r w:rsidR="00ED1B53">
        <w:rPr>
          <w:b/>
          <w:bCs/>
          <w:color w:val="0000FF"/>
          <w:sz w:val="24"/>
          <w:szCs w:val="24"/>
        </w:rPr>
        <w:t>Revogad</w:t>
      </w:r>
      <w:r w:rsidR="005C3122">
        <w:rPr>
          <w:b/>
          <w:bCs/>
          <w:color w:val="0000FF"/>
          <w:sz w:val="24"/>
          <w:szCs w:val="24"/>
        </w:rPr>
        <w:t>o</w:t>
      </w:r>
      <w:r w:rsidR="00ED1B53">
        <w:rPr>
          <w:b/>
          <w:bCs/>
          <w:color w:val="0000FF"/>
          <w:sz w:val="24"/>
          <w:szCs w:val="24"/>
        </w:rPr>
        <w:t xml:space="preserve"> pela Resolução – RDC nº 202, de 05 de julho de 2005)</w:t>
      </w:r>
      <w:r w:rsidR="00ED1B53">
        <w:rPr>
          <w:b/>
          <w:color w:val="0000FF"/>
          <w:sz w:val="24"/>
          <w:szCs w:val="24"/>
        </w:rPr>
        <w:t xml:space="preserve"> </w:t>
      </w:r>
    </w:p>
    <w:p w:rsidR="001F73F6" w:rsidRPr="00ED1B53" w:rsidRDefault="001F73F6">
      <w:pPr>
        <w:ind w:firstLine="567"/>
        <w:jc w:val="both"/>
        <w:rPr>
          <w:strike/>
          <w:sz w:val="24"/>
          <w:szCs w:val="24"/>
        </w:rPr>
      </w:pPr>
    </w:p>
    <w:p w:rsidR="001F73F6" w:rsidRPr="00ED1B53" w:rsidRDefault="001F73F6">
      <w:pPr>
        <w:ind w:firstLine="567"/>
        <w:jc w:val="both"/>
        <w:rPr>
          <w:strike/>
          <w:sz w:val="24"/>
          <w:szCs w:val="24"/>
        </w:rPr>
      </w:pPr>
      <w:r w:rsidRPr="00ED1B53">
        <w:rPr>
          <w:strike/>
          <w:sz w:val="24"/>
          <w:szCs w:val="24"/>
        </w:rPr>
        <w:t>Art. 4º Atualizar a relação de estados e municípios brasileiros reconhecidos pelo órgão competente</w:t>
      </w:r>
      <w:r w:rsidRPr="00ED1B53">
        <w:rPr>
          <w:strike/>
          <w:color w:val="FF0000"/>
          <w:sz w:val="24"/>
          <w:szCs w:val="24"/>
        </w:rPr>
        <w:t xml:space="preserve"> </w:t>
      </w:r>
      <w:r w:rsidRPr="00ED1B53">
        <w:rPr>
          <w:strike/>
          <w:sz w:val="24"/>
          <w:szCs w:val="24"/>
        </w:rPr>
        <w:t>do Ministério da Saúde, como áreas de risco para cólera, anexo II.</w:t>
      </w:r>
      <w:r w:rsidR="00971EAA">
        <w:rPr>
          <w:strike/>
          <w:sz w:val="24"/>
          <w:szCs w:val="24"/>
        </w:rPr>
        <w:t xml:space="preserve"> </w:t>
      </w:r>
      <w:r w:rsidR="00971EAA" w:rsidRPr="003253C4">
        <w:rPr>
          <w:b/>
          <w:color w:val="0000FF"/>
          <w:sz w:val="24"/>
          <w:szCs w:val="24"/>
        </w:rPr>
        <w:t>(</w:t>
      </w:r>
      <w:r w:rsidR="00971EAA">
        <w:rPr>
          <w:b/>
          <w:bCs/>
          <w:color w:val="0000FF"/>
          <w:sz w:val="24"/>
          <w:szCs w:val="24"/>
        </w:rPr>
        <w:t>Revogad</w:t>
      </w:r>
      <w:r w:rsidR="005C3122">
        <w:rPr>
          <w:b/>
          <w:bCs/>
          <w:color w:val="0000FF"/>
          <w:sz w:val="24"/>
          <w:szCs w:val="24"/>
        </w:rPr>
        <w:t>o</w:t>
      </w:r>
      <w:r w:rsidR="00971EAA">
        <w:rPr>
          <w:b/>
          <w:bCs/>
          <w:color w:val="0000FF"/>
          <w:sz w:val="24"/>
          <w:szCs w:val="24"/>
        </w:rPr>
        <w:t xml:space="preserve"> pela Resolução – RDC nº 202, de 05 de julho de 2005)</w:t>
      </w:r>
    </w:p>
    <w:p w:rsidR="001F73F6" w:rsidRPr="008F6422" w:rsidRDefault="001F73F6">
      <w:pPr>
        <w:ind w:firstLine="567"/>
        <w:jc w:val="both"/>
        <w:rPr>
          <w:sz w:val="24"/>
          <w:szCs w:val="24"/>
        </w:rPr>
      </w:pPr>
    </w:p>
    <w:p w:rsidR="001F73F6" w:rsidRPr="008F6422" w:rsidRDefault="001F73F6">
      <w:pPr>
        <w:ind w:firstLine="567"/>
        <w:jc w:val="both"/>
        <w:rPr>
          <w:sz w:val="24"/>
          <w:szCs w:val="24"/>
        </w:rPr>
      </w:pPr>
      <w:r w:rsidRPr="008F6422">
        <w:rPr>
          <w:sz w:val="24"/>
          <w:szCs w:val="24"/>
        </w:rPr>
        <w:t>Art. 5º O descumprimento desta Resolução configura infração sani</w:t>
      </w:r>
      <w:r w:rsidR="004156AD">
        <w:rPr>
          <w:sz w:val="24"/>
          <w:szCs w:val="24"/>
        </w:rPr>
        <w:t xml:space="preserve">tária sujeitando os infratores </w:t>
      </w:r>
      <w:r w:rsidRPr="008F6422">
        <w:rPr>
          <w:sz w:val="24"/>
          <w:szCs w:val="24"/>
        </w:rPr>
        <w:t>às penalidades previstas na Lei nº 6.437, de 20 de agosto de 1977, e demais disposições aplicáveis.</w:t>
      </w:r>
    </w:p>
    <w:p w:rsidR="001F73F6" w:rsidRPr="008F6422" w:rsidRDefault="001F73F6">
      <w:pPr>
        <w:ind w:firstLine="567"/>
        <w:jc w:val="both"/>
        <w:rPr>
          <w:sz w:val="24"/>
          <w:szCs w:val="24"/>
        </w:rPr>
      </w:pPr>
    </w:p>
    <w:p w:rsidR="001F73F6" w:rsidRPr="008F6422" w:rsidRDefault="001F73F6">
      <w:pPr>
        <w:ind w:firstLine="567"/>
        <w:jc w:val="both"/>
        <w:rPr>
          <w:sz w:val="24"/>
          <w:szCs w:val="24"/>
        </w:rPr>
      </w:pPr>
      <w:r w:rsidRPr="008F6422">
        <w:rPr>
          <w:sz w:val="24"/>
          <w:szCs w:val="24"/>
        </w:rPr>
        <w:t xml:space="preserve">Art. 6º Esta Resolução entra em vigor na data de sua publicação. </w:t>
      </w:r>
    </w:p>
    <w:p w:rsidR="001F73F6" w:rsidRPr="008F6422" w:rsidRDefault="001F73F6">
      <w:pPr>
        <w:ind w:firstLine="567"/>
        <w:jc w:val="both"/>
        <w:rPr>
          <w:sz w:val="24"/>
          <w:szCs w:val="24"/>
        </w:rPr>
      </w:pPr>
    </w:p>
    <w:p w:rsidR="001F73F6" w:rsidRPr="008F6422" w:rsidRDefault="001F73F6">
      <w:pPr>
        <w:ind w:firstLine="567"/>
        <w:jc w:val="both"/>
        <w:rPr>
          <w:sz w:val="24"/>
          <w:szCs w:val="24"/>
        </w:rPr>
      </w:pPr>
    </w:p>
    <w:p w:rsidR="001F73F6" w:rsidRPr="008F6422" w:rsidRDefault="001F73F6">
      <w:pPr>
        <w:pStyle w:val="Ttulo1"/>
        <w:ind w:firstLine="0"/>
        <w:rPr>
          <w:sz w:val="24"/>
          <w:szCs w:val="24"/>
        </w:rPr>
      </w:pPr>
      <w:r w:rsidRPr="008F6422">
        <w:rPr>
          <w:sz w:val="24"/>
          <w:szCs w:val="24"/>
        </w:rPr>
        <w:t xml:space="preserve"> GONZALO VECINA NETO</w:t>
      </w:r>
    </w:p>
    <w:p w:rsidR="001F73F6" w:rsidRPr="008F6422" w:rsidRDefault="001F73F6">
      <w:pPr>
        <w:jc w:val="both"/>
        <w:rPr>
          <w:sz w:val="24"/>
          <w:szCs w:val="24"/>
          <w:lang w:val="es-ES_tradnl"/>
        </w:rPr>
      </w:pPr>
    </w:p>
    <w:p w:rsidR="001F73F6" w:rsidRPr="008F6422" w:rsidRDefault="001F73F6">
      <w:pPr>
        <w:jc w:val="both"/>
        <w:rPr>
          <w:sz w:val="24"/>
          <w:szCs w:val="24"/>
          <w:lang w:val="es-ES_tradnl"/>
        </w:rPr>
      </w:pPr>
    </w:p>
    <w:p w:rsidR="001F73F6" w:rsidRDefault="001F73F6" w:rsidP="005C3122">
      <w:pPr>
        <w:pStyle w:val="Ttulo2"/>
        <w:rPr>
          <w:b/>
          <w:strike/>
          <w:sz w:val="24"/>
          <w:szCs w:val="24"/>
        </w:rPr>
      </w:pPr>
      <w:r w:rsidRPr="005C3122">
        <w:rPr>
          <w:b/>
          <w:strike/>
          <w:sz w:val="24"/>
          <w:szCs w:val="24"/>
        </w:rPr>
        <w:t>ANEXO I –Países com áreas de risco de cólera</w:t>
      </w:r>
    </w:p>
    <w:p w:rsidR="005C3122" w:rsidRPr="005C3122" w:rsidRDefault="005C3122" w:rsidP="005C3122"/>
    <w:p w:rsidR="005C3122" w:rsidRPr="00ED1B53" w:rsidRDefault="005C3122" w:rsidP="005C3122">
      <w:pPr>
        <w:ind w:firstLine="567"/>
        <w:jc w:val="center"/>
        <w:rPr>
          <w:strike/>
          <w:sz w:val="24"/>
          <w:szCs w:val="24"/>
        </w:rPr>
      </w:pPr>
      <w:r w:rsidRPr="003253C4">
        <w:rPr>
          <w:b/>
          <w:color w:val="0000FF"/>
          <w:sz w:val="24"/>
          <w:szCs w:val="24"/>
        </w:rPr>
        <w:t>(</w:t>
      </w:r>
      <w:r>
        <w:rPr>
          <w:b/>
          <w:bCs/>
          <w:color w:val="0000FF"/>
          <w:sz w:val="24"/>
          <w:szCs w:val="24"/>
        </w:rPr>
        <w:t>Revogado pela Resolução – RDC nº 202, de 05 de julho de 2005)</w:t>
      </w:r>
    </w:p>
    <w:p w:rsidR="005C3122" w:rsidRPr="005C3122" w:rsidRDefault="005C3122" w:rsidP="005C3122"/>
    <w:p w:rsidR="001F73F6" w:rsidRPr="008F6422" w:rsidRDefault="001F73F6">
      <w:pPr>
        <w:jc w:val="both"/>
        <w:rPr>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89"/>
      </w:tblGrid>
      <w:tr w:rsidR="001F73F6" w:rsidRPr="005C3122" w:rsidTr="008916F0">
        <w:tblPrEx>
          <w:tblCellMar>
            <w:top w:w="0" w:type="dxa"/>
            <w:bottom w:w="0" w:type="dxa"/>
          </w:tblCellMar>
        </w:tblPrEx>
        <w:tc>
          <w:tcPr>
            <w:tcW w:w="8789" w:type="dxa"/>
          </w:tcPr>
          <w:p w:rsidR="001F73F6" w:rsidRPr="005C3122" w:rsidRDefault="001F73F6">
            <w:pPr>
              <w:pStyle w:val="Corpodetexto2"/>
              <w:rPr>
                <w:rFonts w:ascii="Times New Roman" w:hAnsi="Times New Roman" w:cs="Times New Roman"/>
                <w:strike/>
                <w:sz w:val="24"/>
                <w:szCs w:val="24"/>
              </w:rPr>
            </w:pPr>
            <w:r w:rsidRPr="005C3122">
              <w:rPr>
                <w:rFonts w:ascii="Times New Roman" w:hAnsi="Times New Roman" w:cs="Times New Roman"/>
                <w:strike/>
                <w:sz w:val="24"/>
                <w:szCs w:val="24"/>
              </w:rPr>
              <w:t>AFRICA: Angola, Benin, Burkina Faso, Burundi, Camarão, Cabo Verde, Republica Central Africana, Chade, Comores, Congo, Congo Republicana Democrática, Djibouti, Gana, Guinea, Guinea Bissau, Quênia, Libéria, Madasgascar, Malaui, Mali, Mauritânia, Moçambique, Niger, Nigéria, Ruanda, São Tomé e Príncipe, Senegal, Serra Leon, Somália, África do Sul, Suazilândia, Togo, Uganda, Republica Unida da Tanzânia, Zâmbia, Zimbábue.</w:t>
            </w:r>
          </w:p>
          <w:p w:rsidR="001F73F6" w:rsidRPr="005C3122" w:rsidRDefault="001F73F6">
            <w:pPr>
              <w:jc w:val="both"/>
              <w:rPr>
                <w:strike/>
                <w:sz w:val="24"/>
                <w:szCs w:val="24"/>
              </w:rPr>
            </w:pPr>
            <w:r w:rsidRPr="005C3122">
              <w:rPr>
                <w:strike/>
                <w:sz w:val="24"/>
                <w:szCs w:val="24"/>
              </w:rPr>
              <w:t>AMÉRICA: Brasil, Equador, El Salvador, Guatemala, Nicarágua, Peru, Venezuela.</w:t>
            </w:r>
          </w:p>
          <w:p w:rsidR="001F73F6" w:rsidRPr="005C3122" w:rsidRDefault="001F73F6">
            <w:pPr>
              <w:jc w:val="both"/>
              <w:rPr>
                <w:strike/>
                <w:sz w:val="24"/>
                <w:szCs w:val="24"/>
              </w:rPr>
            </w:pPr>
            <w:r w:rsidRPr="005C3122">
              <w:rPr>
                <w:strike/>
                <w:sz w:val="24"/>
                <w:szCs w:val="24"/>
              </w:rPr>
              <w:t>ÁSIA: Afeganistão, Butã, Camboja,China,Índia, Irã, Iraque, Lao, Republica Democrática Popular, Miamar, Nepal, Filipinas, Vietnam.</w:t>
            </w:r>
          </w:p>
        </w:tc>
      </w:tr>
    </w:tbl>
    <w:p w:rsidR="001F73F6" w:rsidRPr="008F6422" w:rsidRDefault="001F73F6">
      <w:pPr>
        <w:jc w:val="both"/>
        <w:rPr>
          <w:sz w:val="24"/>
          <w:szCs w:val="24"/>
        </w:rPr>
      </w:pPr>
    </w:p>
    <w:p w:rsidR="001F73F6" w:rsidRPr="005C3122" w:rsidRDefault="001F73F6">
      <w:pPr>
        <w:jc w:val="both"/>
        <w:rPr>
          <w:strike/>
          <w:sz w:val="24"/>
          <w:szCs w:val="24"/>
        </w:rPr>
      </w:pPr>
      <w:r w:rsidRPr="005C3122">
        <w:rPr>
          <w:strike/>
          <w:sz w:val="24"/>
          <w:szCs w:val="24"/>
        </w:rPr>
        <w:t>Fonte: WEEKLY EPIDEMIOLOGICAL RECORD, Nº 19, 10 MAI 2002</w:t>
      </w:r>
    </w:p>
    <w:p w:rsidR="001F73F6" w:rsidRPr="008F6422" w:rsidRDefault="001F73F6">
      <w:pPr>
        <w:jc w:val="both"/>
        <w:rPr>
          <w:sz w:val="24"/>
          <w:szCs w:val="24"/>
        </w:rPr>
      </w:pPr>
    </w:p>
    <w:p w:rsidR="001F73F6" w:rsidRPr="008F6422" w:rsidRDefault="001F73F6">
      <w:pPr>
        <w:jc w:val="both"/>
        <w:rPr>
          <w:sz w:val="24"/>
          <w:szCs w:val="24"/>
        </w:rPr>
      </w:pPr>
    </w:p>
    <w:p w:rsidR="001F73F6" w:rsidRDefault="001F73F6" w:rsidP="005C3122">
      <w:pPr>
        <w:pStyle w:val="Ttulo2"/>
        <w:rPr>
          <w:b/>
          <w:strike/>
          <w:sz w:val="24"/>
          <w:szCs w:val="24"/>
        </w:rPr>
      </w:pPr>
      <w:r w:rsidRPr="005C3122">
        <w:rPr>
          <w:b/>
          <w:strike/>
          <w:sz w:val="24"/>
          <w:szCs w:val="24"/>
        </w:rPr>
        <w:t>ANEXO II – Estados brasileiros com áreas de risco para cólera</w:t>
      </w:r>
    </w:p>
    <w:p w:rsidR="005C3122" w:rsidRPr="005C3122" w:rsidRDefault="005C3122" w:rsidP="005C3122"/>
    <w:p w:rsidR="005C3122" w:rsidRPr="00ED1B53" w:rsidRDefault="005C3122" w:rsidP="005C3122">
      <w:pPr>
        <w:ind w:firstLine="567"/>
        <w:jc w:val="center"/>
        <w:rPr>
          <w:strike/>
          <w:sz w:val="24"/>
          <w:szCs w:val="24"/>
        </w:rPr>
      </w:pPr>
      <w:r w:rsidRPr="003253C4">
        <w:rPr>
          <w:b/>
          <w:color w:val="0000FF"/>
          <w:sz w:val="24"/>
          <w:szCs w:val="24"/>
        </w:rPr>
        <w:t>(</w:t>
      </w:r>
      <w:r>
        <w:rPr>
          <w:b/>
          <w:bCs/>
          <w:color w:val="0000FF"/>
          <w:sz w:val="24"/>
          <w:szCs w:val="24"/>
        </w:rPr>
        <w:t>Revogado pela Resolução – RDC nº 202, de 05 de julho de 2005)</w:t>
      </w:r>
    </w:p>
    <w:p w:rsidR="005C3122" w:rsidRPr="005C3122" w:rsidRDefault="005C3122" w:rsidP="005C3122">
      <w:pPr>
        <w:jc w:val="center"/>
      </w:pPr>
    </w:p>
    <w:p w:rsidR="001F73F6" w:rsidRPr="008F6422" w:rsidRDefault="001F73F6">
      <w:pPr>
        <w:jc w:val="both"/>
        <w:rPr>
          <w:sz w:val="24"/>
          <w:szCs w:val="24"/>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789"/>
      </w:tblGrid>
      <w:tr w:rsidR="001F73F6" w:rsidRPr="005C3122" w:rsidTr="008916F0">
        <w:tblPrEx>
          <w:tblCellMar>
            <w:top w:w="0" w:type="dxa"/>
            <w:bottom w:w="0" w:type="dxa"/>
          </w:tblCellMar>
        </w:tblPrEx>
        <w:tc>
          <w:tcPr>
            <w:tcW w:w="8789" w:type="dxa"/>
          </w:tcPr>
          <w:p w:rsidR="001F73F6" w:rsidRPr="005C3122" w:rsidRDefault="001F73F6">
            <w:pPr>
              <w:jc w:val="both"/>
              <w:rPr>
                <w:strike/>
                <w:sz w:val="24"/>
                <w:szCs w:val="24"/>
              </w:rPr>
            </w:pPr>
          </w:p>
          <w:p w:rsidR="001F73F6" w:rsidRPr="005C3122" w:rsidRDefault="001F73F6">
            <w:pPr>
              <w:jc w:val="both"/>
              <w:rPr>
                <w:strike/>
                <w:sz w:val="24"/>
                <w:szCs w:val="24"/>
              </w:rPr>
            </w:pPr>
            <w:r w:rsidRPr="005C3122">
              <w:rPr>
                <w:strike/>
                <w:sz w:val="24"/>
                <w:szCs w:val="24"/>
              </w:rPr>
              <w:t>Estados brasileiros:</w:t>
            </w:r>
            <w:r w:rsidR="008916F0" w:rsidRPr="005C3122">
              <w:rPr>
                <w:strike/>
                <w:sz w:val="24"/>
                <w:szCs w:val="24"/>
              </w:rPr>
              <w:t xml:space="preserve"> </w:t>
            </w:r>
            <w:r w:rsidRPr="005C3122">
              <w:rPr>
                <w:strike/>
                <w:sz w:val="24"/>
                <w:szCs w:val="24"/>
              </w:rPr>
              <w:t>Alagoas, Bahia, Paraíba, Pernambuco, Sergipe</w:t>
            </w:r>
          </w:p>
          <w:p w:rsidR="001F73F6" w:rsidRPr="005C3122" w:rsidRDefault="001F73F6">
            <w:pPr>
              <w:jc w:val="both"/>
              <w:rPr>
                <w:strike/>
                <w:sz w:val="24"/>
                <w:szCs w:val="24"/>
              </w:rPr>
            </w:pPr>
          </w:p>
        </w:tc>
      </w:tr>
    </w:tbl>
    <w:p w:rsidR="001F73F6" w:rsidRPr="008F6422" w:rsidRDefault="001F73F6">
      <w:pPr>
        <w:jc w:val="both"/>
        <w:rPr>
          <w:sz w:val="24"/>
          <w:szCs w:val="24"/>
        </w:rPr>
      </w:pPr>
    </w:p>
    <w:p w:rsidR="001F73F6" w:rsidRPr="005C3122" w:rsidRDefault="001F73F6">
      <w:pPr>
        <w:jc w:val="both"/>
        <w:rPr>
          <w:strike/>
          <w:sz w:val="24"/>
          <w:szCs w:val="24"/>
          <w:lang w:val="en-US"/>
        </w:rPr>
      </w:pPr>
      <w:r w:rsidRPr="005C3122">
        <w:rPr>
          <w:strike/>
          <w:sz w:val="24"/>
          <w:szCs w:val="24"/>
          <w:lang w:val="en-US"/>
        </w:rPr>
        <w:t>Fonte: WEEKLY EPIDEMIOLOGICAL RECORD, Nº 19, 10 MAI 2002</w:t>
      </w:r>
    </w:p>
    <w:sectPr w:rsidR="001F73F6" w:rsidRPr="005C3122" w:rsidSect="00CC16E3">
      <w:headerReference w:type="default" r:id="rId6"/>
      <w:footerReference w:type="default" r:id="rId7"/>
      <w:pgSz w:w="11907" w:h="16840" w:code="9"/>
      <w:pgMar w:top="1417" w:right="1701" w:bottom="1417" w:left="1701" w:header="0" w:footer="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60B78" w:rsidRDefault="00260B78" w:rsidP="00CC16E3">
      <w:r>
        <w:separator/>
      </w:r>
    </w:p>
  </w:endnote>
  <w:endnote w:type="continuationSeparator" w:id="0">
    <w:p w:rsidR="00260B78" w:rsidRDefault="00260B78" w:rsidP="00CC16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2AFF" w:usb1="C000247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altName w:val=" 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6E3" w:rsidRPr="00CC16E3" w:rsidRDefault="00CC16E3" w:rsidP="00CC16E3">
    <w:pPr>
      <w:tabs>
        <w:tab w:val="center" w:pos="4252"/>
        <w:tab w:val="right" w:pos="8504"/>
      </w:tabs>
      <w:jc w:val="center"/>
      <w:rPr>
        <w:rFonts w:ascii="Calibri" w:eastAsia="Times New Roman" w:hAnsi="Calibri"/>
        <w:sz w:val="22"/>
        <w:szCs w:val="22"/>
        <w:lang w:eastAsia="en-US"/>
      </w:rPr>
    </w:pPr>
    <w:r w:rsidRPr="00CC16E3">
      <w:rPr>
        <w:rFonts w:ascii="Calibri" w:eastAsia="Times New Roman" w:hAnsi="Calibri"/>
        <w:color w:val="943634"/>
        <w:sz w:val="22"/>
        <w:szCs w:val="22"/>
        <w:lang w:eastAsia="en-US"/>
      </w:rPr>
      <w:t>Este texto não substitui o(s) publicado(s) em Diário Oficial da União.</w:t>
    </w:r>
  </w:p>
  <w:p w:rsidR="00CC16E3" w:rsidRDefault="00CC16E3">
    <w:pPr>
      <w:pStyle w:val="Rodap"/>
    </w:pPr>
  </w:p>
  <w:p w:rsidR="00CC16E3" w:rsidRDefault="00CC16E3">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60B78" w:rsidRDefault="00260B78" w:rsidP="00CC16E3">
      <w:r>
        <w:separator/>
      </w:r>
    </w:p>
  </w:footnote>
  <w:footnote w:type="continuationSeparator" w:id="0">
    <w:p w:rsidR="00260B78" w:rsidRDefault="00260B78" w:rsidP="00CC16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C16E3" w:rsidRDefault="00CC16E3">
    <w:pPr>
      <w:pStyle w:val="Cabealho"/>
    </w:pPr>
  </w:p>
  <w:p w:rsidR="00CC16E3" w:rsidRPr="00CC16E3" w:rsidRDefault="00CC16E3" w:rsidP="00CC16E3">
    <w:pPr>
      <w:tabs>
        <w:tab w:val="center" w:pos="4252"/>
        <w:tab w:val="right" w:pos="8504"/>
      </w:tabs>
      <w:jc w:val="center"/>
      <w:rPr>
        <w:rFonts w:ascii="Calibri" w:eastAsia="Times New Roman" w:hAnsi="Calibri"/>
        <w:sz w:val="22"/>
        <w:szCs w:val="22"/>
        <w:lang w:eastAsia="en-US"/>
      </w:rPr>
    </w:pPr>
    <w:r w:rsidRPr="00CC16E3">
      <w:rPr>
        <w:rFonts w:ascii="Calibri" w:eastAsia="Times New Roman" w:hAnsi="Calibri"/>
        <w:noProof/>
        <w:sz w:val="22"/>
        <w:szCs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m 1" o:spid="_x0000_i1026" type="#_x0000_t75" alt="Descrição: Brasão da República" style="width:51.75pt;height:51pt;visibility:visible">
          <v:imagedata r:id="rId1" o:title=""/>
        </v:shape>
      </w:pict>
    </w:r>
  </w:p>
  <w:p w:rsidR="00CC16E3" w:rsidRPr="00CC16E3" w:rsidRDefault="00CC16E3" w:rsidP="00CC16E3">
    <w:pPr>
      <w:tabs>
        <w:tab w:val="center" w:pos="4252"/>
        <w:tab w:val="right" w:pos="8504"/>
      </w:tabs>
      <w:jc w:val="center"/>
      <w:rPr>
        <w:rFonts w:ascii="Calibri" w:eastAsia="Times New Roman" w:hAnsi="Calibri"/>
        <w:b/>
        <w:sz w:val="24"/>
        <w:szCs w:val="22"/>
        <w:lang w:eastAsia="en-US"/>
      </w:rPr>
    </w:pPr>
    <w:r w:rsidRPr="00CC16E3">
      <w:rPr>
        <w:rFonts w:ascii="Calibri" w:eastAsia="Times New Roman" w:hAnsi="Calibri"/>
        <w:b/>
        <w:sz w:val="24"/>
        <w:szCs w:val="22"/>
        <w:lang w:eastAsia="en-US"/>
      </w:rPr>
      <w:t>Ministério da Saúde - MS</w:t>
    </w:r>
  </w:p>
  <w:p w:rsidR="00CC16E3" w:rsidRPr="00CC16E3" w:rsidRDefault="00CC16E3" w:rsidP="00CC16E3">
    <w:pPr>
      <w:tabs>
        <w:tab w:val="center" w:pos="4252"/>
        <w:tab w:val="right" w:pos="8504"/>
      </w:tabs>
      <w:jc w:val="center"/>
      <w:rPr>
        <w:rFonts w:ascii="Calibri" w:eastAsia="Times New Roman" w:hAnsi="Calibri"/>
        <w:b/>
        <w:sz w:val="24"/>
        <w:szCs w:val="22"/>
        <w:lang w:eastAsia="en-US"/>
      </w:rPr>
    </w:pPr>
    <w:r w:rsidRPr="00CC16E3">
      <w:rPr>
        <w:rFonts w:ascii="Calibri" w:eastAsia="Times New Roman" w:hAnsi="Calibri"/>
        <w:b/>
        <w:sz w:val="24"/>
        <w:szCs w:val="22"/>
        <w:lang w:eastAsia="en-US"/>
      </w:rPr>
      <w:t>Agência Nacional de Vigilância Sanitária - ANVISA</w:t>
    </w:r>
  </w:p>
  <w:p w:rsidR="00CC16E3" w:rsidRDefault="00CC16E3">
    <w:pPr>
      <w:pStyle w:val="Cabealh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doNotTrackMoves/>
  <w:defaultTabStop w:val="708"/>
  <w:hyphenationZone w:val="425"/>
  <w:doNotHyphenateCaps/>
  <w:displayHorizontalDrawingGridEvery w:val="0"/>
  <w:displayVerticalDrawingGridEvery w:val="0"/>
  <w:doNotUseMarginsForDrawingGridOrigin/>
  <w:characterSpacingControl w:val="doNotCompress"/>
  <w:doNotValidateAgainstSchema/>
  <w:doNotDemarcateInvalidXml/>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useWord2013TrackBottomHyphenation" w:uri="http://schemas.microsoft.com/office/word" w:val="0"/>
  </w:compat>
  <w:rsids>
    <w:rsidRoot w:val="001F73F6"/>
    <w:rsid w:val="00016F77"/>
    <w:rsid w:val="000E01EB"/>
    <w:rsid w:val="001F73F6"/>
    <w:rsid w:val="00260B78"/>
    <w:rsid w:val="003253C4"/>
    <w:rsid w:val="004156AD"/>
    <w:rsid w:val="00432114"/>
    <w:rsid w:val="00450631"/>
    <w:rsid w:val="00513E63"/>
    <w:rsid w:val="005149ED"/>
    <w:rsid w:val="005C3122"/>
    <w:rsid w:val="006625E5"/>
    <w:rsid w:val="008916F0"/>
    <w:rsid w:val="008F6422"/>
    <w:rsid w:val="009717E8"/>
    <w:rsid w:val="00971EAA"/>
    <w:rsid w:val="009C2D7B"/>
    <w:rsid w:val="00AD0428"/>
    <w:rsid w:val="00BC1E01"/>
    <w:rsid w:val="00CC0804"/>
    <w:rsid w:val="00CC16E3"/>
    <w:rsid w:val="00E23CC1"/>
    <w:rsid w:val="00ED1B5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E6CDE9A9-A909-4519-B1FF-5B652ECE3B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imes New Roman"/>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macro" w:semiHidden="1" w:unhideWhenUsed="1"/>
    <w:lsdException w:name="List Bullet" w:semiHidden="1" w:unhideWhenUsed="1"/>
    <w:lsdException w:name="List Number" w:semiHidden="1" w:unhideWhenUsed="1"/>
    <w:lsdException w:name="Title" w:uiPriority="10" w:qFormat="1"/>
    <w:lsdException w:name="Default Paragraph Font" w:semiHidden="1"/>
    <w:lsdException w:name="Body Text" w:semiHidden="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2" w:semiHidden="1"/>
    <w:lsdException w:name="Body Text Indent 2" w:semiHidden="1"/>
    <w:lsdException w:name="Body Text Indent 3" w:semiHidden="1"/>
    <w:lsdException w:name="Strong" w:uiPriority="22" w:qFormat="1"/>
    <w:lsdException w:name="Emphasis" w:uiPriority="20" w:qFormat="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0" w:line="240" w:lineRule="auto"/>
    </w:pPr>
    <w:rPr>
      <w:rFonts w:ascii="Times New Roman" w:hAnsi="Times New Roman"/>
      <w:sz w:val="20"/>
      <w:szCs w:val="20"/>
    </w:rPr>
  </w:style>
  <w:style w:type="paragraph" w:styleId="Ttulo1">
    <w:name w:val="heading 1"/>
    <w:basedOn w:val="Normal"/>
    <w:next w:val="Normal"/>
    <w:link w:val="Ttulo1Char"/>
    <w:uiPriority w:val="99"/>
    <w:qFormat/>
    <w:pPr>
      <w:keepNext/>
      <w:ind w:firstLine="1134"/>
      <w:jc w:val="center"/>
      <w:outlineLvl w:val="0"/>
    </w:pPr>
    <w:rPr>
      <w:sz w:val="28"/>
      <w:szCs w:val="28"/>
      <w:lang w:val="es-ES_tradnl"/>
    </w:rPr>
  </w:style>
  <w:style w:type="paragraph" w:styleId="Ttulo2">
    <w:name w:val="heading 2"/>
    <w:basedOn w:val="Normal"/>
    <w:next w:val="Normal"/>
    <w:link w:val="Ttulo2Char"/>
    <w:uiPriority w:val="99"/>
    <w:qFormat/>
    <w:pPr>
      <w:keepNext/>
      <w:jc w:val="center"/>
      <w:outlineLvl w:val="1"/>
    </w:pPr>
    <w:rPr>
      <w:sz w:val="26"/>
      <w:szCs w:val="26"/>
    </w:rPr>
  </w:style>
  <w:style w:type="character" w:default="1" w:styleId="Fontepargpadro">
    <w:name w:val="Default Paragraph Font"/>
    <w:uiPriority w:val="99"/>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locked/>
    <w:rPr>
      <w:rFonts w:asciiTheme="majorHAnsi" w:eastAsiaTheme="majorEastAsia" w:hAnsiTheme="majorHAnsi" w:cs="Times New Roman"/>
      <w:b/>
      <w:bCs/>
      <w:kern w:val="32"/>
      <w:sz w:val="32"/>
      <w:szCs w:val="32"/>
    </w:rPr>
  </w:style>
  <w:style w:type="character" w:customStyle="1" w:styleId="Ttulo2Char">
    <w:name w:val="Título 2 Char"/>
    <w:basedOn w:val="Fontepargpadro"/>
    <w:link w:val="Ttulo2"/>
    <w:uiPriority w:val="9"/>
    <w:semiHidden/>
    <w:locked/>
    <w:rPr>
      <w:rFonts w:asciiTheme="majorHAnsi" w:eastAsiaTheme="majorEastAsia" w:hAnsiTheme="majorHAnsi" w:cs="Times New Roman"/>
      <w:b/>
      <w:bCs/>
      <w:i/>
      <w:iCs/>
      <w:sz w:val="28"/>
      <w:szCs w:val="28"/>
    </w:rPr>
  </w:style>
  <w:style w:type="paragraph" w:styleId="Corpodetexto">
    <w:name w:val="Body Text"/>
    <w:basedOn w:val="Normal"/>
    <w:link w:val="CorpodetextoChar"/>
    <w:uiPriority w:val="99"/>
    <w:pPr>
      <w:jc w:val="both"/>
    </w:pPr>
    <w:rPr>
      <w:rFonts w:ascii="Arial" w:hAnsi="Arial" w:cs="Arial"/>
      <w:sz w:val="28"/>
      <w:szCs w:val="28"/>
    </w:rPr>
  </w:style>
  <w:style w:type="character" w:customStyle="1" w:styleId="CorpodetextoChar">
    <w:name w:val="Corpo de texto Char"/>
    <w:basedOn w:val="Fontepargpadro"/>
    <w:link w:val="Corpodetexto"/>
    <w:uiPriority w:val="99"/>
    <w:semiHidden/>
    <w:locked/>
    <w:rPr>
      <w:rFonts w:ascii="Times New Roman" w:hAnsi="Times New Roman" w:cs="Times New Roman"/>
      <w:sz w:val="20"/>
      <w:szCs w:val="20"/>
    </w:rPr>
  </w:style>
  <w:style w:type="paragraph" w:styleId="Corpodetexto2">
    <w:name w:val="Body Text 2"/>
    <w:basedOn w:val="Normal"/>
    <w:link w:val="Corpodetexto2Char"/>
    <w:uiPriority w:val="99"/>
    <w:pPr>
      <w:jc w:val="both"/>
    </w:pPr>
    <w:rPr>
      <w:rFonts w:ascii="Arial" w:hAnsi="Arial" w:cs="Arial"/>
    </w:rPr>
  </w:style>
  <w:style w:type="character" w:customStyle="1" w:styleId="Corpodetexto2Char">
    <w:name w:val="Corpo de texto 2 Char"/>
    <w:basedOn w:val="Fontepargpadro"/>
    <w:link w:val="Corpodetexto2"/>
    <w:uiPriority w:val="99"/>
    <w:semiHidden/>
    <w:locked/>
    <w:rPr>
      <w:rFonts w:ascii="Times New Roman" w:hAnsi="Times New Roman" w:cs="Times New Roman"/>
      <w:sz w:val="20"/>
      <w:szCs w:val="20"/>
    </w:rPr>
  </w:style>
  <w:style w:type="paragraph" w:styleId="Recuodecorpodetexto2">
    <w:name w:val="Body Text Indent 2"/>
    <w:basedOn w:val="Normal"/>
    <w:link w:val="Recuodecorpodetexto2Char"/>
    <w:uiPriority w:val="99"/>
    <w:pPr>
      <w:ind w:firstLine="1134"/>
      <w:jc w:val="both"/>
    </w:pPr>
    <w:rPr>
      <w:sz w:val="26"/>
      <w:szCs w:val="26"/>
    </w:rPr>
  </w:style>
  <w:style w:type="character" w:customStyle="1" w:styleId="Recuodecorpodetexto2Char">
    <w:name w:val="Recuo de corpo de texto 2 Char"/>
    <w:basedOn w:val="Fontepargpadro"/>
    <w:link w:val="Recuodecorpodetexto2"/>
    <w:uiPriority w:val="99"/>
    <w:semiHidden/>
    <w:locked/>
    <w:rPr>
      <w:rFonts w:ascii="Times New Roman" w:hAnsi="Times New Roman" w:cs="Times New Roman"/>
      <w:sz w:val="20"/>
      <w:szCs w:val="20"/>
    </w:rPr>
  </w:style>
  <w:style w:type="paragraph" w:styleId="Recuodecorpodetexto3">
    <w:name w:val="Body Text Indent 3"/>
    <w:basedOn w:val="Normal"/>
    <w:link w:val="Recuodecorpodetexto3Char"/>
    <w:uiPriority w:val="99"/>
    <w:pPr>
      <w:ind w:firstLine="1134"/>
    </w:pPr>
  </w:style>
  <w:style w:type="character" w:customStyle="1" w:styleId="Recuodecorpodetexto3Char">
    <w:name w:val="Recuo de corpo de texto 3 Char"/>
    <w:basedOn w:val="Fontepargpadro"/>
    <w:link w:val="Recuodecorpodetexto3"/>
    <w:uiPriority w:val="99"/>
    <w:semiHidden/>
    <w:locked/>
    <w:rPr>
      <w:rFonts w:ascii="Times New Roman" w:hAnsi="Times New Roman" w:cs="Times New Roman"/>
      <w:sz w:val="16"/>
      <w:szCs w:val="16"/>
    </w:rPr>
  </w:style>
  <w:style w:type="paragraph" w:styleId="Cabealho">
    <w:name w:val="header"/>
    <w:basedOn w:val="Normal"/>
    <w:link w:val="CabealhoChar"/>
    <w:uiPriority w:val="99"/>
    <w:unhideWhenUsed/>
    <w:rsid w:val="00CC16E3"/>
    <w:pPr>
      <w:tabs>
        <w:tab w:val="center" w:pos="4252"/>
        <w:tab w:val="right" w:pos="8504"/>
      </w:tabs>
    </w:pPr>
  </w:style>
  <w:style w:type="character" w:customStyle="1" w:styleId="CabealhoChar">
    <w:name w:val="Cabeçalho Char"/>
    <w:basedOn w:val="Fontepargpadro"/>
    <w:link w:val="Cabealho"/>
    <w:uiPriority w:val="99"/>
    <w:locked/>
    <w:rsid w:val="00CC16E3"/>
    <w:rPr>
      <w:rFonts w:ascii="Times New Roman" w:hAnsi="Times New Roman" w:cs="Times New Roman"/>
      <w:sz w:val="20"/>
      <w:szCs w:val="20"/>
    </w:rPr>
  </w:style>
  <w:style w:type="paragraph" w:styleId="Rodap">
    <w:name w:val="footer"/>
    <w:basedOn w:val="Normal"/>
    <w:link w:val="RodapChar"/>
    <w:uiPriority w:val="99"/>
    <w:unhideWhenUsed/>
    <w:rsid w:val="00CC16E3"/>
    <w:pPr>
      <w:tabs>
        <w:tab w:val="center" w:pos="4252"/>
        <w:tab w:val="right" w:pos="8504"/>
      </w:tabs>
    </w:pPr>
  </w:style>
  <w:style w:type="character" w:customStyle="1" w:styleId="RodapChar">
    <w:name w:val="Rodapé Char"/>
    <w:basedOn w:val="Fontepargpadro"/>
    <w:link w:val="Rodap"/>
    <w:uiPriority w:val="99"/>
    <w:locked/>
    <w:rsid w:val="00CC16E3"/>
    <w:rPr>
      <w:rFonts w:ascii="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659</Words>
  <Characters>3563</Characters>
  <Application>Microsoft Office Word</Application>
  <DocSecurity>0</DocSecurity>
  <Lines>29</Lines>
  <Paragraphs>8</Paragraphs>
  <ScaleCrop>false</ScaleCrop>
  <Company>anvs</Company>
  <LinksUpToDate>false</LinksUpToDate>
  <CharactersWithSpaces>4214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Resolução - RE nº</dc:title>
  <dc:subject/>
  <dc:creator>Catia.Ferreira</dc:creator>
  <cp:keywords/>
  <dc:description>ORIGEM:36688daTIPO:79daNUMERO:351daCORREIO:marcio.lisboa@anvisa.gov.br</dc:description>
  <cp:lastModifiedBy>Julia de Souza Ferreira</cp:lastModifiedBy>
  <cp:revision>2</cp:revision>
  <cp:lastPrinted>2016-07-26T19:00:00Z</cp:lastPrinted>
  <dcterms:created xsi:type="dcterms:W3CDTF">2018-11-27T16:31:00Z</dcterms:created>
  <dcterms:modified xsi:type="dcterms:W3CDTF">2018-11-27T16:31:00Z</dcterms:modified>
</cp:coreProperties>
</file>