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A5AB0" w:rsidRDefault="00EE7404" w:rsidP="009A5AB0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9A5AB0">
        <w:rPr>
          <w:rFonts w:ascii="Times New Roman" w:hAnsi="Times New Roman" w:cs="Times New Roman"/>
          <w:b/>
          <w:szCs w:val="24"/>
        </w:rPr>
        <w:t>RESOLUÇÃO</w:t>
      </w:r>
      <w:r w:rsidR="009A5AB0" w:rsidRPr="009A5AB0">
        <w:rPr>
          <w:rFonts w:ascii="Times New Roman" w:hAnsi="Times New Roman" w:cs="Times New Roman"/>
          <w:b/>
          <w:szCs w:val="24"/>
        </w:rPr>
        <w:t xml:space="preserve"> DE DIRETORIA COLEGIADA </w:t>
      </w:r>
      <w:r w:rsidRPr="009A5AB0">
        <w:rPr>
          <w:rFonts w:ascii="Times New Roman" w:hAnsi="Times New Roman" w:cs="Times New Roman"/>
          <w:b/>
          <w:szCs w:val="24"/>
        </w:rPr>
        <w:t xml:space="preserve">– RDC Nº 35, DE 16 DE AGOSTO DE </w:t>
      </w:r>
      <w:proofErr w:type="gramStart"/>
      <w:r w:rsidRPr="009A5AB0">
        <w:rPr>
          <w:rFonts w:ascii="Times New Roman" w:hAnsi="Times New Roman" w:cs="Times New Roman"/>
          <w:b/>
          <w:szCs w:val="24"/>
        </w:rPr>
        <w:t>2010</w:t>
      </w:r>
      <w:proofErr w:type="gramEnd"/>
    </w:p>
    <w:p w:rsidR="00EE7404" w:rsidRPr="009A5AB0" w:rsidRDefault="00EE7404" w:rsidP="00EE740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A5AB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158, de 18 de agosto de 2010</w:t>
      </w:r>
      <w:proofErr w:type="gramStart"/>
      <w:r w:rsidRPr="009A5AB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B6B5E" w:rsidRPr="009A5AB0" w:rsidTr="00AB6B5E">
        <w:tc>
          <w:tcPr>
            <w:tcW w:w="4322" w:type="dxa"/>
          </w:tcPr>
          <w:p w:rsidR="00AB6B5E" w:rsidRPr="009A5AB0" w:rsidRDefault="00AB6B5E" w:rsidP="00EE740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B6B5E" w:rsidRPr="009A5AB0" w:rsidRDefault="00AB6B5E" w:rsidP="00AB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AB0">
              <w:rPr>
                <w:rFonts w:ascii="Times New Roman" w:hAnsi="Times New Roman" w:cs="Times New Roman"/>
                <w:sz w:val="24"/>
                <w:szCs w:val="24"/>
              </w:rPr>
              <w:t>Dispõe sobre o Regulamento Técnico para produtos com ação antimicrobiana utilizados em artigos críticos e semicríticos.</w:t>
            </w:r>
          </w:p>
        </w:tc>
      </w:tr>
    </w:tbl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A5AB0">
        <w:rPr>
          <w:rFonts w:ascii="Times New Roman" w:hAnsi="Times New Roman" w:cs="Times New Roman"/>
          <w:sz w:val="24"/>
          <w:szCs w:val="24"/>
        </w:rPr>
        <w:t xml:space="preserve">A </w:t>
      </w:r>
      <w:r w:rsidRPr="009A5AB0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9A5AB0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9A5AB0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9A5AB0">
        <w:rPr>
          <w:rFonts w:ascii="Times New Roman" w:hAnsi="Times New Roman" w:cs="Times New Roman"/>
          <w:sz w:val="24"/>
          <w:szCs w:val="24"/>
        </w:rPr>
        <w:t xml:space="preserve">, de 11 de agosto de 2006, republicada no DOU de 21 de agosto de 2006, em reunião realizada em 16 de agosto de 2010, 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5AB0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9A5AB0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Fica aprovado o Regulamento Técnico para produtos com ação antimicrobiana utilizados em artigos críticos e semicríticos nos termos do Anexo desta Resolução.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Este Regulamento incorpora ao ordenamento jurídico nacional a Resolução GMC MERCOSUL n. 19/2010.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3º A partir da publicação desta Resolução, o registro de novos produtos, as petições de alteração ou modificação de registro e a petição de revalidação de registro de produto, devem atender, na íntegra, ao disposto no Anexo deste Regulamento. 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Revogam-se as disposições em contrário, em especial a Portaria SVS/MS n. 15, de 23 de agosto de 1988.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Art. 6º Esta Resolução entra em vigor na data de sua publicação.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DIRCEU RAPOSO DE MELLO</w:t>
      </w:r>
    </w:p>
    <w:p w:rsidR="00AB6B5E" w:rsidRPr="009A5AB0" w:rsidRDefault="00AB6B5E" w:rsidP="00AB6B5E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5AB0" w:rsidRDefault="009A5AB0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PARA PRODUTOS COM AÇÃO ANTIMICROBIANA UTILIZADOS EM ARTIGOS CRÍTICOS E SEMICRÍTICOS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 OBJETIVO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Regulamento Técnico tem por objetivo definir, classificar e regulamentar as condições para o registro e rotulagem para os produtos com ação antimicrobiana de uso em assistência à saúde para artigos críticos e semicríticos a serem comercializados.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2. ALCANCE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Regulamento Técnico compreende os produtos com ação antimicrobiana, destinados ao uso em objetos e ambientes relacionados à assistência à saúde para artigos críticos e semicríticos.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 DEFINIÇÕES/GLOSSÁRIO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efeitos deste Regulamento Técnico são consideradas as seguintes definições: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 Assistência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saúde: Conjunto de ações para o atendimento das necessidades pessoais, individuais e coletivas, com o objetivo de proteger e recuperar a saúde, prestada no âmbito ambulatorial e hospitalar, como clínicas e consultórios.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 Desinfecção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processo físico ou químico que destrói a maioria dos microrganismos patogênicos de objetos inanimados e superfícies, com exceção de esporos bacterianos, podendo ser de baixo, intermediário ou alto nível.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3.3 Desinfecção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nível intermediário: processo físico ou químico que destrói microrganismos patogênicos,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micobactérias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, maioria dos vírus e fungos, de objetos inanimados e superfícies.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3.4 Desinfecção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alto nível: processo físico ou químico que destrói todos os microrganismos de artigos semicríticos, exceto um número elevado de esporos bacterianos.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3.5 Desinfetante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nível intermediário: produto que destrói bactérias vegetativas,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micobactérias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, a maioria dos vírus e fungos em um período de tempo comprovado.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3.6 Desinfetante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alto nível: produto que destrói todos os microrganismos em um período de tempo comprovado, exceto um número elevado de esporos bacterianos.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3.7 Esterilização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processo validado que serve para fazer um artigo crítico e/ou semicrítico livre de todas as formas viáveis de microrganismos.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3.8 Esterilizante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É um produto que tem a capacidade de destruir todas as formas de vida microbiana, em um período de tempo comprovado, incluindo os esporos bacterianos.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3.9 Fungicida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É um produto letal para todas as formas de fungos.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3.10 Produto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reconstituído/ativado: Produto que, para exercer sua ação desinfetante/esterilizante, foi adicionado de um ativador (líquido ou pó).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3.11 Sufixo "</w:t>
      </w:r>
      <w:proofErr w:type="spellStart"/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cida</w:t>
      </w:r>
      <w:proofErr w:type="spellEnd"/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": Indica que a ação antimicrobiana é a morte dos microrganismos a que se referem, por exemplo: germicida, microbicida, bactericida, fungicida, etc.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3.12 Prefixo anti: Aplicado antes de uma classe de microrganismo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substância tem atividade contra microrganismos, com ação letal ou inibitória, por exemplo: antifúngico, antimicrobiano, etc.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3.13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Esporocida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Produto letal para as formas esporuladas.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3.14 Substância ou Princípio Ativo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Componente que, na formulação, é responsável por pelo menos uma determinada ação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3.15 Área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crítica: Área na qual existe risco aumentado para desenvolvimento de infecções relacionadas à assistência à saúde, seja pela execução de processos envolvendo artigos críticos ou material biológico, para a realização de procedimentos invasivos ou pela presença de pacientes com susceptibilidade aumentada aos agentes infecciosos ou portadores de microrganismos de importância epidemiológica.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3.16 Área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semicrítica: Área na qual existe risco moderado a risco baixo para o desenvolvimento de infecções relacionadas à assistência à saúde, seja pela execução de processos envolvendo artigos semicríticos ou pela realização de atividades assistenciais não invasivas em pacientes não-críticos e que não apresentem infecção ou colonização por microrganismos de importância epidemiológica.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3.17 Artigo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crítico: Aquele utilizado em procedimentos de alto risco, que penetra tecidos ou órgãos. Requer esterilização para seu uso.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3.18 Artigo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semicrítico: Aquele que entra em contato com a pele não íntegra ou com a mucosa do paciente. Requer desinfecção de alto nível ou esterilização para seu uso.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3.19 Embalagem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Primária: Acondicionamento que está em contato direto com o produto e que pode se constituir em recipiente, envoltório ou qualquer outra forma de proteção, removível ou não, destinado a envasar ou manter, cobrir ou empacotar produtos dos quais trata este Regulamento.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3.20 Embalagem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secundária: Acondicionamento que protege a embalagem primária para o transporte, armazenamento e distribuição dos produtos dos quais trata este Regulamento, não mantendo contato direto com os mesmos.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3.21 Especificação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Documento que descreve em detalhes todos os requisitos a que devem atender os produtos, processos ou materiais utilizados ou obtidos durante a fabricação. As especificações servem como base para a avaliação da qualidade.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3.22 Avaliação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toxicológica: Estudo dos dados biológicos, bioquímicos e toxicológicos de uma substância ou de um produto por sua ação em animais de laboratório e/ou outros sistemas de prova, com o objetivo de extrapolar os resultados para a espécie humana.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3.23 Produto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formulado pronto para uso: Formulação que para seu uso não necessita de procedimento de diluição. 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3.24 Rótulo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Identificação impressa ou litografada, assim como também inscrições pintadas ou gravadas a fogo, pressão ou decalco, aplicadas diretamente sobre recipientes, embalagens e envoltórios.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 CONSIDERAÇÕES GERAIS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4.1 Para fins de solicitação de registro de um produto com ação antimicrobiana de uso em assistência à saúde para artigos críticos e semicríticos, devem ser apresentados à Autoridade Sanitária Competente, os documentos comprobatórios que constam no Apêndice I deste Regulamento.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 Para efeito de assegurar o cumprimento das exigências sanitárias específicas da assistência à saúde, os produtos com ação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antimicrobiana utilizados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artigos críticos e semicríticos devem atender aos requisitos de classificação de risco sobre os quais se apliquem.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4.3 Somente são permitidos como princípios ativos destes produtos, substâncias com aprovação definitiva da EPA (Environmental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Protection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Agency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), FDA (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Food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Drug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Administration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Comunidade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Européia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. Em caso de substâncias que não atendam a esta condição, devem ser apresentados os dados que constam no Apêndice II; e sua aprovação fica a critério da Autoridade Sanitária do país do Estado Parte.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4.3.1 Não são permitidas nas formulações destes produtos substâncias que sejam comprovadamente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carcinogênicas, mutagênicas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teratogênicas para o homem, segundo a Agência Internacional de Investigação sobre o Câncer (IARC/OMS).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4.4 As condições de rotulagem constam no Apêndice III.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4.5 Os produtos abrangidos por este regulamento são de uso exclusivo em estabelecimentos de assistência à saúde.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4.6 Os produtos somente são registrados e autorizados para uso mediante a comprovação de sua eficácia para os fins propostos, através de análises prévias realizadas com o produto final nas diluições, tempos de contato e condições de uso indicadas.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4.7 A comprovação da eficácia dos produtos deve ser realizada mediante a metodologia da AOAC -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Association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Official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Analytical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Chemists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métodos adotados pelo CEN - Comitê Europeu de Normatização. Quando não existirem métodos das instituições citadas, a Autoridade Sanitária Competente de cada Estado Parte analisará caso a caso os métodos apresentados.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4.8 Os microrganismos empregados para avaliação da atividade antimicrobiana constam no Apêndice V.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4.9 As embalagens e tampas dos produtos com ação antimicrobiana devem ser em todas as suas partes resistentes, a fim de manter as propriedades do produto e impedir rupturas e perdas durante o transporte, manipulação e armazenamento.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4.10 Os produtos abrangidos por este Regulamento devem apresentar toxicidade oral aguda (dose letal 50), determinada através de cálculo teórico ou metodologia internacionalmente reconhecida e aceita, que seja superior a 2.000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mg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/kg de peso corpóreo para produtos sob a forma líquida e 500 mg/kg de peso corpóreo para produtos sob forma sólida.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4.11 Quando os desinfetantes de alto nível são indicados para mais de um uso, o fabricante deve estabelecer a concentração microbicida mínima na qual o produto perde a indicação de uso pretendida. Em função deste nível o fabricante deve fornecer um produto para determinar a atividade/concentração do(s) princípio(s) ativo(s), a fim de garantir a conservação da eficácia diante do uso reiterado. Do contrário o produto será indicado para uso único.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4.12 Para produtos que necessitem de ativação, tanto a base como o ativador não devem ser fracionados, salvo por indicação do fabricante.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4.13 O uso de produtos destinados à aplicação em áreas críticas, semicríticas e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não-críticas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regulamentado pela Resolução GMC N° 50/06, na categoria de desinfetantes hospitalares para superfícies fixas.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5.1 Desinfetante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nível Intermediário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5.2 Desinfetante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Alto nível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5.3 Esterilizante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6. ÂMBITO DE APLICAÇÃO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Estes produtos são destinados exclusivamente à desinfecção/ esterilização de artigos críticos e semicríticos em estabelecimentos relacionados à assistência à saúde.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APÊNDICE I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PARA O REGISTRO DE PRODUTOS SANEANTES COM AÇÃO ANTIMICROBIANA DE USO EM ASSISTÊNCIA À SAÚDE PARA ARTIGOS CRÍTICOS E SEMICRÍTICOS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 Nome do detentor do registro.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2. Endereço, telefone comercial e endereço eletrônico.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 Número da Habilitação/Autorização do estabelecimento detentor do registro e/ou do fabricante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 Nome e dados do Responsável Técnico.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 Denominação genérica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6. Nome/marca.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7. Forma física e tipo de apresentação.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 Fórmula completa indicando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o(s) princípio(s) ativo(s) e demais componentes, relacionados pelos nomes técnicos ou químicos em porcentagem p/p, v/v ou p/v, declarando o grau de pureza de cada matéria prima utilizada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9. Nome químico, comum ou genérico das matérias primas e número CAS.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10. Especificações físico-químicas, informações técnicas e de segurança e conteúdo de possíveis impurezas, quando houver, nos princípios ativos,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11. Peso molecular dos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tensoativos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na </w:t>
      </w:r>
      <w:proofErr w:type="spellStart"/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formulação,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o caso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 Variação máxima e mínima aceitável para o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pH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puro e na diluição de uso, quando for o caso.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13. Metodologia de análise do princípio ativo no produto acabado.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14. Prazo de validade proposto para o produto e solução preparada, acompanhado do estudo de estabilidade correspondente.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15 Descrição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processo produtivo.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16. Categoria/classe de uso.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17. Instruções e finalidade de uso a que se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destinam,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restrições e advertências.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18. Desenho técnico da embalagem utilizada.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19. Descrição técnica da embalagem. As tampas das embalagens primárias devem conter lacre.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20. Descrição do sistema de identificação do lote ou partida.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21. Características físico-químicas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22. Texto de rotulagem da embalagem primária e secundária (se for o caso).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23. Resultado/Laudo de análise química e de eficácia microbiológica do produto, de acordo com o uso proposto.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24. Condições de armazenamento.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25. As características dos recipientes compatíveis ao produto, no qual pode ser realizado o fracionamento pelo estabelecimento de assistência à saúde (quando aplicável).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26. Testes e análises a serem realizados pelo usuário para verificar que a qualidade/efetividade do produto se mantém durante a sua utilização.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27. Métodos de inativação e descarte.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28. Recomendação de EPI (Equipamento de Proteção Individual) e EPC. (Equipamento de Proteção Coletiva), quando for o caso.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29. Determinação de irritabilidade dérmica e ocular (ID e IO).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30. Determinação de toxicidade aguda oral e dérmica (DL50).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31. Determinação de toxicidade aguda inalatória (CL50).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32. Teste de irritabilidade inalatória (quando necessário).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33. Estudos de estabilidade do produto em embalagem original ou de menor tamanho do mesmo material.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34. Estudos de estabilidade do produto reconstituído/ativado (se for o caso).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35. Estudos de ensaios de corrosão (sobre os artigos para os quais são indicados).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36. Ficha de Segurança do produto conforme regulamentação específica.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APÊNDICE II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DADOS NECESSÁRIOS PARA AVALIAÇÃO DE NOVOS PRINCÍPIOS ATIVOS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 Toxicidade aguda por via oral para ratas, com valores de DL50 e descrição dos sintomas observados.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2. Toxicidade aguda por via dérmica para ratas, com valores de DL50 e descrição dos sintomas observados.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3. Toxicidade aguda por via inalatória para ratas, com valores de CL50 e descrição dos sintomas observados.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4. Teste de irritação dérmica e ocular, considerando os critérios estabelecidos nas respectivas metodologias internacionais para realização dos ensaios.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 Teste de sensibilidade dérmica em cobaias.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 Teste para verificação de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mutagenicidade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vitro e in vivo.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7. Teste para avaliação do metabolismo e excreção, em ratas.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8. Teste para verificação de efeitos teratogênicos em ratas e coelhos.</w:t>
      </w:r>
    </w:p>
    <w:p w:rsidR="00AB6B5E" w:rsidRPr="009A5AB0" w:rsidRDefault="00B62C9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9. Teste</w:t>
      </w:r>
      <w:r w:rsidR="00AB6B5E"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verificação de efeitos carcinogênicos em duas espécies sendo uma de preferência não roedora.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10. Teste para verificação de neurotoxicidade retardada.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11. Dados sobre o emprego de antídotos, antagonistas e primeiros socorros para os casos de intoxicação. 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12. Teste para verificação de efeitos nocivos ao processo reprodutivo, em ratas, pelo mínimo, em duas gerações.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13. O órgão competente poderá solicitar alguns dos dados abaixo relacionados: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- Teste de toxicidade com doses repetidas diárias por via oral, dérmica e/ou inalatória, (14/21/28) dias, em camundongos, coelhos e ratas.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Teste de toxicidade </w:t>
      </w:r>
      <w:proofErr w:type="spellStart"/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sub-crônica</w:t>
      </w:r>
      <w:proofErr w:type="spellEnd"/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(90) dias por via oral, dérmica e/ou inalatória em camundongos, coelhos e ratas.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14. Ensaios de eficácia antimicrobiana, de acordo com a finalidade proposta.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APÊNDICE III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ROTULAGEM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 Os produtos abrangidos por este RTM devem incluir no rótulo: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 Categoria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no painel principal junto ao nome/marca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1.2 Frases relacionadas com o risco, frases de advertências e de primeiros socorros indicadas no Apêndice IV.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1.3 Restrições de uso (se for o caso).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1.4 Instruções de uso e informações adicionais de tratamento prévio, quando for o caso.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1.5 Diluição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uso: se for o caso, deve ser expressa em porcentagem, relação produto/diluente e seus equivalentes no Sistema Métrico Decimal.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1.6 Prazo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validade da solução preparada, quando for o caso.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1.7 Tempo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contato: segundo o uso proposto.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1.8 Limitações de uso: de acordo com as características da formulação, incluindo para quais materiais são indicados.</w:t>
      </w:r>
    </w:p>
    <w:p w:rsidR="00BE4B5F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1.9 "ANTES DE USAR LEIA AS INSTRUÇÕES DO RÓTULO"; frase obrigatória para  odos os produtos compreendidos neste Regulamento, no painel principal, em destaque. 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1.10 "PROIBIDA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VENDA LIVRE", frase obrigatória para todos os produtos compreendidos neste Regulamento, no painel principal, em destaque.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1.11 Composição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: princípios ativos e aqueles componentes de importância toxicológica devem ser indicados por seus nomes químicos ou técnicos, com suas respectivas concentrações.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1.12 Número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registro, com a sigla da Autoridade Sanitária Competente, emissora do mesmo.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1.13 Método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inativação e descarte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1.14 Data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fabricação e prazo de validade, ou data de validade do produto.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caso da impossibilidade de incluir todas as informações no rótulo, estas devem estar disponíveis em folhetos ou prospectos que acompanhem obrigatoriamente o produto, devendo figurar a frase: "Antes de usar leia as instruções do rótulo e do prospecto explicativo" ou frase equivalente.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APÊNDICE IV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FRASES OBRIGATÓRIAS DE ROTULAGEM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"CUIDADO! Irritante para os olhos, pele e mucosas." - esta frase pode ser omitida se for comprovado que o produto enquadra- se na classificação dérmica e ocular primária como "não irritante" ou "levemente irritante", de acordo com o teste de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Draize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coelhos albinos ou através de ensaios in vitro devidamente validados e aceitos pela Autoridade Sanitária Competente. Esta frase deve constar no painel principal.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2. "Não misturar com outros produtos", exceto se tal procedimento estiver indicado pelo fabricante no rótulo.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"Usar luvas para sua aplicação." Esta frase pode ser omitida se for comprovado que o produto enquadra-se na classificação dérmica primária como "não irritante" ou "levemente irritante", de acordo com o teste de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Draize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coelhos albinos ou através de</w:t>
      </w:r>
      <w:r w:rsidR="00BE4B5F"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 in vitro devidamente validados e aceitos pela Autoridade Sanitária Competente.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4.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Usar máscaras para sua aplicação"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esta frase pode ser omitida se for comprovado que o produto enquadra-se na classificação dérmica e ocular primária como "não irritante" ou "levemente irritante", de acordo com o teste de </w:t>
      </w:r>
      <w:proofErr w:type="spell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Draize</w:t>
      </w:r>
      <w:proofErr w:type="spell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coelhos albinos e teste de irritação inalatória ou através de ensaios in vitro devidamente validados e aceitos pela Autoridade Sanitária Competente.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5. "Não ingerir."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6. "Não aplicar sobre pessoas, alimentos e animais."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7. "Conserve fora do alcance de crianças e animais domésticos.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"(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em negrito, caixa alta e em destaque das demais frases).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8. "Manter o produto em sua embalagem original."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9. "Não reutilizar as embalagens."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10. Recomendar o uso adequado de Equipamento de Proteção Individual (EPI) e condições físicas e ambientais para manipulação do produto, quando for o caso.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11. Frases de primeiros socorros: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11.1 "Em caso de contato com os olhos e pele, lavar com água em abundância durante 15 minutos. Se a irritação persistir consulte um médico, levando a embalagem ou o rótulo do produto".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11.2 "Em caso de ingestão acidental, não induzir o vômito. Consulte um médico imediatamente, levando a embalagem ou o rótulo do produto.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1.2 Para produtos que sejam cáusticos/corrosivos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, devem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acrescentadas as seguintes frases: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12.1 "PERIGO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! Causa danos se ingerido." ou "PERIGO! Pode ser fatal se ingerido." e/ou "PERIGO! Pode ser fatal se inalado ou absorvido pela pele." (conforme o caso). Esta frase deve constar no painel principal.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12.2 "CORROSIVO!/ CÁUSTICO! 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Causa</w:t>
      </w:r>
      <w:proofErr w:type="gramEnd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queimaduras graves em contato com os olhos, pele e mucosas." Esta frase deve constar no painel principal.</w:t>
      </w:r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12.3 "Usar equipamentos de proteção adequados, tais como, luvas, óculos de proteção, avental, etc.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AB6B5E" w:rsidRPr="009A5AB0" w:rsidRDefault="00AB6B5E" w:rsidP="00AB6B5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12.4 "Não comer, beber ou fumar durante a aplicação.</w:t>
      </w:r>
      <w:proofErr w:type="gramStart"/>
      <w:r w:rsidRPr="009A5AB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9A5AB0" w:rsidRDefault="009A5AB0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APÊNDICE V</w:t>
      </w:r>
    </w:p>
    <w:p w:rsidR="00AB6B5E" w:rsidRPr="009A5AB0" w:rsidRDefault="00AB6B5E" w:rsidP="00AB6B5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5AB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MICRORGANISMOS PARA AVALIAÇÃO DA ATIVIDADE ANTIMICROBIANA</w:t>
      </w:r>
    </w:p>
    <w:tbl>
      <w:tblPr>
        <w:tblW w:w="0" w:type="auto"/>
        <w:jc w:val="center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4781"/>
      </w:tblGrid>
      <w:tr w:rsidR="00AB6B5E" w:rsidRPr="009A5AB0" w:rsidTr="00AB6B5E">
        <w:trPr>
          <w:jc w:val="center"/>
        </w:trPr>
        <w:tc>
          <w:tcPr>
            <w:tcW w:w="36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p w:rsidR="00AB6B5E" w:rsidRPr="009A5AB0" w:rsidRDefault="00AB6B5E" w:rsidP="00AB6B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478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MICRORGANISMOS TESTE</w:t>
            </w:r>
          </w:p>
        </w:tc>
      </w:tr>
      <w:tr w:rsidR="00AB6B5E" w:rsidRPr="009A5AB0" w:rsidTr="00AB6B5E">
        <w:trPr>
          <w:jc w:val="center"/>
        </w:trPr>
        <w:tc>
          <w:tcPr>
            <w:tcW w:w="36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Desinfetante de nível intermediário </w:t>
            </w:r>
          </w:p>
        </w:tc>
        <w:tc>
          <w:tcPr>
            <w:tcW w:w="478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Staphylococcus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aureus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Salmonella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choleraesuis</w:t>
            </w:r>
            <w:proofErr w:type="spellEnd"/>
          </w:p>
          <w:p w:rsidR="00BE4B5F" w:rsidRPr="009A5AB0" w:rsidRDefault="00BE4B5F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Escherichia coli,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Pseudomona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aeruginosa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Trichophyton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mentagrophytes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Candida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albicans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smegmatis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bovis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(BCG)</w:t>
            </w:r>
          </w:p>
        </w:tc>
      </w:tr>
      <w:tr w:rsidR="00AB6B5E" w:rsidRPr="009A5AB0" w:rsidTr="00AB6B5E">
        <w:trPr>
          <w:jc w:val="center"/>
        </w:trPr>
        <w:tc>
          <w:tcPr>
            <w:tcW w:w="36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Desinfetante de alto nível </w:t>
            </w:r>
          </w:p>
        </w:tc>
        <w:tc>
          <w:tcPr>
            <w:tcW w:w="478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Staphylococcus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aureus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Salmonella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choleraesuis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Escherichia coli,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Pseudomona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aeruginosa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Trichophyton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mentagrophytes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Candida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albicans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smegmatis</w:t>
            </w:r>
            <w:proofErr w:type="spellEnd"/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bovis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 (BCG)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massiliense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,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Bacillus subtilis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 xml:space="preserve">Clostridium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pt-BR"/>
              </w:rPr>
              <w:t>sporogenes</w:t>
            </w:r>
            <w:proofErr w:type="spellEnd"/>
          </w:p>
        </w:tc>
      </w:tr>
      <w:tr w:rsidR="00AB6B5E" w:rsidRPr="009A5AB0" w:rsidTr="00AB6B5E">
        <w:trPr>
          <w:jc w:val="center"/>
        </w:trPr>
        <w:tc>
          <w:tcPr>
            <w:tcW w:w="36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Esterilizante </w:t>
            </w:r>
          </w:p>
        </w:tc>
        <w:tc>
          <w:tcPr>
            <w:tcW w:w="478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Bacillus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subtilis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(ação esterilizante)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Clostridium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sporogenes</w:t>
            </w:r>
            <w:proofErr w:type="spellEnd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 (ação esterilizante),</w:t>
            </w:r>
          </w:p>
          <w:p w:rsidR="00AB6B5E" w:rsidRPr="009A5AB0" w:rsidRDefault="00AB6B5E" w:rsidP="00AB6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 xml:space="preserve">Mycobacterium </w:t>
            </w:r>
            <w:proofErr w:type="spellStart"/>
            <w:r w:rsidRPr="009A5AB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massiliense</w:t>
            </w:r>
            <w:proofErr w:type="spellEnd"/>
          </w:p>
        </w:tc>
      </w:tr>
    </w:tbl>
    <w:p w:rsidR="00AB6B5E" w:rsidRPr="009A5AB0" w:rsidRDefault="00AB6B5E" w:rsidP="00AB6B5E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AB6B5E" w:rsidRPr="009A5AB0" w:rsidSect="00E550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B0" w:rsidRDefault="009A5AB0" w:rsidP="009A5AB0">
      <w:pPr>
        <w:spacing w:after="0" w:line="240" w:lineRule="auto"/>
      </w:pPr>
      <w:r>
        <w:separator/>
      </w:r>
    </w:p>
  </w:endnote>
  <w:endnote w:type="continuationSeparator" w:id="0">
    <w:p w:rsidR="009A5AB0" w:rsidRDefault="009A5AB0" w:rsidP="009A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AB0" w:rsidRPr="009A5AB0" w:rsidRDefault="009A5AB0" w:rsidP="009A5A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B0" w:rsidRDefault="009A5AB0" w:rsidP="009A5AB0">
      <w:pPr>
        <w:spacing w:after="0" w:line="240" w:lineRule="auto"/>
      </w:pPr>
      <w:r>
        <w:separator/>
      </w:r>
    </w:p>
  </w:footnote>
  <w:footnote w:type="continuationSeparator" w:id="0">
    <w:p w:rsidR="009A5AB0" w:rsidRDefault="009A5AB0" w:rsidP="009A5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AB0" w:rsidRPr="00B517AC" w:rsidRDefault="009A5AB0" w:rsidP="009A5A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E843005" wp14:editId="5032F80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AB0" w:rsidRPr="00B517AC" w:rsidRDefault="009A5AB0" w:rsidP="009A5A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A5AB0" w:rsidRPr="00B517AC" w:rsidRDefault="009A5AB0" w:rsidP="009A5A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A5AB0" w:rsidRDefault="009A5A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04"/>
    <w:rsid w:val="001E708B"/>
    <w:rsid w:val="007441BF"/>
    <w:rsid w:val="00786686"/>
    <w:rsid w:val="009A5AB0"/>
    <w:rsid w:val="00AB6B5E"/>
    <w:rsid w:val="00B30817"/>
    <w:rsid w:val="00B62C9E"/>
    <w:rsid w:val="00BE4B5F"/>
    <w:rsid w:val="00D621E1"/>
    <w:rsid w:val="00E550B6"/>
    <w:rsid w:val="00EA1A63"/>
    <w:rsid w:val="00E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B6B5E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6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B6B5E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6B5E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AB6B5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5AB0"/>
  </w:style>
  <w:style w:type="paragraph" w:styleId="Rodap">
    <w:name w:val="footer"/>
    <w:basedOn w:val="Normal"/>
    <w:link w:val="RodapChar"/>
    <w:uiPriority w:val="99"/>
    <w:unhideWhenUsed/>
    <w:rsid w:val="009A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5AB0"/>
  </w:style>
  <w:style w:type="paragraph" w:styleId="Textodebalo">
    <w:name w:val="Balloon Text"/>
    <w:basedOn w:val="Normal"/>
    <w:link w:val="TextodebaloChar"/>
    <w:uiPriority w:val="99"/>
    <w:semiHidden/>
    <w:unhideWhenUsed/>
    <w:rsid w:val="009A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B6B5E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6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AB6B5E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6B5E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AB6B5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5AB0"/>
  </w:style>
  <w:style w:type="paragraph" w:styleId="Rodap">
    <w:name w:val="footer"/>
    <w:basedOn w:val="Normal"/>
    <w:link w:val="RodapChar"/>
    <w:uiPriority w:val="99"/>
    <w:unhideWhenUsed/>
    <w:rsid w:val="009A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5AB0"/>
  </w:style>
  <w:style w:type="paragraph" w:styleId="Textodebalo">
    <w:name w:val="Balloon Text"/>
    <w:basedOn w:val="Normal"/>
    <w:link w:val="TextodebaloChar"/>
    <w:uiPriority w:val="99"/>
    <w:semiHidden/>
    <w:unhideWhenUsed/>
    <w:rsid w:val="009A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17596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35F25B-6AC0-4BC6-8280-F5F0894B1E9D}"/>
</file>

<file path=customXml/itemProps2.xml><?xml version="1.0" encoding="utf-8"?>
<ds:datastoreItem xmlns:ds="http://schemas.openxmlformats.org/officeDocument/2006/customXml" ds:itemID="{F3404477-1F53-40A6-A83E-B7DC6950EE26}"/>
</file>

<file path=customXml/itemProps3.xml><?xml version="1.0" encoding="utf-8"?>
<ds:datastoreItem xmlns:ds="http://schemas.openxmlformats.org/officeDocument/2006/customXml" ds:itemID="{2BEB9D97-6791-43A4-B7A0-5466941AA1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3203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2016-12-20T20:15:00Z</dcterms:created>
  <dcterms:modified xsi:type="dcterms:W3CDTF">2016-12-20T20:15:00Z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