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197" w:rsidRDefault="00A53197">
      <w:pPr>
        <w:spacing w:before="0" w:beforeAutospacing="0" w:after="0" w:afterAutospacing="0"/>
        <w:jc w:val="center"/>
        <w:divId w:val="1739744774"/>
        <w:rPr>
          <w:rFonts w:ascii="Verdana" w:hAnsi="Verdana"/>
          <w:b/>
          <w:bCs/>
          <w:color w:val="666666"/>
          <w:sz w:val="15"/>
          <w:szCs w:val="15"/>
        </w:rPr>
      </w:pPr>
      <w:bookmarkStart w:id="0" w:name="_GoBack"/>
      <w:bookmarkEnd w:id="0"/>
      <w:r>
        <w:rPr>
          <w:rFonts w:ascii="Verdana" w:hAnsi="Verdana"/>
          <w:b/>
          <w:bCs/>
          <w:color w:val="666666"/>
          <w:sz w:val="15"/>
          <w:szCs w:val="15"/>
        </w:rPr>
        <w:t xml:space="preserve">ADVERTÊNCIA </w:t>
      </w:r>
    </w:p>
    <w:p w:rsidR="00A53197" w:rsidRDefault="00A53197">
      <w:pPr>
        <w:spacing w:before="75" w:beforeAutospacing="0" w:after="75" w:afterAutospacing="0"/>
        <w:jc w:val="center"/>
        <w:divId w:val="1739744774"/>
        <w:rPr>
          <w:rFonts w:ascii="Verdana" w:hAnsi="Verdana" w:cs="Arial"/>
          <w:color w:val="990000"/>
          <w:sz w:val="15"/>
          <w:szCs w:val="15"/>
        </w:rPr>
      </w:pPr>
      <w:r>
        <w:rPr>
          <w:rFonts w:ascii="Verdana" w:hAnsi="Verdana" w:cs="Arial"/>
          <w:color w:val="990000"/>
          <w:sz w:val="15"/>
          <w:szCs w:val="15"/>
        </w:rPr>
        <w:t>Este texto não substitui o publicado no Diário Oficial da União</w:t>
      </w:r>
    </w:p>
    <w:p w:rsidR="00A53197" w:rsidRDefault="00B81E67">
      <w:pPr>
        <w:spacing w:before="0" w:beforeAutospacing="0" w:after="0" w:afterAutospacing="0"/>
        <w:jc w:val="center"/>
        <w:divId w:val="1739744775"/>
        <w:rPr>
          <w:rFonts w:eastAsia="Times New Roman"/>
        </w:rPr>
      </w:pPr>
      <w:r w:rsidRPr="00B81E67">
        <w:rPr>
          <w:rFonts w:eastAsia="Times New Roman"/>
          <w:noProof/>
        </w:rPr>
        <w:drawing>
          <wp:inline distT="0" distB="0" distL="0" distR="0">
            <wp:extent cx="542925" cy="571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925" cy="571500"/>
                    </a:xfrm>
                    <a:prstGeom prst="rect">
                      <a:avLst/>
                    </a:prstGeom>
                    <a:noFill/>
                    <a:ln>
                      <a:noFill/>
                    </a:ln>
                  </pic:spPr>
                </pic:pic>
              </a:graphicData>
            </a:graphic>
          </wp:inline>
        </w:drawing>
      </w:r>
    </w:p>
    <w:p w:rsidR="00A53197" w:rsidRDefault="00A53197">
      <w:pPr>
        <w:spacing w:before="0" w:beforeAutospacing="0" w:after="0" w:afterAutospacing="0"/>
        <w:jc w:val="center"/>
        <w:divId w:val="1739744771"/>
        <w:rPr>
          <w:rStyle w:val="legendab1"/>
          <w:b/>
          <w:bCs/>
        </w:rPr>
      </w:pPr>
      <w:r>
        <w:rPr>
          <w:rFonts w:ascii="Verdana" w:hAnsi="Verdana"/>
          <w:b/>
          <w:bCs/>
          <w:color w:val="003366"/>
          <w:sz w:val="23"/>
          <w:szCs w:val="23"/>
        </w:rPr>
        <w:t>Ministério da Saúde</w:t>
      </w:r>
      <w:r>
        <w:rPr>
          <w:rFonts w:ascii="Verdana" w:hAnsi="Verdana"/>
          <w:b/>
          <w:bCs/>
          <w:color w:val="003366"/>
          <w:sz w:val="23"/>
          <w:szCs w:val="23"/>
        </w:rPr>
        <w:br/>
      </w:r>
      <w:r>
        <w:rPr>
          <w:rStyle w:val="legendab1"/>
          <w:b/>
          <w:bCs/>
        </w:rPr>
        <w:t>Agência Nacional de Vigilância Sanitária</w:t>
      </w:r>
    </w:p>
    <w:p w:rsidR="00E16646" w:rsidRDefault="00E16646">
      <w:pPr>
        <w:spacing w:before="0" w:beforeAutospacing="0" w:after="0" w:afterAutospacing="0"/>
        <w:jc w:val="center"/>
        <w:divId w:val="1739744771"/>
        <w:rPr>
          <w:rStyle w:val="legendab1"/>
          <w:b/>
          <w:bCs/>
        </w:rPr>
      </w:pPr>
    </w:p>
    <w:p w:rsidR="00E16646" w:rsidRPr="00CE7E30" w:rsidRDefault="00E16646" w:rsidP="00E16646">
      <w:pPr>
        <w:pStyle w:val="Ttulo1"/>
        <w:divId w:val="1739744771"/>
      </w:pPr>
      <w:r w:rsidRPr="00CE7E30">
        <w:t>RESOLUÇÃO DA DIRETORIA COLEGIADA - RDC Nº 51, DE 15 DE AGOSTO DE 2007.</w:t>
      </w:r>
    </w:p>
    <w:p w:rsidR="00E16646" w:rsidRPr="00CE7E30" w:rsidRDefault="00E16646" w:rsidP="00E16646">
      <w:pPr>
        <w:pStyle w:val="Corpodetexto"/>
        <w:spacing w:after="100"/>
        <w:ind w:left="4820"/>
        <w:divId w:val="1739744771"/>
        <w:rPr>
          <w:rFonts w:ascii="Arial" w:hAnsi="Arial" w:cs="Arial"/>
          <w:sz w:val="20"/>
          <w:szCs w:val="20"/>
        </w:rPr>
      </w:pPr>
      <w:r w:rsidRPr="00CE7E30">
        <w:rPr>
          <w:rFonts w:ascii="Arial" w:hAnsi="Arial" w:cs="Arial"/>
          <w:sz w:val="20"/>
          <w:szCs w:val="20"/>
        </w:rPr>
        <w:t>Altera o item 2.3, VI, do Anexo I, da Resolução RDC nº 16, de 2 de março de 2007 e o Anexo da Resolução RDC nº 17, de 2 de março de 2007.</w:t>
      </w:r>
    </w:p>
    <w:p w:rsidR="00E16646" w:rsidRPr="00CE7E30" w:rsidRDefault="00E16646" w:rsidP="00E16646">
      <w:pPr>
        <w:ind w:firstLine="567"/>
        <w:jc w:val="both"/>
        <w:divId w:val="1739744771"/>
        <w:rPr>
          <w:rFonts w:ascii="Arial" w:hAnsi="Arial" w:cs="Arial"/>
          <w:sz w:val="20"/>
          <w:szCs w:val="20"/>
        </w:rPr>
      </w:pPr>
      <w:r w:rsidRPr="00CE7E30">
        <w:rPr>
          <w:rFonts w:ascii="Arial" w:hAnsi="Arial" w:cs="Arial"/>
          <w:b/>
          <w:bCs/>
          <w:sz w:val="20"/>
          <w:szCs w:val="20"/>
        </w:rPr>
        <w:t>A Diretoria Colegiada da Agência Nacional de Vigilância Sanitária</w:t>
      </w:r>
      <w:r w:rsidRPr="00CE7E30">
        <w:rPr>
          <w:rFonts w:ascii="Arial" w:hAnsi="Arial" w:cs="Arial"/>
          <w:sz w:val="20"/>
          <w:szCs w:val="20"/>
        </w:rPr>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7 de agosto de 2007, e</w:t>
      </w:r>
    </w:p>
    <w:p w:rsidR="00E16646" w:rsidRPr="00CE7E30" w:rsidRDefault="00E16646" w:rsidP="00E16646">
      <w:pPr>
        <w:pStyle w:val="Recuodecorpodetexto2"/>
        <w:spacing w:before="100" w:beforeAutospacing="1" w:after="100" w:afterAutospacing="1"/>
        <w:divId w:val="1739744771"/>
        <w:rPr>
          <w:rFonts w:cs="Arial"/>
          <w:sz w:val="20"/>
        </w:rPr>
      </w:pPr>
      <w:r w:rsidRPr="00CE7E30">
        <w:rPr>
          <w:rFonts w:cs="Arial"/>
          <w:sz w:val="20"/>
        </w:rPr>
        <w:t>considerando a finalidade institucional da Agência Nacional de Vigilância Sanitária de promover a proteção da saúde da população por intermédio do controle sanitário da produção e da comercialização de produtos e serviços submetidos à vigilância sanitária, conforme estabelecido pela Lei n.º 9.782, de 26 de janeiro de 1999;</w:t>
      </w:r>
    </w:p>
    <w:p w:rsidR="00E16646" w:rsidRPr="00CE7E30" w:rsidRDefault="00E16646" w:rsidP="00E16646">
      <w:pPr>
        <w:ind w:firstLine="567"/>
        <w:jc w:val="both"/>
        <w:divId w:val="1739744771"/>
        <w:rPr>
          <w:rFonts w:ascii="Arial" w:hAnsi="Arial" w:cs="Arial"/>
          <w:sz w:val="20"/>
          <w:szCs w:val="20"/>
        </w:rPr>
      </w:pPr>
      <w:r w:rsidRPr="00CE7E30">
        <w:rPr>
          <w:rFonts w:ascii="Arial" w:hAnsi="Arial" w:cs="Arial"/>
          <w:sz w:val="20"/>
          <w:szCs w:val="20"/>
        </w:rPr>
        <w:t>considerando a Lei n° 9.787, de 10 de fevereiro de 1999, que estabelece as bases legais para a instituição dos medicamentos genéricos no país;</w:t>
      </w:r>
    </w:p>
    <w:p w:rsidR="00E16646" w:rsidRPr="00CE7E30" w:rsidRDefault="00E16646" w:rsidP="00E16646">
      <w:pPr>
        <w:ind w:firstLine="567"/>
        <w:jc w:val="both"/>
        <w:divId w:val="1739744771"/>
        <w:rPr>
          <w:rFonts w:ascii="Arial" w:hAnsi="Arial" w:cs="Arial"/>
          <w:sz w:val="20"/>
          <w:szCs w:val="20"/>
        </w:rPr>
      </w:pPr>
      <w:r w:rsidRPr="00CE7E30">
        <w:rPr>
          <w:rFonts w:ascii="Arial" w:hAnsi="Arial" w:cs="Arial"/>
          <w:sz w:val="20"/>
          <w:szCs w:val="20"/>
        </w:rPr>
        <w:t>considerando a Medida Provisória nº. 2190-34, de 23 de agosto de 2001, que altera a Lei nº. 6.360, de 23 de setembro de 1976, definindo medicamento similar; </w:t>
      </w:r>
    </w:p>
    <w:p w:rsidR="00E16646" w:rsidRPr="00CE7E30" w:rsidRDefault="00E16646" w:rsidP="00E16646">
      <w:pPr>
        <w:ind w:firstLine="567"/>
        <w:jc w:val="both"/>
        <w:divId w:val="1739744771"/>
        <w:rPr>
          <w:rFonts w:ascii="Arial" w:hAnsi="Arial" w:cs="Arial"/>
          <w:sz w:val="20"/>
          <w:szCs w:val="20"/>
        </w:rPr>
      </w:pPr>
      <w:r w:rsidRPr="00CE7E30">
        <w:rPr>
          <w:rFonts w:ascii="Arial" w:hAnsi="Arial" w:cs="Arial"/>
          <w:sz w:val="20"/>
          <w:szCs w:val="20"/>
        </w:rPr>
        <w:t>considerando o Decreto nº. 3.961, de 10 de outubro de 2001, que altera o Decreto nº. 79.094, de 5 de janeiro de 1977, que atualiza as definições de medicamento similar, medicamento de referência e medicamento genérico; </w:t>
      </w:r>
    </w:p>
    <w:p w:rsidR="00E16646" w:rsidRPr="00CE7E30" w:rsidRDefault="00E16646" w:rsidP="00E16646">
      <w:pPr>
        <w:ind w:firstLine="567"/>
        <w:jc w:val="both"/>
        <w:divId w:val="1739744771"/>
        <w:rPr>
          <w:rFonts w:ascii="Arial" w:hAnsi="Arial" w:cs="Arial"/>
          <w:sz w:val="20"/>
          <w:szCs w:val="20"/>
        </w:rPr>
      </w:pPr>
      <w:r w:rsidRPr="00CE7E30">
        <w:rPr>
          <w:rFonts w:ascii="Arial" w:hAnsi="Arial" w:cs="Arial"/>
          <w:sz w:val="20"/>
          <w:szCs w:val="20"/>
        </w:rPr>
        <w:t>considerando as diretrizes da Política Nacional de Medicamentos instituída pela Portaria/MS nº. 3916/98, quanto à regulamentação sanitária, a promoção da produção na perspectiva da farmacoeconomia, bem como a promoção racional de medicamentos,</w:t>
      </w:r>
    </w:p>
    <w:p w:rsidR="00E16646" w:rsidRPr="00CE7E30" w:rsidRDefault="00E16646" w:rsidP="00E16646">
      <w:pPr>
        <w:ind w:firstLine="567"/>
        <w:jc w:val="both"/>
        <w:divId w:val="1739744771"/>
        <w:rPr>
          <w:rFonts w:ascii="Arial" w:hAnsi="Arial" w:cs="Arial"/>
          <w:sz w:val="20"/>
          <w:szCs w:val="20"/>
        </w:rPr>
      </w:pPr>
      <w:r w:rsidRPr="00CE7E30">
        <w:rPr>
          <w:rFonts w:ascii="Arial" w:hAnsi="Arial" w:cs="Arial"/>
          <w:sz w:val="20"/>
          <w:szCs w:val="20"/>
        </w:rPr>
        <w:t>adota a seguinte Resolução da Diretoria Colegiada e eu, Diretor-Presidente, determino a sua publicação:</w:t>
      </w:r>
    </w:p>
    <w:p w:rsidR="00E16646" w:rsidRPr="00CE7E30" w:rsidRDefault="00E16646" w:rsidP="00E16646">
      <w:pPr>
        <w:ind w:firstLine="567"/>
        <w:jc w:val="both"/>
        <w:divId w:val="1739744771"/>
        <w:rPr>
          <w:rFonts w:ascii="Arial" w:hAnsi="Arial" w:cs="Arial"/>
          <w:sz w:val="20"/>
          <w:szCs w:val="20"/>
        </w:rPr>
      </w:pPr>
      <w:r w:rsidRPr="00CE7E30">
        <w:rPr>
          <w:rFonts w:ascii="Arial" w:hAnsi="Arial" w:cs="Arial"/>
          <w:sz w:val="20"/>
          <w:szCs w:val="20"/>
        </w:rPr>
        <w:t>Art. 1º O item 2.3, do item VI, do Anexo I, da Resolução RDC nº 16, de 2 de março de 2007, passa a vigorar com a seguinte redação:</w:t>
      </w:r>
    </w:p>
    <w:p w:rsidR="00E16646" w:rsidRPr="00CE7E30" w:rsidRDefault="00E16646" w:rsidP="00E16646">
      <w:pPr>
        <w:jc w:val="both"/>
        <w:divId w:val="1739744771"/>
        <w:rPr>
          <w:rFonts w:ascii="Arial" w:hAnsi="Arial" w:cs="Arial"/>
          <w:sz w:val="20"/>
          <w:szCs w:val="20"/>
        </w:rPr>
      </w:pPr>
      <w:r w:rsidRPr="00CE7E30">
        <w:rPr>
          <w:rFonts w:ascii="Arial" w:hAnsi="Arial" w:cs="Arial"/>
          <w:sz w:val="20"/>
          <w:szCs w:val="20"/>
        </w:rPr>
        <w:t>.......................................................................</w:t>
      </w:r>
    </w:p>
    <w:p w:rsidR="00E16646" w:rsidRPr="00CE7E30" w:rsidRDefault="00E16646" w:rsidP="00E16646">
      <w:pPr>
        <w:pStyle w:val="Corpodetexto2"/>
        <w:spacing w:after="100" w:line="240" w:lineRule="auto"/>
        <w:divId w:val="1739744771"/>
        <w:rPr>
          <w:rFonts w:ascii="Arial" w:hAnsi="Arial" w:cs="Arial"/>
          <w:sz w:val="20"/>
          <w:szCs w:val="20"/>
        </w:rPr>
      </w:pPr>
      <w:r w:rsidRPr="00CE7E30">
        <w:rPr>
          <w:rFonts w:ascii="Arial" w:hAnsi="Arial" w:cs="Arial"/>
          <w:sz w:val="20"/>
          <w:szCs w:val="20"/>
        </w:rPr>
        <w:t>“2.3 O medicamento genérico somente será dispensado se prescrito pela Denominação Comum Brasileira (DCB) ou, na sua falta, pela Denominação Comum Internacional (DCI), podendo ser intercambiável com o respectivo medicamento referência.”</w:t>
      </w:r>
    </w:p>
    <w:p w:rsidR="00E16646" w:rsidRPr="00CE7E30" w:rsidRDefault="00E16646" w:rsidP="00E16646">
      <w:pPr>
        <w:pStyle w:val="Recuodecorpodetexto2"/>
        <w:spacing w:before="100" w:beforeAutospacing="1" w:after="100" w:afterAutospacing="1"/>
        <w:divId w:val="1739744771"/>
        <w:rPr>
          <w:rFonts w:cs="Arial"/>
          <w:sz w:val="20"/>
        </w:rPr>
      </w:pPr>
      <w:r w:rsidRPr="00CE7E30">
        <w:rPr>
          <w:rFonts w:cs="Arial"/>
          <w:sz w:val="20"/>
        </w:rPr>
        <w:lastRenderedPageBreak/>
        <w:t>Art. 2º O  item 2.3, do item VI, do Anexo I, da Resolução RDC nº 16, de 2 de março de 2007, passa a vigorar acrescido do seguinte item:</w:t>
      </w:r>
    </w:p>
    <w:p w:rsidR="00E16646" w:rsidRPr="00CE7E30" w:rsidRDefault="00E16646" w:rsidP="00E16646">
      <w:pPr>
        <w:pStyle w:val="Corpodetexto2"/>
        <w:spacing w:after="100" w:line="240" w:lineRule="auto"/>
        <w:divId w:val="1739744771"/>
        <w:rPr>
          <w:rFonts w:ascii="Arial" w:hAnsi="Arial" w:cs="Arial"/>
          <w:sz w:val="20"/>
          <w:szCs w:val="20"/>
        </w:rPr>
      </w:pPr>
      <w:r w:rsidRPr="00CE7E30">
        <w:rPr>
          <w:rFonts w:ascii="Arial" w:hAnsi="Arial" w:cs="Arial"/>
          <w:sz w:val="20"/>
          <w:szCs w:val="20"/>
        </w:rPr>
        <w:t>“2.3.1 O medicamento de referência poderá ser dispensado quando prescrito pelo seu nome de marca ou pela respectiva Denominação Comum Brasileira (DCB) ou, na sua falta, pela Denominação Comum Internacional (DCI), podendo ser intercambiável com o medicamento genérico correspondente.”</w:t>
      </w:r>
    </w:p>
    <w:p w:rsidR="00E16646" w:rsidRPr="00CE7E30" w:rsidRDefault="00E16646" w:rsidP="00E16646">
      <w:pPr>
        <w:pStyle w:val="Recuodecorpodetexto2"/>
        <w:spacing w:before="100" w:beforeAutospacing="1" w:after="100" w:afterAutospacing="1"/>
        <w:divId w:val="1739744771"/>
        <w:rPr>
          <w:rFonts w:cs="Arial"/>
          <w:sz w:val="20"/>
        </w:rPr>
      </w:pPr>
      <w:r w:rsidRPr="00CE7E30">
        <w:rPr>
          <w:rFonts w:cs="Arial"/>
          <w:sz w:val="20"/>
        </w:rPr>
        <w:t>Art. 3º O Anexo da Resolução RDC nº 17, de 2 de março de 2007, passa a vigorar acrescido dos seguintes itens:</w:t>
      </w:r>
    </w:p>
    <w:p w:rsidR="00E16646" w:rsidRPr="00CE7E30" w:rsidRDefault="00E16646" w:rsidP="00E16646">
      <w:pPr>
        <w:ind w:left="2880"/>
        <w:jc w:val="both"/>
        <w:divId w:val="1739744771"/>
        <w:rPr>
          <w:rFonts w:ascii="Arial" w:hAnsi="Arial" w:cs="Arial"/>
          <w:sz w:val="20"/>
          <w:szCs w:val="20"/>
        </w:rPr>
      </w:pPr>
      <w:r w:rsidRPr="00CE7E30">
        <w:rPr>
          <w:rFonts w:ascii="Arial" w:hAnsi="Arial" w:cs="Arial"/>
          <w:sz w:val="20"/>
          <w:szCs w:val="20"/>
        </w:rPr>
        <w:t>“VI. Critérios para prescrição e dispensação de medicamentos similares.</w:t>
      </w:r>
    </w:p>
    <w:p w:rsidR="00E16646" w:rsidRPr="00CE7E30" w:rsidRDefault="00E16646" w:rsidP="00E16646">
      <w:pPr>
        <w:ind w:left="2880"/>
        <w:jc w:val="both"/>
        <w:divId w:val="1739744771"/>
        <w:rPr>
          <w:rFonts w:ascii="Arial" w:hAnsi="Arial" w:cs="Arial"/>
          <w:sz w:val="20"/>
          <w:szCs w:val="20"/>
        </w:rPr>
      </w:pPr>
      <w:r w:rsidRPr="00CE7E30">
        <w:rPr>
          <w:rFonts w:ascii="Arial" w:hAnsi="Arial" w:cs="Arial"/>
          <w:sz w:val="20"/>
          <w:szCs w:val="20"/>
        </w:rPr>
        <w:t>1. Prescrição</w:t>
      </w:r>
    </w:p>
    <w:p w:rsidR="00E16646" w:rsidRPr="00CE7E30" w:rsidRDefault="00E16646" w:rsidP="00E16646">
      <w:pPr>
        <w:ind w:left="2880"/>
        <w:jc w:val="both"/>
        <w:divId w:val="1739744771"/>
        <w:rPr>
          <w:rFonts w:ascii="Arial" w:hAnsi="Arial" w:cs="Arial"/>
          <w:sz w:val="20"/>
          <w:szCs w:val="20"/>
        </w:rPr>
      </w:pPr>
      <w:r w:rsidRPr="00CE7E30">
        <w:rPr>
          <w:rFonts w:ascii="Arial" w:hAnsi="Arial" w:cs="Arial"/>
          <w:sz w:val="20"/>
          <w:szCs w:val="20"/>
        </w:rPr>
        <w:t xml:space="preserve">1.1. No âmbito do Sistema Único de Saúde (SUS), as prescrições pelo profissional responsável adotarão, obrigatoriamente, a Denominação Comum Brasileira (DCB), ou, na sua falta, a Denominação Comum Internacional (DCI); </w:t>
      </w:r>
    </w:p>
    <w:p w:rsidR="00E16646" w:rsidRPr="00CE7E30" w:rsidRDefault="00E16646" w:rsidP="00E16646">
      <w:pPr>
        <w:pStyle w:val="Corpodetexto2"/>
        <w:spacing w:after="100" w:line="240" w:lineRule="auto"/>
        <w:divId w:val="1739744771"/>
        <w:rPr>
          <w:rFonts w:ascii="Arial" w:hAnsi="Arial" w:cs="Arial"/>
          <w:sz w:val="20"/>
          <w:szCs w:val="20"/>
        </w:rPr>
      </w:pPr>
      <w:r w:rsidRPr="00CE7E30">
        <w:rPr>
          <w:rFonts w:ascii="Arial" w:hAnsi="Arial" w:cs="Arial"/>
          <w:sz w:val="20"/>
          <w:szCs w:val="20"/>
        </w:rPr>
        <w:t>1.2. Nos serviços privados de saúde, a prescrição ficará a critério do profissional responsável, podendo ser realizada sob a Denominação Comum Brasileira (DCB) ou, na sua falta, sob a Denominação Comum Internacional (DCI) ou sob o nome comercial.</w:t>
      </w:r>
    </w:p>
    <w:p w:rsidR="00E16646" w:rsidRPr="00CE7E30" w:rsidRDefault="00E16646" w:rsidP="00E16646">
      <w:pPr>
        <w:ind w:left="2880"/>
        <w:jc w:val="both"/>
        <w:divId w:val="1739744771"/>
        <w:rPr>
          <w:rFonts w:ascii="Arial" w:hAnsi="Arial" w:cs="Arial"/>
          <w:sz w:val="20"/>
          <w:szCs w:val="20"/>
        </w:rPr>
      </w:pPr>
      <w:r w:rsidRPr="00CE7E30">
        <w:rPr>
          <w:rFonts w:ascii="Arial" w:hAnsi="Arial" w:cs="Arial"/>
          <w:sz w:val="20"/>
          <w:szCs w:val="20"/>
        </w:rPr>
        <w:t>2. Dispensação</w:t>
      </w:r>
    </w:p>
    <w:p w:rsidR="00E16646" w:rsidRPr="00CE7E30" w:rsidRDefault="00E16646" w:rsidP="00E16646">
      <w:pPr>
        <w:pStyle w:val="Corpodetexto2"/>
        <w:spacing w:after="100" w:line="240" w:lineRule="auto"/>
        <w:divId w:val="1739744771"/>
        <w:rPr>
          <w:rFonts w:ascii="Arial" w:hAnsi="Arial" w:cs="Arial"/>
          <w:sz w:val="20"/>
          <w:szCs w:val="20"/>
        </w:rPr>
      </w:pPr>
      <w:r w:rsidRPr="00CE7E30">
        <w:rPr>
          <w:rFonts w:ascii="Arial" w:hAnsi="Arial" w:cs="Arial"/>
          <w:sz w:val="20"/>
          <w:szCs w:val="20"/>
        </w:rPr>
        <w:t>2.1. O medicamento similar poderá ser dispensado quando prescrito pelo seu nome de marca ou pela respectiva Denominação Comum Brasileira (DCB) ou, na sua falta, pela Denominação Comum Internacional (DCI) correspondente.</w:t>
      </w:r>
    </w:p>
    <w:p w:rsidR="00E16646" w:rsidRPr="00CE7E30" w:rsidRDefault="00E16646" w:rsidP="00E16646">
      <w:pPr>
        <w:ind w:left="2880"/>
        <w:jc w:val="both"/>
        <w:divId w:val="1739744771"/>
        <w:rPr>
          <w:rFonts w:ascii="Arial" w:hAnsi="Arial" w:cs="Arial"/>
          <w:sz w:val="20"/>
          <w:szCs w:val="20"/>
        </w:rPr>
      </w:pPr>
      <w:r w:rsidRPr="00CE7E30">
        <w:rPr>
          <w:rFonts w:ascii="Arial" w:hAnsi="Arial" w:cs="Arial"/>
          <w:sz w:val="20"/>
          <w:szCs w:val="20"/>
        </w:rPr>
        <w:t>2.2. É dever do profissional farmacêutico explicar, detalhadamente, a dispensação realizada ao paciente ou usuário bem como fornecer toda a orientação necessária ao consumo racional do medicamento similar.”</w:t>
      </w:r>
    </w:p>
    <w:p w:rsidR="00E16646" w:rsidRPr="00CE7E30" w:rsidRDefault="00E16646" w:rsidP="00E16646">
      <w:pPr>
        <w:pStyle w:val="Recuodecorpodetexto2"/>
        <w:spacing w:before="100" w:beforeAutospacing="1" w:after="100" w:afterAutospacing="1"/>
        <w:divId w:val="1739744771"/>
        <w:rPr>
          <w:rFonts w:cs="Arial"/>
          <w:sz w:val="20"/>
        </w:rPr>
      </w:pPr>
      <w:r w:rsidRPr="00CE7E30">
        <w:rPr>
          <w:rFonts w:cs="Arial"/>
          <w:sz w:val="20"/>
        </w:rPr>
        <w:t>Art. 4º Esta Resolução entra em vigor na data da sua publicação.</w:t>
      </w:r>
    </w:p>
    <w:p w:rsidR="00E16646" w:rsidRPr="00CE7E30" w:rsidRDefault="00E16646" w:rsidP="00E16646">
      <w:pPr>
        <w:pStyle w:val="Ttulo2"/>
        <w:divId w:val="1739744771"/>
      </w:pPr>
      <w:r w:rsidRPr="00CE7E30">
        <w:t>DIRCEU RAPOSO DE MELLO</w:t>
      </w:r>
    </w:p>
    <w:p w:rsidR="00A53197" w:rsidRDefault="00A53197">
      <w:pPr>
        <w:spacing w:before="0" w:beforeAutospacing="0" w:after="0" w:afterAutospacing="0"/>
        <w:jc w:val="center"/>
        <w:divId w:val="1739744776"/>
        <w:rPr>
          <w:rFonts w:ascii="Verdana" w:hAnsi="Verdana"/>
          <w:b/>
          <w:bCs/>
          <w:color w:val="003366"/>
          <w:sz w:val="17"/>
          <w:szCs w:val="17"/>
        </w:rPr>
      </w:pPr>
      <w:hyperlink r:id="rId5" w:tgtFrame="_blank" w:tooltip="ir para página do Saúde Legis" w:history="1">
        <w:r>
          <w:rPr>
            <w:rFonts w:ascii="Verdana" w:hAnsi="Verdana"/>
            <w:b/>
            <w:bCs/>
            <w:color w:val="003366"/>
            <w:sz w:val="20"/>
            <w:szCs w:val="20"/>
          </w:rPr>
          <w:t>Saúde Legis - Sistema de Legislação da Saúde</w:t>
        </w:r>
      </w:hyperlink>
      <w:r>
        <w:rPr>
          <w:rFonts w:ascii="Verdana" w:hAnsi="Verdana"/>
          <w:b/>
          <w:bCs/>
          <w:color w:val="003366"/>
          <w:sz w:val="17"/>
          <w:szCs w:val="17"/>
        </w:rPr>
        <w:t xml:space="preserve"> </w:t>
      </w:r>
    </w:p>
    <w:sectPr w:rsidR="00A531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F7751"/>
    <w:rsid w:val="001159E9"/>
    <w:rsid w:val="002A6BAF"/>
    <w:rsid w:val="00524060"/>
    <w:rsid w:val="005D13BD"/>
    <w:rsid w:val="00652E8A"/>
    <w:rsid w:val="00771958"/>
    <w:rsid w:val="008B7BC0"/>
    <w:rsid w:val="008D770F"/>
    <w:rsid w:val="009D4C4B"/>
    <w:rsid w:val="009F4005"/>
    <w:rsid w:val="00A53197"/>
    <w:rsid w:val="00AF43E7"/>
    <w:rsid w:val="00B81E67"/>
    <w:rsid w:val="00C95A0B"/>
    <w:rsid w:val="00CE7E30"/>
    <w:rsid w:val="00DF7C19"/>
    <w:rsid w:val="00E16646"/>
    <w:rsid w:val="00E30878"/>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
    <w:name w:val="Body Text"/>
    <w:basedOn w:val="Normal"/>
    <w:link w:val="CorpodetextoChar"/>
    <w:uiPriority w:val="99"/>
    <w:semiHidden/>
    <w:unhideWhenUsed/>
    <w:rsid w:val="00E16646"/>
    <w:pPr>
      <w:spacing w:after="120"/>
    </w:pPr>
  </w:style>
  <w:style w:type="character" w:customStyle="1" w:styleId="CorpodetextoChar">
    <w:name w:val="Corpo de texto Char"/>
    <w:basedOn w:val="Fontepargpadro"/>
    <w:link w:val="Corpodetexto"/>
    <w:uiPriority w:val="99"/>
    <w:semiHidden/>
    <w:locked/>
    <w:rsid w:val="00E16646"/>
    <w:rPr>
      <w:rFonts w:eastAsiaTheme="minorEastAsia" w:cs="Times New Roman"/>
      <w:sz w:val="24"/>
      <w:szCs w:val="24"/>
    </w:rPr>
  </w:style>
  <w:style w:type="paragraph" w:styleId="Corpodetexto2">
    <w:name w:val="Body Text 2"/>
    <w:basedOn w:val="Normal"/>
    <w:link w:val="Corpodetexto2Char"/>
    <w:uiPriority w:val="99"/>
    <w:semiHidden/>
    <w:unhideWhenUsed/>
    <w:rsid w:val="00E16646"/>
    <w:pPr>
      <w:spacing w:after="120" w:line="480" w:lineRule="auto"/>
    </w:pPr>
  </w:style>
  <w:style w:type="character" w:customStyle="1" w:styleId="Corpodetexto2Char">
    <w:name w:val="Corpo de texto 2 Char"/>
    <w:basedOn w:val="Fontepargpadro"/>
    <w:link w:val="Corpodetexto2"/>
    <w:uiPriority w:val="99"/>
    <w:semiHidden/>
    <w:locked/>
    <w:rsid w:val="00E16646"/>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744773">
      <w:marLeft w:val="150"/>
      <w:marRight w:val="150"/>
      <w:marTop w:val="150"/>
      <w:marBottom w:val="0"/>
      <w:divBdr>
        <w:top w:val="none" w:sz="0" w:space="0" w:color="auto"/>
        <w:left w:val="none" w:sz="0" w:space="0" w:color="auto"/>
        <w:bottom w:val="none" w:sz="0" w:space="0" w:color="auto"/>
        <w:right w:val="none" w:sz="0" w:space="0" w:color="auto"/>
      </w:divBdr>
      <w:divsChild>
        <w:div w:id="1739744772">
          <w:marLeft w:val="0"/>
          <w:marRight w:val="0"/>
          <w:marTop w:val="0"/>
          <w:marBottom w:val="0"/>
          <w:divBdr>
            <w:top w:val="none" w:sz="0" w:space="0" w:color="auto"/>
            <w:left w:val="none" w:sz="0" w:space="0" w:color="auto"/>
            <w:bottom w:val="none" w:sz="0" w:space="0" w:color="auto"/>
            <w:right w:val="none" w:sz="0" w:space="0" w:color="auto"/>
          </w:divBdr>
          <w:divsChild>
            <w:div w:id="1739744771">
              <w:marLeft w:val="0"/>
              <w:marRight w:val="0"/>
              <w:marTop w:val="75"/>
              <w:marBottom w:val="300"/>
              <w:divBdr>
                <w:top w:val="none" w:sz="0" w:space="0" w:color="auto"/>
                <w:left w:val="none" w:sz="0" w:space="0" w:color="auto"/>
                <w:bottom w:val="none" w:sz="0" w:space="0" w:color="auto"/>
                <w:right w:val="none" w:sz="0" w:space="0" w:color="auto"/>
              </w:divBdr>
              <w:divsChild>
                <w:div w:id="1739744770">
                  <w:marLeft w:val="0"/>
                  <w:marRight w:val="0"/>
                  <w:marTop w:val="0"/>
                  <w:marBottom w:val="0"/>
                  <w:divBdr>
                    <w:top w:val="none" w:sz="0" w:space="0" w:color="auto"/>
                    <w:left w:val="none" w:sz="0" w:space="0" w:color="auto"/>
                    <w:bottom w:val="none" w:sz="0" w:space="0" w:color="auto"/>
                    <w:right w:val="none" w:sz="0" w:space="0" w:color="auto"/>
                  </w:divBdr>
                </w:div>
                <w:div w:id="1739744777">
                  <w:marLeft w:val="0"/>
                  <w:marRight w:val="0"/>
                  <w:marTop w:val="0"/>
                  <w:marBottom w:val="0"/>
                  <w:divBdr>
                    <w:top w:val="none" w:sz="0" w:space="0" w:color="auto"/>
                    <w:left w:val="none" w:sz="0" w:space="0" w:color="auto"/>
                    <w:bottom w:val="none" w:sz="0" w:space="0" w:color="auto"/>
                    <w:right w:val="none" w:sz="0" w:space="0" w:color="auto"/>
                  </w:divBdr>
                </w:div>
              </w:divsChild>
            </w:div>
            <w:div w:id="1739744774">
              <w:marLeft w:val="0"/>
              <w:marRight w:val="0"/>
              <w:marTop w:val="0"/>
              <w:marBottom w:val="0"/>
              <w:divBdr>
                <w:top w:val="single" w:sz="6" w:space="2" w:color="666666"/>
                <w:left w:val="none" w:sz="0" w:space="0" w:color="auto"/>
                <w:bottom w:val="single" w:sz="6" w:space="2" w:color="666666"/>
                <w:right w:val="none" w:sz="0" w:space="0" w:color="auto"/>
              </w:divBdr>
            </w:div>
            <w:div w:id="1739744775">
              <w:marLeft w:val="0"/>
              <w:marRight w:val="0"/>
              <w:marTop w:val="150"/>
              <w:marBottom w:val="150"/>
              <w:divBdr>
                <w:top w:val="none" w:sz="0" w:space="0" w:color="auto"/>
                <w:left w:val="none" w:sz="0" w:space="0" w:color="auto"/>
                <w:bottom w:val="none" w:sz="0" w:space="0" w:color="auto"/>
                <w:right w:val="none" w:sz="0" w:space="0" w:color="auto"/>
              </w:divBdr>
            </w:div>
            <w:div w:id="1739744776">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aude.gov.br/saudelegis" TargetMode="Externa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657</Words>
  <Characters>3548</Characters>
  <Application>Microsoft Office Word</Application>
  <DocSecurity>0</DocSecurity>
  <Lines>29</Lines>
  <Paragraphs>8</Paragraphs>
  <ScaleCrop>false</ScaleCrop>
  <Company>ANVISA</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2012-05-16T13:46:00Z</cp:lastPrinted>
  <dcterms:created xsi:type="dcterms:W3CDTF">2018-08-16T18:33:00Z</dcterms:created>
  <dcterms:modified xsi:type="dcterms:W3CDTF">2018-08-16T18:33:00Z</dcterms:modified>
</cp:coreProperties>
</file>