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E354B" w:rsidRDefault="00B43F54" w:rsidP="00F675E7">
      <w:pPr>
        <w:ind w:right="-852"/>
        <w:jc w:val="center"/>
        <w:rPr>
          <w:rFonts w:ascii="Times New Roman" w:hAnsi="Times New Roman" w:cs="Times New Roman"/>
          <w:b/>
        </w:rPr>
      </w:pPr>
      <w:r w:rsidRPr="004E354B">
        <w:rPr>
          <w:rFonts w:ascii="Times New Roman" w:hAnsi="Times New Roman" w:cs="Times New Roman"/>
          <w:b/>
        </w:rPr>
        <w:t>RESOLUÇÃO</w:t>
      </w:r>
      <w:r w:rsidR="004E354B" w:rsidRPr="004E354B">
        <w:rPr>
          <w:rFonts w:ascii="Times New Roman" w:hAnsi="Times New Roman" w:cs="Times New Roman"/>
          <w:b/>
        </w:rPr>
        <w:t xml:space="preserve"> DE DIRETORIA COLEGIADA</w:t>
      </w:r>
      <w:r w:rsidRPr="004E354B">
        <w:rPr>
          <w:rFonts w:ascii="Times New Roman" w:hAnsi="Times New Roman" w:cs="Times New Roman"/>
          <w:b/>
        </w:rPr>
        <w:t xml:space="preserve"> – RDC Nº 52, DE 26 DE NOVEMBRO DE 2010</w:t>
      </w:r>
      <w:r w:rsidR="00F675E7">
        <w:rPr>
          <w:rFonts w:ascii="Times New Roman" w:hAnsi="Times New Roman" w:cs="Times New Roman"/>
          <w:b/>
        </w:rPr>
        <w:t xml:space="preserve"> (*)</w:t>
      </w:r>
    </w:p>
    <w:p w:rsidR="00B43F54" w:rsidRPr="004E354B" w:rsidRDefault="00B43F54" w:rsidP="00B43F5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E354B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229, de 1</w:t>
      </w:r>
      <w:r w:rsidR="00BB5A8F"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Pr="004E354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dezembro de 2010</w:t>
      </w:r>
      <w:proofErr w:type="gramStart"/>
      <w:r w:rsidRPr="004E354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AB3F0C" w:rsidRPr="004E354B" w:rsidRDefault="00AB3F0C" w:rsidP="00B43F5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E354B">
        <w:rPr>
          <w:rFonts w:ascii="Times New Roman" w:hAnsi="Times New Roman" w:cs="Times New Roman"/>
          <w:b/>
          <w:color w:val="0000FF"/>
          <w:sz w:val="24"/>
          <w:szCs w:val="24"/>
        </w:rPr>
        <w:t>(Republicada pelo DOU nº 244, de 22 de dezembro de 2010</w:t>
      </w:r>
      <w:proofErr w:type="gramStart"/>
      <w:r w:rsidRPr="004E354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E529ED" w:rsidRPr="004E354B" w:rsidTr="00C56A59">
        <w:trPr>
          <w:tblCellSpacing w:w="0" w:type="dxa"/>
        </w:trPr>
        <w:tc>
          <w:tcPr>
            <w:tcW w:w="2500" w:type="pct"/>
            <w:vAlign w:val="center"/>
            <w:hideMark/>
          </w:tcPr>
          <w:p w:rsidR="00E529ED" w:rsidRPr="004E354B" w:rsidRDefault="00E529ED" w:rsidP="00C56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E529ED" w:rsidRPr="004E354B" w:rsidRDefault="002C48A3" w:rsidP="003D5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hAnsi="Times New Roman" w:cs="Times New Roman"/>
                <w:sz w:val="24"/>
                <w:szCs w:val="24"/>
              </w:rPr>
              <w:t>Dispõe sobre corantes em embalagens e equipamentos plásticos destinados a estar em contato com alimentos.</w:t>
            </w:r>
          </w:p>
        </w:tc>
      </w:tr>
    </w:tbl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4E35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 11 de agosto de 2006, republicada no DOU de 21 de agosto de 2006, em reunião realizada em 23 de novembro de 2010, adota a seguinte Resolução da Diretoria Colegiada e eu, Diretor-Presidente, determino a sua publicação: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Fica aprovado o Regulamento Técnico sobre corantes em embalagens e equipamentos plásticos destinados a estar em contato com alimentos, nos termos do Anexo desta Resolução.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Este Regulamento incorpora ao ordenamento jurídico nacional a Resolução GMC MERCOSUL n. 15/10.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3º Revogam-se as disposições em contrário, em especial, os seguintes itens da Resolução n.105, de 19 de maio de 1999: Anexo IV - Corantes e Pigmentos em Embalagens e Equipamentos Plásticos; Anexo X - Determinação de Aminas Aromáticas em Pigmentos Utilizados na Coloração de Materiais Plásticos em Contato com Alimentos.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 Art. 4º O descumprimento das disposições contidas nesta Resolução e no regulamento por ela aprovado constitui infração sanitária, nos termos da Lei n. 6.437, de 20 de agosto de 1977, sem prejuízo das responsabilidades civil, administrativa e penal cabíveis.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5º Os estabelecimentos abrangidos por esta Resolução terão o prazo de 180 (cento e oitenta) dias contados a partir da data de sua publicação para promover as adequações necessárias ao Regulamento Técnico.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A partir da publicação desta Resolução, os novos estabelecimentos e aqueles que pretendam reiniciar suas atividades, devem atender na íntegra às exigências nela contidas, previamente ao seu funcionamento.</w:t>
      </w:r>
    </w:p>
    <w:p w:rsidR="003D5103" w:rsidRPr="00485F0A" w:rsidRDefault="00A93E59" w:rsidP="00485F0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485F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</w:p>
    <w:p w:rsidR="00A93E59" w:rsidRPr="000454CD" w:rsidRDefault="00A93E59" w:rsidP="000454C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045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ANEXO</w:t>
      </w:r>
    </w:p>
    <w:p w:rsidR="00A93E59" w:rsidRPr="000454CD" w:rsidRDefault="00A93E59" w:rsidP="000454C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0454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REGULAMENTO TÉCNICO MERCOSUL SOBRE CORANTES EM EMBALAGENS E EQUIPAMENTOS PLÁSTICOS DESTINADOS A ESTAR EM CONTATO COM ALIMENTOS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="0064521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Alcance.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presente Regulamento Técnico se aplicará às embalagens e equipamentos plásticos que contêm corantes em sua fórmula, destinados a entrar em contato com alimentos, assim como os corantes utilizados para colorir os mesmos, estabelecendo os requisitos que estes devem cumprir assim como a metodologia analítica de referência para seu controle.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requisitos de migração específica de metais e outros elementos estabelecidos no item 3.2. 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presente Regulamento Técnico se aplicarão também às embalagens e equipamentos plásticos impressos, salvo que exista uma barreira que impeça o contato da tinta com a face interna do material.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os efeitos deste Regulamento, se entende por corantes as substâncias coloridas que compreendem os corantes propriamente ditos e os pigmentos orgânicos e inorgânicos utilizados como aditivos que se agregam aos materiais plásticos.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Requisitos sobre corantes.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verificação dos requisitos do presente Regulamento se realizará sobre os corantes em forma de ingredientes ativos e não sobre os mesmos incluídos em um polímero ("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masterbatch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").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 Requisitos sobre aminas aromáticas não sulfonadas em corantes orgânicos.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conteúdo de aminas aromáticas primárias não sulfonadas solúveis em solução de ácido clorídrico 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M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expresso como anilina, não deve exceder 500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ppm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(mg/kg) em massa do corante (0.05% m/m).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conteúdo de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bencidina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β-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naftilamina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4-aminobifenilo, individualmente ou combinados, não deve exceder 10 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ppm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(mg/kg).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Metodologia analítica: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a determinação do conteúdo de aminas aromáticas não sulfonadas se aplicará a Norma DIN 55 610 (1986):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Determination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Unsulfonated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primary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aromatic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amines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64521A" w:rsidRPr="004E354B" w:rsidRDefault="00A93E59" w:rsidP="00485F0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Para verificar o cumprimento dos limites estabelecidos para benzidina, β-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naftilamina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4-aminobifenila, devem ser utilizados métodos de quantificação com sensibilidade adequada.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2.2 Requisitos sobre aminas aromáticas sulfonadas em corantes orgânicos.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conteúdo total de aminas aromáticas sulfonadas expresso como ácido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anilinosulfônico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 deve exceder 500 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ppm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(mg/kg) em massa do corante (0.05% m/m).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Metodologia analítica: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Resolução AP (89) 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sobre o uso de corantes em materiais plásticos destinados a entrar em contato com alimentos, do Conselho da Europa, Comitê de Ministros, 1989, seção III, parágrafo 4.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2.3 Requisitos sobre metais e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metalóides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corantes.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partir da 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entrada em vigência do presente Regulamento Técnico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os corantes não conterão metais e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metalóides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quantidades superiores às seguintes porcentagens: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Antimônio (Sb)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soluble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0,1N)------------------ 0.05 % m/m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Arsênio (As)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soluble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0,1N)--------------- --- 0.005 % m/m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Bário (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soluble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0,1N)------------------ 0.01 % m/m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Cádmio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Cd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soluble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0,1N)------------------ 0.01 % m/m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Chumbo (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Pb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soluble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0,1N)------------------ 0.01 % m/m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Cromo (Cr)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soluble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0,1 N)------------------ 0.10 % m/m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Mercúrio (Hg)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soluble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0,1N)------------------ 0.005 % m/m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Selênio (Se)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soluble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0,1N)------------------ 0.01 % m/m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Zinco (Zn)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soluble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0,1N)------------------ 0.20 % m/m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Metodologia analítica: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a) Métodos para extração de metais e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metalóides</w:t>
      </w:r>
      <w:proofErr w:type="spellEnd"/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Resolução AP (89) 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sobre o uso de corantes em materiais plásticos destinados a entrar em contato com alimentos, do Conselho da Europa, Comitê de Ministros, 1989, seção III, parágrafo 2;</w:t>
      </w:r>
    </w:p>
    <w:p w:rsidR="0064521A" w:rsidRPr="004E354B" w:rsidRDefault="00A93E59" w:rsidP="00485F0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os procedimentos de filtração será utilizada a Norma DIN 53770-1 sobre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Pigments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Extenders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Determination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Matter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Soluble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Hydrochloric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Acid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2007, Parte 1, item 3 -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Apparatus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bookmarkStart w:id="0" w:name="_GoBack"/>
      <w:bookmarkEnd w:id="0"/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Método para quantificação dos metais e metaloides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determinação do conteúdo de metais e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metalóides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nos extratos 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 ser realizada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por técnicas espectrométricas de quantificação com sensibilidade adequada para verificar o cumprimento dos limites estabelecidos.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2.4 Requisitos e ensaios adicionais para o pigmento negro de fumo.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pigmento negro de fumo deve cumprir as seguintes especificações: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-Extraíveis em tolueno: máximo 0,1% m/m;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-Extraíveis em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ciclohexano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386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nm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&lt; 0,02 UA para uma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cubeta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1 cm ou &lt; 0,1 UA para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cubeta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5 cm; Determinar a absorção no ultravioleta (comprimento de onda de 386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nm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 do extrato límpido obtido, após o contato por 24 horas em ausência de luz, de 1 g de amostra com 100 ml de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ciclohexano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filtração;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-Conteúdo de benzo (a) pireno: máximo 0,25 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mg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/kg (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ppm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m/m;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-Nível máximo de negro de fumo em polímero: 2,5% m/m. Metodologia analítica: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-Para o caso de extraíveis em tolueno: Norma ISO 6209:1988.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-Para o caso de extraíveis em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ciclohexano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German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BfR</w:t>
      </w:r>
      <w:proofErr w:type="spellEnd"/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BIII,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Reinheitsprufung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von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Rußen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Stand 1.7.1972.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o resto das determinações, se utilizarão métodos de quantificação com sensibilidade adequada para verificar o cumprimento dos limites estabelecidos.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</w:t>
      </w:r>
      <w:r w:rsidR="0064521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Ensaios para embalagens e equipamentos plásticos impressos e/ou que contenham corantes em sua formulação, destinados a entrar em contato com alimentos.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</w:t>
      </w:r>
      <w:r w:rsidR="0064521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Determinação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migração de substâncias que conferem cor.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ensaios de migração total das embalagens e equipamentos plásticos que contenham corantes em sua formulação são realizados com os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simulantes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temperaturas e tempos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decontato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detalhados nas Resoluções do GMC correspondentes à </w:t>
      </w: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atribuição de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simulantes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alimentos e a ensaios de migração total. Os extratos obtidos no ensaio de migração total devem ser comparados visualmente contra um fundo branco com os respectivos brancos.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Nestas condições não devem existir diferenças, apreciáveis visualmente, entre a coloração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doextrato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 seu branco.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3.2</w:t>
      </w:r>
      <w:r w:rsidR="0064521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Determinação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migração específica de metais e outros elementos.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Determinam-se as concentrações de metais e outros elementos nos extratos obtidos, tal como se descreve nos ensaios de migração total das embalagens e equipamentos plásticos detalhados nas Resoluções do GMC correspondentes. Quando aplicável, a determinação da migração específica de metais e outros elementos se realizará somente em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simulante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aquoso ácido (solução de ácido acético a 3% m/v em água destilada), mesmo que o alimento envasado, não seja aquoso ácido.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Sobre os extratos determinam-se aos metais e outros elementos utilizar técnicas espectrométricas da maior seletividade e sensibilidade disponíveis.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limites de migração específica (LME) dos elementos a determinar são os seguintes: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3777"/>
      </w:tblGrid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7F537C" w:rsidRDefault="00A93E59" w:rsidP="007F53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7F5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Elemento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7F537C" w:rsidRDefault="00A93E59" w:rsidP="007F53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7F5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LME em </w:t>
            </w:r>
            <w:proofErr w:type="gramStart"/>
            <w:r w:rsidRPr="007F5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mg</w:t>
            </w:r>
            <w:proofErr w:type="gramEnd"/>
            <w:r w:rsidRPr="007F5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/kg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Antimônio (Sb)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0,04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Arsênio (As)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Bário (</w:t>
            </w:r>
            <w:proofErr w:type="gramStart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</w:t>
            </w:r>
            <w:proofErr w:type="gramEnd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Boro (B)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Cadmio (</w:t>
            </w:r>
            <w:proofErr w:type="spellStart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Cd</w:t>
            </w:r>
            <w:proofErr w:type="spellEnd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0,005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Zinco (Zn)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Cobre (Cu)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Cromo (Cr)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Estanho (Sn)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Flúor (F)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Mercurio</w:t>
            </w:r>
            <w:proofErr w:type="spellEnd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(Hg)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0,005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Prata (Ag)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A93E59" w:rsidRPr="004E354B" w:rsidTr="005C309F">
        <w:tc>
          <w:tcPr>
            <w:tcW w:w="47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chumbo</w:t>
            </w:r>
            <w:proofErr w:type="gramEnd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37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3E59" w:rsidRPr="004E354B" w:rsidRDefault="00A93E59" w:rsidP="00A93E5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E3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</w:t>
            </w:r>
          </w:p>
        </w:tc>
      </w:tr>
    </w:tbl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determinação do conteúdo de metais e </w:t>
      </w:r>
      <w:proofErr w:type="spell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metalóides</w:t>
      </w:r>
      <w:proofErr w:type="spell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nos extratos </w:t>
      </w:r>
      <w:proofErr w:type="gramStart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 ser realizada</w:t>
      </w:r>
      <w:proofErr w:type="gramEnd"/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utilizando técnicas espectrométricas de quantificação com sensibilidade adequada para verificar o cumprimento dos limites estabelecidos.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As embalagens devem cumprir com os limites estabelecidos no presente Regulamento.</w:t>
      </w:r>
    </w:p>
    <w:p w:rsidR="00A93E59" w:rsidRPr="004E354B" w:rsidRDefault="00A93E59" w:rsidP="00A93E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as embalagens se destinarem a alimentos com limites de contaminantes estabelecidos, os alimentos embalados não deverão ultrapassar os valores estabelecidos para este produto alimentício em particular.</w:t>
      </w:r>
    </w:p>
    <w:p w:rsidR="00A93E59" w:rsidRPr="004E354B" w:rsidRDefault="00A93E59" w:rsidP="00A93E5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---------------------</w:t>
      </w:r>
    </w:p>
    <w:p w:rsidR="00A93E59" w:rsidRPr="004E354B" w:rsidRDefault="00A93E59" w:rsidP="00A93E5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35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(*)</w:t>
      </w:r>
      <w:r w:rsidRPr="004E3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Republicada por ter saído, no Suplemento ANVISA do DOU nº 229, de 1/12/2010, pág. 63, com incorreção no original.</w:t>
      </w:r>
    </w:p>
    <w:p w:rsidR="00B005A1" w:rsidRPr="004E354B" w:rsidRDefault="00B005A1" w:rsidP="00A93E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93E59" w:rsidRPr="004E354B" w:rsidRDefault="00A93E5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sectPr w:rsidR="00A93E59" w:rsidRPr="004E354B" w:rsidSect="0001704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F0A" w:rsidRDefault="00485F0A" w:rsidP="00485F0A">
      <w:pPr>
        <w:spacing w:after="0" w:line="240" w:lineRule="auto"/>
      </w:pPr>
      <w:r>
        <w:separator/>
      </w:r>
    </w:p>
  </w:endnote>
  <w:endnote w:type="continuationSeparator" w:id="0">
    <w:p w:rsidR="00485F0A" w:rsidRDefault="00485F0A" w:rsidP="0048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F0A" w:rsidRPr="008A0471" w:rsidRDefault="00485F0A" w:rsidP="00485F0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85F0A" w:rsidRDefault="00485F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F0A" w:rsidRDefault="00485F0A" w:rsidP="00485F0A">
      <w:pPr>
        <w:spacing w:after="0" w:line="240" w:lineRule="auto"/>
      </w:pPr>
      <w:r>
        <w:separator/>
      </w:r>
    </w:p>
  </w:footnote>
  <w:footnote w:type="continuationSeparator" w:id="0">
    <w:p w:rsidR="00485F0A" w:rsidRDefault="00485F0A" w:rsidP="00485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F0A" w:rsidRPr="00B517AC" w:rsidRDefault="00485F0A" w:rsidP="00485F0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305F1DE" wp14:editId="261CC31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85F0A" w:rsidRPr="00B517AC" w:rsidRDefault="00485F0A" w:rsidP="00485F0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85F0A" w:rsidRPr="00B517AC" w:rsidRDefault="00485F0A" w:rsidP="00485F0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85F0A" w:rsidRDefault="00485F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3F54"/>
    <w:rsid w:val="00017047"/>
    <w:rsid w:val="000454CD"/>
    <w:rsid w:val="001E708B"/>
    <w:rsid w:val="002C48A3"/>
    <w:rsid w:val="003D5103"/>
    <w:rsid w:val="00485F0A"/>
    <w:rsid w:val="004E354B"/>
    <w:rsid w:val="00515276"/>
    <w:rsid w:val="005807E9"/>
    <w:rsid w:val="005C309F"/>
    <w:rsid w:val="0064521A"/>
    <w:rsid w:val="007441BF"/>
    <w:rsid w:val="00786686"/>
    <w:rsid w:val="007F537C"/>
    <w:rsid w:val="00A93E59"/>
    <w:rsid w:val="00AB3F0C"/>
    <w:rsid w:val="00B005A1"/>
    <w:rsid w:val="00B11C0F"/>
    <w:rsid w:val="00B30817"/>
    <w:rsid w:val="00B43F54"/>
    <w:rsid w:val="00BB5A8F"/>
    <w:rsid w:val="00C820DB"/>
    <w:rsid w:val="00D621E1"/>
    <w:rsid w:val="00E529ED"/>
    <w:rsid w:val="00EA3D8C"/>
    <w:rsid w:val="00F6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47"/>
  </w:style>
  <w:style w:type="paragraph" w:styleId="Ttulo2">
    <w:name w:val="heading 2"/>
    <w:basedOn w:val="Normal"/>
    <w:link w:val="Ttulo2Char"/>
    <w:uiPriority w:val="9"/>
    <w:qFormat/>
    <w:rsid w:val="00A93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5A1"/>
    <w:pPr>
      <w:ind w:left="720"/>
      <w:contextualSpacing/>
    </w:pPr>
  </w:style>
  <w:style w:type="table" w:styleId="Tabelacomgrade">
    <w:name w:val="Table Grid"/>
    <w:basedOn w:val="Tabelanormal"/>
    <w:uiPriority w:val="59"/>
    <w:rsid w:val="00B00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A93E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9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A9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85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F0A"/>
  </w:style>
  <w:style w:type="paragraph" w:styleId="Rodap">
    <w:name w:val="footer"/>
    <w:basedOn w:val="Normal"/>
    <w:link w:val="RodapChar"/>
    <w:uiPriority w:val="99"/>
    <w:unhideWhenUsed/>
    <w:rsid w:val="00485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F0A"/>
  </w:style>
  <w:style w:type="paragraph" w:styleId="Textodebalo">
    <w:name w:val="Balloon Text"/>
    <w:basedOn w:val="Normal"/>
    <w:link w:val="TextodebaloChar"/>
    <w:uiPriority w:val="99"/>
    <w:semiHidden/>
    <w:unhideWhenUsed/>
    <w:rsid w:val="00485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5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3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5A1"/>
    <w:pPr>
      <w:ind w:left="720"/>
      <w:contextualSpacing/>
    </w:pPr>
  </w:style>
  <w:style w:type="table" w:styleId="Tabelacomgrade">
    <w:name w:val="Table Grid"/>
    <w:basedOn w:val="Tabelanormal"/>
    <w:uiPriority w:val="59"/>
    <w:rsid w:val="00B00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A93E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9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A9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B195E7-1130-4187-AB4C-BE1C4B6C8028}"/>
</file>

<file path=customXml/itemProps2.xml><?xml version="1.0" encoding="utf-8"?>
<ds:datastoreItem xmlns:ds="http://schemas.openxmlformats.org/officeDocument/2006/customXml" ds:itemID="{29B1DA06-BB71-4B75-8870-B77754676669}"/>
</file>

<file path=customXml/itemProps3.xml><?xml version="1.0" encoding="utf-8"?>
<ds:datastoreItem xmlns:ds="http://schemas.openxmlformats.org/officeDocument/2006/customXml" ds:itemID="{8EF83F85-F6A4-4D0D-BAF4-A1E729B5AE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1478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11</cp:revision>
  <cp:lastPrinted>2016-08-22T17:45:00Z</cp:lastPrinted>
  <dcterms:created xsi:type="dcterms:W3CDTF">2015-12-30T19:34:00Z</dcterms:created>
  <dcterms:modified xsi:type="dcterms:W3CDTF">2016-08-22T17:45:00Z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