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CF" w:rsidRDefault="00C020BE" w:rsidP="00A31CD9">
      <w:pPr>
        <w:ind w:left="-284" w:right="-284"/>
        <w:jc w:val="center"/>
        <w:rPr>
          <w:rFonts w:eastAsia="Batang"/>
          <w:b/>
          <w:bCs/>
          <w:sz w:val="23"/>
          <w:szCs w:val="23"/>
        </w:rPr>
      </w:pPr>
      <w:r w:rsidRPr="00C020BE">
        <w:rPr>
          <w:rFonts w:eastAsia="Batang"/>
          <w:b/>
          <w:bCs/>
          <w:sz w:val="23"/>
          <w:szCs w:val="23"/>
        </w:rPr>
        <w:t>RESOLUÇÃO DE DIRETORIA COLEGIADA - RDC Nº 61, DE 19 DE MARÇO DE 2004</w:t>
      </w:r>
    </w:p>
    <w:p w:rsidR="00C901CE" w:rsidRPr="00C020BE" w:rsidRDefault="00C901CE" w:rsidP="00C350F8">
      <w:pPr>
        <w:ind w:firstLine="567"/>
        <w:jc w:val="center"/>
        <w:rPr>
          <w:rFonts w:eastAsia="Batang"/>
          <w:b/>
          <w:bCs/>
          <w:sz w:val="23"/>
          <w:szCs w:val="23"/>
        </w:rPr>
      </w:pPr>
    </w:p>
    <w:p w:rsidR="00C350F8" w:rsidRPr="00C350F8" w:rsidRDefault="00C350F8" w:rsidP="00C350F8">
      <w:pPr>
        <w:ind w:firstLine="567"/>
        <w:jc w:val="center"/>
        <w:rPr>
          <w:rFonts w:eastAsia="Batang"/>
          <w:b/>
          <w:bCs/>
          <w:color w:val="0000FF"/>
          <w:sz w:val="24"/>
          <w:szCs w:val="24"/>
        </w:rPr>
      </w:pPr>
      <w:r w:rsidRPr="00C350F8">
        <w:rPr>
          <w:rFonts w:eastAsia="Batang"/>
          <w:b/>
          <w:bCs/>
          <w:color w:val="0000FF"/>
          <w:sz w:val="24"/>
          <w:szCs w:val="24"/>
        </w:rPr>
        <w:t xml:space="preserve">(Publicada em </w:t>
      </w:r>
      <w:r w:rsidR="00C4266C">
        <w:rPr>
          <w:rFonts w:eastAsia="Batang"/>
          <w:b/>
          <w:bCs/>
          <w:color w:val="0000FF"/>
          <w:sz w:val="24"/>
          <w:szCs w:val="24"/>
        </w:rPr>
        <w:t xml:space="preserve">DOU nº 55, de </w:t>
      </w:r>
      <w:r w:rsidRPr="00C350F8">
        <w:rPr>
          <w:rFonts w:eastAsia="Batang"/>
          <w:b/>
          <w:bCs/>
          <w:color w:val="0000FF"/>
          <w:sz w:val="24"/>
          <w:szCs w:val="24"/>
        </w:rPr>
        <w:t>22 de março de 2004)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 w:rsidP="00A31CD9">
      <w:pPr>
        <w:ind w:left="4536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Dispõe sobre Autorização de Funcionamento de Empresa prestadora de serviço de comércio exterior por conta e ordem de terceiro detentor de registro junto a ANVISA.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 xml:space="preserve">A </w:t>
      </w:r>
      <w:r w:rsidRPr="00A31CD9">
        <w:rPr>
          <w:rFonts w:eastAsia="Batang"/>
          <w:b/>
          <w:sz w:val="24"/>
          <w:szCs w:val="24"/>
        </w:rPr>
        <w:t>Diretoria Colegiada da Agência Nacional de Vigilância Sanitária – ANVISA</w:t>
      </w:r>
      <w:r w:rsidRPr="00C350F8">
        <w:rPr>
          <w:rFonts w:eastAsia="Batang"/>
          <w:sz w:val="24"/>
          <w:szCs w:val="24"/>
        </w:rPr>
        <w:t xml:space="preserve"> - no uso das atribuições conferidas pelo art. 11, inciso IV, do Regulamento aprovado pelo Decreto n.º 3.029, de 16 de abril de 1999, c/c o art. 111, inciso I, alínea “b”, do Regimento Interno, aprovado pela Portaria do Diretor-Presidente n.º 593, de 25 de agosto de 2000, em reunião realizada em 17 de março de 2004,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considerando o disposto na Lei n.º 9.782, de 1999, em seu art. 6º e art. 7º, inciso III, e na Lei n.º 8.080, de 1990, em seu art. 16, inciso VII, e disposições da Lei n.º 6.360, de 1976, e seu Decreto regulamentador, n.º 79.094, de 1977,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considerando a necessidade de estabelecer diretrizes técnicas, uniformizar procedimentos e padronizar a documentação para fins de concessão de Autorização de Funcionamento de Empresas prestadoras de serviços de importação por conta e ordem de terceiro, detentor do registro,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adota a seguinte Resolução de Diretoria Colegiada, e eu, Diretor-Presidente, determino a sua publicação,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trike/>
          <w:sz w:val="24"/>
          <w:szCs w:val="24"/>
        </w:rPr>
      </w:pPr>
      <w:r w:rsidRPr="00C350F8">
        <w:rPr>
          <w:rFonts w:eastAsia="Batang"/>
          <w:strike/>
          <w:sz w:val="24"/>
          <w:szCs w:val="24"/>
        </w:rPr>
        <w:t>Art. 1º Aprovar o Regulamento Técnico, conforme Anexo I desta Resolução, para Autorização de Funcionamento de Empresas prestadoras de serviço importação por conta e ordem de terceiro, detentor de registro junto a ANVISA.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C350F8" w:rsidRDefault="00C350F8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 xml:space="preserve">Art. </w:t>
      </w:r>
      <w:r w:rsidRPr="00C350F8">
        <w:rPr>
          <w:sz w:val="24"/>
          <w:szCs w:val="24"/>
        </w:rPr>
        <w:t xml:space="preserve">1º </w:t>
      </w:r>
      <w:r w:rsidRPr="00C350F8">
        <w:rPr>
          <w:rFonts w:eastAsia="Batang"/>
          <w:sz w:val="24"/>
          <w:szCs w:val="24"/>
        </w:rPr>
        <w:t>Aprovar o Regulamento Técnico, conforme Anexo I desta Resolução, para Autorização de Funcionamento de Empresas prestadoras de serviço por conta e ordem de terceiro.</w:t>
      </w:r>
      <w:r>
        <w:rPr>
          <w:rFonts w:eastAsia="Batang"/>
          <w:sz w:val="24"/>
          <w:szCs w:val="24"/>
        </w:rPr>
        <w:t xml:space="preserve"> </w:t>
      </w:r>
      <w:r w:rsidRPr="00C350F8">
        <w:rPr>
          <w:rFonts w:eastAsia="Batang"/>
          <w:b/>
          <w:color w:val="0000FF"/>
          <w:sz w:val="24"/>
          <w:szCs w:val="24"/>
        </w:rPr>
        <w:t>(Redação dada pela Resolução – RDC nº 11, de 16 de fevereiro de 2007)</w:t>
      </w:r>
    </w:p>
    <w:p w:rsidR="00C350F8" w:rsidRDefault="00C350F8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Parágrafo único. Para fins de competência regimental da ANVISA, considera-se serviço de importação por conta e ordem de terceiro, detentor de registro junto a ANVISA, atividade relacionada à vigilância sanitária de portos, aeroportos, fronteiras e terminais alfandegados.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Art. 2º Aprovar os Modelos de Petição, de Comprovação Documental Exigida e de Certificado para fins da autorização de que trata esta Resolução, conforme Anexos a esta Resolução.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Art. 3º O descumprimento no disposto nesta Resolução configura infração de natureza sanitária, nos termos da Lei n.º 6.437, de 1977.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lastRenderedPageBreak/>
        <w:t>Art. 4º Esta Resolução entra em vigor 60 (sessenta) dias após a sua publicação.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pStyle w:val="Corpodetexto"/>
        <w:jc w:val="center"/>
        <w:rPr>
          <w:rFonts w:eastAsia="Batang"/>
          <w:color w:val="auto"/>
          <w:sz w:val="24"/>
          <w:szCs w:val="24"/>
        </w:rPr>
      </w:pPr>
      <w:r w:rsidRPr="00C350F8">
        <w:rPr>
          <w:rFonts w:eastAsia="Batang"/>
          <w:color w:val="auto"/>
          <w:sz w:val="24"/>
          <w:szCs w:val="24"/>
        </w:rPr>
        <w:t>CLAUDIO MAIEROVITCH PESSANHA HENRIQUES</w:t>
      </w:r>
    </w:p>
    <w:p w:rsidR="00DD4CCF" w:rsidRPr="00C350F8" w:rsidRDefault="00DD4CCF">
      <w:pPr>
        <w:ind w:firstLine="567"/>
        <w:jc w:val="center"/>
        <w:rPr>
          <w:rFonts w:eastAsia="Batang"/>
          <w:sz w:val="24"/>
          <w:szCs w:val="24"/>
        </w:rPr>
      </w:pP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6E0C45" w:rsidRDefault="00B41A76">
      <w:pPr>
        <w:jc w:val="center"/>
        <w:rPr>
          <w:rFonts w:eastAsia="Batang"/>
          <w:b/>
          <w:sz w:val="24"/>
          <w:szCs w:val="24"/>
        </w:rPr>
      </w:pPr>
      <w:r w:rsidRPr="006E0C45">
        <w:rPr>
          <w:rFonts w:eastAsia="Batang"/>
          <w:b/>
          <w:sz w:val="24"/>
          <w:szCs w:val="24"/>
        </w:rPr>
        <w:t>ANEXO I</w:t>
      </w:r>
    </w:p>
    <w:p w:rsidR="00DD4CCF" w:rsidRPr="006E0C45" w:rsidRDefault="00DD4CCF">
      <w:pPr>
        <w:jc w:val="center"/>
        <w:rPr>
          <w:rFonts w:eastAsia="Batang"/>
          <w:b/>
          <w:sz w:val="24"/>
          <w:szCs w:val="24"/>
        </w:rPr>
      </w:pPr>
    </w:p>
    <w:p w:rsidR="00DD4CCF" w:rsidRPr="006E0C45" w:rsidRDefault="00B41A76">
      <w:pPr>
        <w:jc w:val="center"/>
        <w:rPr>
          <w:rFonts w:eastAsia="Batang"/>
          <w:b/>
          <w:sz w:val="24"/>
          <w:szCs w:val="24"/>
        </w:rPr>
      </w:pPr>
      <w:r w:rsidRPr="006E0C45">
        <w:rPr>
          <w:rFonts w:eastAsia="Batang"/>
          <w:b/>
          <w:sz w:val="24"/>
          <w:szCs w:val="24"/>
        </w:rPr>
        <w:t>REGULAMENTO TÉCNICO PARA FINS DE AUTORIZAÇÃO DE FUNCIONAMENTO</w:t>
      </w:r>
      <w:r w:rsidR="006E5568">
        <w:rPr>
          <w:rFonts w:eastAsia="Batang"/>
          <w:b/>
          <w:sz w:val="24"/>
          <w:szCs w:val="24"/>
        </w:rPr>
        <w:t xml:space="preserve"> </w:t>
      </w:r>
      <w:r w:rsidRPr="006E0C45">
        <w:rPr>
          <w:rFonts w:eastAsia="Batang"/>
          <w:b/>
          <w:sz w:val="24"/>
          <w:szCs w:val="24"/>
        </w:rPr>
        <w:t>DE EMPRESAS PRESTADORAS DE SERVIÇOS DE COMÉRCIO EXTERIOR POR CONTA E ORDEM DE TERCEIRO DETENTOR DE REGISTRO DE PRODUTO JUNTO A ANVISA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BD085E" w:rsidRDefault="00B41A76">
      <w:pPr>
        <w:ind w:firstLine="567"/>
        <w:jc w:val="both"/>
        <w:rPr>
          <w:rFonts w:eastAsia="Batang"/>
          <w:strike/>
          <w:sz w:val="24"/>
          <w:szCs w:val="24"/>
        </w:rPr>
      </w:pPr>
      <w:r w:rsidRPr="00BD085E">
        <w:rPr>
          <w:rFonts w:eastAsia="Batang"/>
          <w:strike/>
          <w:sz w:val="24"/>
          <w:szCs w:val="24"/>
        </w:rPr>
        <w:t>Art. 1º Os serviços de importação de bens e produtos sujeitos a vigilância sanitária por conta e ordem de terceiro, detentor do registro junto a ANVISA, dependem de Autorização de Funcionamento de Empresa, à vista da respectiva atividade, da natureza e espécie de bens e produtos, e da comprovação da capacidade técnica e operacional.</w:t>
      </w:r>
    </w:p>
    <w:p w:rsidR="00BD085E" w:rsidRPr="00BD085E" w:rsidRDefault="00BD085E" w:rsidP="00BD085E">
      <w:pPr>
        <w:pStyle w:val="Recuodecorpodetexto2"/>
        <w:spacing w:before="100" w:beforeAutospacing="1" w:after="100" w:afterAutospacing="1"/>
        <w:rPr>
          <w:rFonts w:eastAsia="Batang"/>
          <w:b w:val="0"/>
          <w:bCs w:val="0"/>
          <w:sz w:val="24"/>
          <w:szCs w:val="24"/>
        </w:rPr>
      </w:pPr>
      <w:r w:rsidRPr="00BD085E">
        <w:rPr>
          <w:rFonts w:eastAsia="Batang"/>
          <w:b w:val="0"/>
          <w:bCs w:val="0"/>
          <w:sz w:val="24"/>
          <w:szCs w:val="24"/>
        </w:rPr>
        <w:t>Art. 1º os serviços de importação de bens e produtos sujeitos a vigilância sanitária por conta e ordem de terceiro dependem de Autorização de Funcionamento de Empresa à vista da respectiva atividade, da natureza e espécie de bens e produtos, e da comprovação da capacidade técnica operacional.</w:t>
      </w:r>
      <w:r>
        <w:rPr>
          <w:rFonts w:eastAsia="Batang"/>
          <w:b w:val="0"/>
          <w:bCs w:val="0"/>
          <w:sz w:val="24"/>
          <w:szCs w:val="24"/>
        </w:rPr>
        <w:t xml:space="preserve"> </w:t>
      </w:r>
      <w:r w:rsidRPr="00614D64">
        <w:rPr>
          <w:rFonts w:eastAsia="Batang"/>
          <w:color w:val="0000FF"/>
          <w:sz w:val="24"/>
          <w:szCs w:val="24"/>
        </w:rPr>
        <w:t>(Redação dada pela Resolução – RDC nº 11, de 16 de fevereiro de 2007</w:t>
      </w:r>
      <w:proofErr w:type="gramStart"/>
      <w:r w:rsidRPr="00614D64">
        <w:rPr>
          <w:rFonts w:eastAsia="Batang"/>
          <w:color w:val="0000FF"/>
          <w:sz w:val="24"/>
          <w:szCs w:val="24"/>
        </w:rPr>
        <w:t>)</w:t>
      </w:r>
      <w:proofErr w:type="gramEnd"/>
    </w:p>
    <w:p w:rsidR="00DD4CCF" w:rsidRPr="0003472C" w:rsidRDefault="00B41A76">
      <w:pPr>
        <w:ind w:firstLine="567"/>
        <w:jc w:val="both"/>
        <w:rPr>
          <w:rFonts w:eastAsia="Batang"/>
          <w:strike/>
          <w:sz w:val="24"/>
          <w:szCs w:val="24"/>
        </w:rPr>
      </w:pPr>
      <w:r w:rsidRPr="0003472C">
        <w:rPr>
          <w:rFonts w:eastAsia="Batang"/>
          <w:strike/>
          <w:sz w:val="24"/>
          <w:szCs w:val="24"/>
        </w:rPr>
        <w:t xml:space="preserve">§ 1º Consideram-se serviços de importação por conta e ordem de terceiro aqueles prestados por pessoa jurídica que promova, em seu nome, o despacho aduaneiro de mera importação de bem e produto sujeito à vigilância sanitária, adquirida no exterior, em razão de contrato previamente firmado com terceiro, empresa autorizada junto a ANVISA, detentora do registro do respectivo produto. 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03472C" w:rsidRPr="00B41A76" w:rsidRDefault="0003472C">
      <w:pPr>
        <w:ind w:firstLine="567"/>
        <w:jc w:val="both"/>
        <w:rPr>
          <w:rFonts w:eastAsia="Batang"/>
          <w:b/>
          <w:strike/>
          <w:color w:val="0000FF"/>
          <w:sz w:val="24"/>
          <w:szCs w:val="24"/>
        </w:rPr>
      </w:pPr>
      <w:r w:rsidRPr="00B41A76">
        <w:rPr>
          <w:rFonts w:eastAsia="Batang"/>
          <w:strike/>
          <w:sz w:val="24"/>
          <w:szCs w:val="24"/>
        </w:rPr>
        <w:t>§ 1º Consideram-se serviços de importação por conta e ordem de terceiro aqueles prestados por pessoa jurídica que promova, em seu nome, o despacho aduaneiro de mera importação de bem e produto sujeito à vigilância sanitária, adquirida no exterior, em razão de contrato previamente firmado com terceiro, empresa autorizada pela ANVISA, detentora do registro, notificante do produto, ou importadora de matéria-prima com emprego na indústria farmacêutica.</w:t>
      </w:r>
      <w:r w:rsidRPr="00B41A76">
        <w:rPr>
          <w:rFonts w:eastAsia="Batang"/>
          <w:b/>
          <w:strike/>
          <w:color w:val="0000FF"/>
          <w:sz w:val="24"/>
          <w:szCs w:val="24"/>
        </w:rPr>
        <w:t xml:space="preserve"> (Redação dada pela Resolução – RDC nº 11, de 16 de fevereiro de 2007</w:t>
      </w:r>
      <w:proofErr w:type="gramStart"/>
      <w:r w:rsidRPr="00B41A76">
        <w:rPr>
          <w:rFonts w:eastAsia="Batang"/>
          <w:b/>
          <w:strike/>
          <w:color w:val="0000FF"/>
          <w:sz w:val="24"/>
          <w:szCs w:val="24"/>
        </w:rPr>
        <w:t>)</w:t>
      </w:r>
      <w:proofErr w:type="gramEnd"/>
    </w:p>
    <w:p w:rsidR="00B41A76" w:rsidRDefault="00B41A76">
      <w:pPr>
        <w:ind w:firstLine="567"/>
        <w:jc w:val="both"/>
        <w:rPr>
          <w:rFonts w:eastAsia="Batang"/>
          <w:sz w:val="24"/>
          <w:szCs w:val="24"/>
        </w:rPr>
      </w:pPr>
    </w:p>
    <w:p w:rsidR="00B41A76" w:rsidRPr="00B41A76" w:rsidRDefault="00B41A76" w:rsidP="00B41A76">
      <w:pPr>
        <w:ind w:firstLine="567"/>
        <w:jc w:val="both"/>
        <w:rPr>
          <w:rFonts w:eastAsia="Batang"/>
          <w:b/>
          <w:strike/>
          <w:color w:val="0000FF"/>
          <w:sz w:val="24"/>
          <w:szCs w:val="24"/>
        </w:rPr>
      </w:pPr>
      <w:r w:rsidRPr="00B41A76">
        <w:rPr>
          <w:rFonts w:eastAsia="Batang"/>
          <w:sz w:val="24"/>
          <w:szCs w:val="24"/>
        </w:rPr>
        <w:t xml:space="preserve">§ 1º </w:t>
      </w:r>
      <w:r w:rsidRPr="00B41A76">
        <w:rPr>
          <w:sz w:val="24"/>
          <w:szCs w:val="24"/>
        </w:rPr>
        <w:t>Consideram-se serviços de importação procedida por intermediação predeterminada àqueles prestados por pessoa jurídica que promova despacho aduaneiro de mera importação de bem e produto sujeito à vigilância sanitária, adquirida no exterior, em razão de contrato firmado com terceiro, empresa autorizada/licenciada junto ao Sistema Nacional de Vigilância Sanitária - SNVS, detentora da regularização do produto perante o órgão de vigilância sanitária pertinente</w:t>
      </w:r>
      <w:r>
        <w:rPr>
          <w:sz w:val="24"/>
          <w:szCs w:val="24"/>
        </w:rPr>
        <w:t xml:space="preserve">. </w:t>
      </w:r>
      <w:r w:rsidRPr="00B41A76">
        <w:rPr>
          <w:rFonts w:eastAsia="Batang"/>
          <w:b/>
          <w:color w:val="0000FF"/>
          <w:sz w:val="24"/>
          <w:szCs w:val="24"/>
        </w:rPr>
        <w:t xml:space="preserve">(Redação dada pela Resolução – RDC </w:t>
      </w:r>
      <w:r>
        <w:rPr>
          <w:rFonts w:eastAsia="Batang"/>
          <w:b/>
          <w:color w:val="0000FF"/>
          <w:sz w:val="24"/>
          <w:szCs w:val="24"/>
        </w:rPr>
        <w:t>nº 81, de 05 de novembro de 2008</w:t>
      </w:r>
      <w:r w:rsidRPr="00B41A76">
        <w:rPr>
          <w:rFonts w:eastAsia="Batang"/>
          <w:b/>
          <w:color w:val="0000FF"/>
          <w:sz w:val="24"/>
          <w:szCs w:val="24"/>
        </w:rPr>
        <w:t>)</w:t>
      </w:r>
    </w:p>
    <w:p w:rsidR="00BF3326" w:rsidRPr="00B41A76" w:rsidRDefault="00BF3326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BF3326" w:rsidRDefault="00B41A76">
      <w:pPr>
        <w:ind w:firstLine="567"/>
        <w:jc w:val="both"/>
        <w:rPr>
          <w:rFonts w:eastAsia="Batang"/>
          <w:strike/>
          <w:sz w:val="24"/>
          <w:szCs w:val="24"/>
        </w:rPr>
      </w:pPr>
      <w:r w:rsidRPr="00BF3326">
        <w:rPr>
          <w:rFonts w:eastAsia="Batang"/>
          <w:strike/>
          <w:sz w:val="24"/>
          <w:szCs w:val="24"/>
        </w:rPr>
        <w:lastRenderedPageBreak/>
        <w:t xml:space="preserve">§ 2º Cabe </w:t>
      </w:r>
      <w:proofErr w:type="gramStart"/>
      <w:r w:rsidRPr="00BF3326">
        <w:rPr>
          <w:rFonts w:eastAsia="Batang"/>
          <w:strike/>
          <w:sz w:val="24"/>
          <w:szCs w:val="24"/>
        </w:rPr>
        <w:t>a</w:t>
      </w:r>
      <w:proofErr w:type="gramEnd"/>
      <w:r w:rsidRPr="00BF3326">
        <w:rPr>
          <w:rFonts w:eastAsia="Batang"/>
          <w:strike/>
          <w:sz w:val="24"/>
          <w:szCs w:val="24"/>
        </w:rPr>
        <w:t xml:space="preserve"> empresa autorizada junto a ANVISA, detentora do registro do respectivo produto, tendo em vista a necessidade de controle e qualidade desses serviços até a disponibilização no mercado, a adoção de medidas idôneas, próprias e junto a terceiro contratado, que evitem ou impeçam prejuízo à saúde.</w:t>
      </w:r>
    </w:p>
    <w:p w:rsidR="00DD4CCF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BF3326" w:rsidRDefault="00BF3326" w:rsidP="00BF3326">
      <w:pPr>
        <w:ind w:firstLine="567"/>
        <w:jc w:val="both"/>
        <w:rPr>
          <w:rFonts w:eastAsia="Batang"/>
          <w:b/>
          <w:color w:val="0000FF"/>
          <w:sz w:val="24"/>
          <w:szCs w:val="24"/>
        </w:rPr>
      </w:pPr>
      <w:r>
        <w:rPr>
          <w:rFonts w:eastAsia="Batang"/>
          <w:sz w:val="24"/>
          <w:szCs w:val="24"/>
        </w:rPr>
        <w:t xml:space="preserve">§ </w:t>
      </w:r>
      <w:r w:rsidRPr="00BF3326">
        <w:rPr>
          <w:rFonts w:eastAsia="Batang"/>
          <w:sz w:val="24"/>
          <w:szCs w:val="24"/>
        </w:rPr>
        <w:t xml:space="preserve">2º Cabe </w:t>
      </w:r>
      <w:proofErr w:type="gramStart"/>
      <w:r w:rsidRPr="00BF3326">
        <w:rPr>
          <w:rFonts w:eastAsia="Batang"/>
          <w:sz w:val="24"/>
          <w:szCs w:val="24"/>
        </w:rPr>
        <w:t>as</w:t>
      </w:r>
      <w:proofErr w:type="gramEnd"/>
      <w:r w:rsidRPr="00BF3326">
        <w:rPr>
          <w:rFonts w:eastAsia="Batang"/>
          <w:sz w:val="24"/>
          <w:szCs w:val="24"/>
        </w:rPr>
        <w:t xml:space="preserve"> empresas autorizadas de que trata o parágrafo anterior, tendo em vista a necessidade de cumprimento das Boas Práticas de todas as atividades relacionadas à importação de mercadorias até a disponibilização no mercado, a adoção de medidas idôneas, próprias e junto a terceiro contratado, que evitem ou impeçam prejuízo à saúde, em especial as seguintes atividades:</w:t>
      </w:r>
      <w:r w:rsidRPr="00BF3326">
        <w:rPr>
          <w:rFonts w:eastAsia="Batang"/>
          <w:b/>
          <w:color w:val="0000FF"/>
          <w:sz w:val="24"/>
          <w:szCs w:val="24"/>
        </w:rPr>
        <w:t xml:space="preserve"> </w:t>
      </w:r>
      <w:r w:rsidRPr="00C350F8">
        <w:rPr>
          <w:rFonts w:eastAsia="Batang"/>
          <w:b/>
          <w:color w:val="0000FF"/>
          <w:sz w:val="24"/>
          <w:szCs w:val="24"/>
        </w:rPr>
        <w:t>(Redação dada pela Resolução – RDC nº 11, de 16 de fevereiro de 2007)</w:t>
      </w:r>
    </w:p>
    <w:p w:rsidR="00F62133" w:rsidRPr="00BF3326" w:rsidRDefault="00F62133" w:rsidP="00BF3326">
      <w:pPr>
        <w:ind w:firstLine="567"/>
        <w:jc w:val="both"/>
        <w:rPr>
          <w:rFonts w:eastAsia="Batang"/>
          <w:sz w:val="24"/>
          <w:szCs w:val="24"/>
        </w:rPr>
      </w:pPr>
    </w:p>
    <w:p w:rsidR="006955A6" w:rsidRDefault="00BF3326" w:rsidP="006955A6">
      <w:pPr>
        <w:ind w:firstLine="567"/>
        <w:jc w:val="both"/>
        <w:rPr>
          <w:rFonts w:eastAsia="Batang"/>
          <w:b/>
          <w:color w:val="0000FF"/>
          <w:sz w:val="24"/>
          <w:szCs w:val="24"/>
        </w:rPr>
      </w:pPr>
      <w:r w:rsidRPr="00BF3326">
        <w:rPr>
          <w:rFonts w:eastAsia="Batang"/>
          <w:sz w:val="24"/>
          <w:szCs w:val="24"/>
        </w:rPr>
        <w:t>I – transporte;</w:t>
      </w:r>
      <w:r w:rsidR="006955A6">
        <w:rPr>
          <w:rFonts w:eastAsia="Batang"/>
          <w:sz w:val="24"/>
          <w:szCs w:val="24"/>
        </w:rPr>
        <w:t xml:space="preserve"> </w:t>
      </w:r>
      <w:r w:rsidR="006955A6" w:rsidRPr="00C350F8">
        <w:rPr>
          <w:rFonts w:eastAsia="Batang"/>
          <w:b/>
          <w:color w:val="0000FF"/>
          <w:sz w:val="24"/>
          <w:szCs w:val="24"/>
        </w:rPr>
        <w:t>(Redação dada pela Resolução – RDC nº 11, de 16 de fevereiro de 2007)</w:t>
      </w:r>
    </w:p>
    <w:p w:rsidR="00BF3326" w:rsidRDefault="00BF3326" w:rsidP="00BF3326">
      <w:pPr>
        <w:ind w:firstLine="567"/>
        <w:jc w:val="both"/>
        <w:rPr>
          <w:rFonts w:eastAsia="Batang"/>
          <w:sz w:val="24"/>
          <w:szCs w:val="24"/>
        </w:rPr>
      </w:pPr>
    </w:p>
    <w:p w:rsidR="006955A6" w:rsidRDefault="00BF3326" w:rsidP="006955A6">
      <w:pPr>
        <w:ind w:firstLine="567"/>
        <w:jc w:val="both"/>
        <w:rPr>
          <w:rFonts w:eastAsia="Batang"/>
          <w:b/>
          <w:color w:val="0000FF"/>
          <w:sz w:val="24"/>
          <w:szCs w:val="24"/>
        </w:rPr>
      </w:pPr>
      <w:r w:rsidRPr="00BF3326">
        <w:rPr>
          <w:rFonts w:eastAsia="Batang"/>
          <w:sz w:val="24"/>
          <w:szCs w:val="24"/>
        </w:rPr>
        <w:t>II – armazenagem;</w:t>
      </w:r>
      <w:r w:rsidR="006955A6">
        <w:rPr>
          <w:rFonts w:eastAsia="Batang"/>
          <w:sz w:val="24"/>
          <w:szCs w:val="24"/>
        </w:rPr>
        <w:t xml:space="preserve"> </w:t>
      </w:r>
      <w:r w:rsidR="006955A6" w:rsidRPr="00C350F8">
        <w:rPr>
          <w:rFonts w:eastAsia="Batang"/>
          <w:b/>
          <w:color w:val="0000FF"/>
          <w:sz w:val="24"/>
          <w:szCs w:val="24"/>
        </w:rPr>
        <w:t>(Redação dada pela Resolução – RDC nº 11, de 16 de fevereiro de 2007)</w:t>
      </w:r>
    </w:p>
    <w:p w:rsidR="00BF3326" w:rsidRPr="00BF3326" w:rsidRDefault="00BF3326" w:rsidP="00BF3326">
      <w:pPr>
        <w:ind w:firstLine="567"/>
        <w:jc w:val="both"/>
        <w:rPr>
          <w:rFonts w:eastAsia="Batang"/>
          <w:sz w:val="24"/>
          <w:szCs w:val="24"/>
        </w:rPr>
      </w:pPr>
    </w:p>
    <w:p w:rsidR="00BF3326" w:rsidRPr="00BF3326" w:rsidRDefault="00BF3326" w:rsidP="00BF3326">
      <w:pPr>
        <w:ind w:firstLine="567"/>
        <w:jc w:val="both"/>
        <w:rPr>
          <w:rFonts w:eastAsia="Batang"/>
          <w:sz w:val="24"/>
          <w:szCs w:val="24"/>
        </w:rPr>
      </w:pPr>
      <w:r w:rsidRPr="00BF3326">
        <w:rPr>
          <w:rFonts w:eastAsia="Batang"/>
          <w:sz w:val="24"/>
          <w:szCs w:val="24"/>
        </w:rPr>
        <w:t>III – embarque, desem</w:t>
      </w:r>
      <w:r>
        <w:rPr>
          <w:rFonts w:eastAsia="Batang"/>
          <w:sz w:val="24"/>
          <w:szCs w:val="24"/>
        </w:rPr>
        <w:t>barque e movimentação de pátio.</w:t>
      </w:r>
      <w:r w:rsidRPr="00BF3326">
        <w:rPr>
          <w:rFonts w:eastAsia="Batang"/>
          <w:b/>
          <w:color w:val="0000FF"/>
          <w:sz w:val="24"/>
          <w:szCs w:val="24"/>
        </w:rPr>
        <w:t xml:space="preserve"> </w:t>
      </w:r>
      <w:r w:rsidRPr="00C350F8">
        <w:rPr>
          <w:rFonts w:eastAsia="Batang"/>
          <w:b/>
          <w:color w:val="0000FF"/>
          <w:sz w:val="24"/>
          <w:szCs w:val="24"/>
        </w:rPr>
        <w:t>(Redação dada pela Resolução – RDC nº 11, de 16 de fevereiro de 2007</w:t>
      </w:r>
      <w:proofErr w:type="gramStart"/>
      <w:r w:rsidRPr="00C350F8">
        <w:rPr>
          <w:rFonts w:eastAsia="Batang"/>
          <w:b/>
          <w:color w:val="0000FF"/>
          <w:sz w:val="24"/>
          <w:szCs w:val="24"/>
        </w:rPr>
        <w:t>)</w:t>
      </w:r>
      <w:proofErr w:type="gramEnd"/>
    </w:p>
    <w:p w:rsidR="00BF3326" w:rsidRPr="00C350F8" w:rsidRDefault="00BF3326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Art. 2º A empresa prestadora de serviços por conta e ordem de terceiro de bens e produtos sujeitos à vigilância sanitária terá uma única Autorização de Funcionamento, válida em todo o território nacional.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§ 1º A unidade filial da empresa detentora da Autorização de Funcionamento deve submeter-se a cadastro junto à Coordenação de Vigilância Sanitária de Portos, Aeroportos e Fronteiras do respectivo Estado ou Distrito Federal onde preste serviço ou da sua localidade.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 xml:space="preserve">§ 2º </w:t>
      </w:r>
      <w:r w:rsidRPr="009F045D">
        <w:rPr>
          <w:rFonts w:eastAsia="Batang"/>
          <w:strike/>
          <w:sz w:val="24"/>
          <w:szCs w:val="24"/>
        </w:rPr>
        <w:t xml:space="preserve">Considera-se válida a Autorização de Funcionamento de Empresa pelo prazo de </w:t>
      </w:r>
      <w:proofErr w:type="gramStart"/>
      <w:r w:rsidRPr="009F045D">
        <w:rPr>
          <w:rFonts w:eastAsia="Batang"/>
          <w:strike/>
          <w:sz w:val="24"/>
          <w:szCs w:val="24"/>
        </w:rPr>
        <w:t>1</w:t>
      </w:r>
      <w:proofErr w:type="gramEnd"/>
      <w:r w:rsidRPr="009F045D">
        <w:rPr>
          <w:rFonts w:eastAsia="Batang"/>
          <w:strike/>
          <w:sz w:val="24"/>
          <w:szCs w:val="24"/>
        </w:rPr>
        <w:t xml:space="preserve"> (hum) ano, aquela relacionada com atividade de importar, por conta e ordem, produtos acabados pertencentes a classe de medicamentos, podendo ser solicitada sua renovação por sucessivos e iguais períodos.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9F045D" w:rsidRPr="00BF3326" w:rsidRDefault="009F045D" w:rsidP="009F045D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 xml:space="preserve">§ 2º </w:t>
      </w:r>
      <w:r w:rsidRPr="009F045D">
        <w:rPr>
          <w:rFonts w:eastAsia="Batang"/>
          <w:sz w:val="24"/>
          <w:szCs w:val="24"/>
        </w:rPr>
        <w:t xml:space="preserve">Considera-se válida a Autorização de Funcionamento de Empresa pelo prazo de </w:t>
      </w:r>
      <w:proofErr w:type="gramStart"/>
      <w:r w:rsidRPr="009F045D">
        <w:rPr>
          <w:rFonts w:eastAsia="Batang"/>
          <w:sz w:val="24"/>
          <w:szCs w:val="24"/>
        </w:rPr>
        <w:t>1</w:t>
      </w:r>
      <w:proofErr w:type="gramEnd"/>
      <w:r w:rsidRPr="009F045D">
        <w:rPr>
          <w:rFonts w:eastAsia="Batang"/>
          <w:sz w:val="24"/>
          <w:szCs w:val="24"/>
        </w:rPr>
        <w:t xml:space="preserve"> (hum) ano, aquela relacionada com atividade de importar, por conta e ordem, de medicamentos e matérias-primas com emprego na indústria farmacêutica, podendo ser solicitada sua renovação por sucessivos e iguais períodos.</w:t>
      </w:r>
      <w:r>
        <w:rPr>
          <w:rFonts w:eastAsia="Batang"/>
          <w:sz w:val="24"/>
          <w:szCs w:val="24"/>
        </w:rPr>
        <w:t xml:space="preserve"> </w:t>
      </w:r>
      <w:r w:rsidRPr="00C350F8">
        <w:rPr>
          <w:rFonts w:eastAsia="Batang"/>
          <w:b/>
          <w:color w:val="0000FF"/>
          <w:sz w:val="24"/>
          <w:szCs w:val="24"/>
        </w:rPr>
        <w:t>(Redação dada pela Resolução – RDC nº 11, de 16 de fevereiro de 2007)</w:t>
      </w:r>
    </w:p>
    <w:p w:rsidR="009F045D" w:rsidRPr="009F045D" w:rsidRDefault="009F045D" w:rsidP="009F045D">
      <w:pPr>
        <w:ind w:firstLine="567"/>
        <w:jc w:val="both"/>
        <w:rPr>
          <w:rFonts w:eastAsia="Batang"/>
          <w:sz w:val="24"/>
          <w:szCs w:val="24"/>
        </w:rPr>
      </w:pPr>
    </w:p>
    <w:p w:rsidR="009F045D" w:rsidRPr="00BF3326" w:rsidRDefault="009F045D" w:rsidP="009F045D">
      <w:pPr>
        <w:ind w:firstLine="567"/>
        <w:jc w:val="both"/>
        <w:rPr>
          <w:rFonts w:eastAsia="Batang"/>
          <w:sz w:val="24"/>
          <w:szCs w:val="24"/>
        </w:rPr>
      </w:pPr>
      <w:r w:rsidRPr="009F045D">
        <w:rPr>
          <w:rFonts w:eastAsia="Batang"/>
          <w:sz w:val="24"/>
          <w:szCs w:val="24"/>
        </w:rPr>
        <w:t>§ 3º Computa-se o prazo de que trata o parágrafo anterior a contar da data de publicação de petição refe</w:t>
      </w:r>
      <w:r>
        <w:rPr>
          <w:rFonts w:eastAsia="Batang"/>
          <w:sz w:val="24"/>
          <w:szCs w:val="24"/>
        </w:rPr>
        <w:t xml:space="preserve">rente à classe de medicamentos. </w:t>
      </w:r>
      <w:r w:rsidRPr="00C350F8">
        <w:rPr>
          <w:rFonts w:eastAsia="Batang"/>
          <w:b/>
          <w:color w:val="0000FF"/>
          <w:sz w:val="24"/>
          <w:szCs w:val="24"/>
        </w:rPr>
        <w:t>(</w:t>
      </w:r>
      <w:r>
        <w:rPr>
          <w:rFonts w:eastAsia="Batang"/>
          <w:b/>
          <w:color w:val="0000FF"/>
          <w:sz w:val="24"/>
          <w:szCs w:val="24"/>
        </w:rPr>
        <w:t>Incluído</w:t>
      </w:r>
      <w:r w:rsidRPr="00C350F8">
        <w:rPr>
          <w:rFonts w:eastAsia="Batang"/>
          <w:b/>
          <w:color w:val="0000FF"/>
          <w:sz w:val="24"/>
          <w:szCs w:val="24"/>
        </w:rPr>
        <w:t xml:space="preserve"> pela Resolução – RDC nº 11, de 16 de fevereiro de 2007)</w:t>
      </w:r>
    </w:p>
    <w:p w:rsidR="009F045D" w:rsidRDefault="009F045D">
      <w:pPr>
        <w:ind w:firstLine="567"/>
        <w:jc w:val="both"/>
        <w:rPr>
          <w:rFonts w:eastAsia="Batang"/>
          <w:sz w:val="24"/>
          <w:szCs w:val="24"/>
        </w:rPr>
      </w:pPr>
    </w:p>
    <w:p w:rsidR="00DD4CCF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Art. 3º A solicitação de Autorização de Funcionamento, bem como de renovação, alteração e cancelamento, devem ser elaboradas conforme modelos de petição eletrônica ou não, regulamentados pela ANVISA.</w:t>
      </w:r>
    </w:p>
    <w:p w:rsidR="00AC101C" w:rsidRPr="00C350F8" w:rsidRDefault="00AC101C">
      <w:pPr>
        <w:ind w:firstLine="567"/>
        <w:jc w:val="both"/>
        <w:rPr>
          <w:rFonts w:eastAsia="Batang"/>
          <w:sz w:val="24"/>
          <w:szCs w:val="24"/>
        </w:rPr>
      </w:pPr>
    </w:p>
    <w:p w:rsidR="00AC101C" w:rsidRPr="00BF3326" w:rsidRDefault="00AC101C" w:rsidP="00AC101C">
      <w:pPr>
        <w:ind w:firstLine="567"/>
        <w:jc w:val="both"/>
        <w:rPr>
          <w:rFonts w:eastAsia="Batang"/>
          <w:sz w:val="24"/>
          <w:szCs w:val="24"/>
        </w:rPr>
      </w:pPr>
      <w:r w:rsidRPr="00AC101C">
        <w:rPr>
          <w:rFonts w:eastAsia="Batang"/>
          <w:sz w:val="24"/>
          <w:szCs w:val="24"/>
        </w:rPr>
        <w:t xml:space="preserve">§ 1º A solicitação de renovação deve ser protocolada com antecedência mínima de </w:t>
      </w:r>
      <w:proofErr w:type="gramStart"/>
      <w:r w:rsidRPr="00AC101C">
        <w:rPr>
          <w:rFonts w:eastAsia="Batang"/>
          <w:sz w:val="24"/>
          <w:szCs w:val="24"/>
        </w:rPr>
        <w:t>3</w:t>
      </w:r>
      <w:proofErr w:type="gramEnd"/>
      <w:r w:rsidRPr="00AC101C">
        <w:rPr>
          <w:rFonts w:eastAsia="Batang"/>
          <w:sz w:val="24"/>
          <w:szCs w:val="24"/>
        </w:rPr>
        <w:t xml:space="preserve"> (três) meses da data de expiração do prazo de validade da Autorização de Funcionamento de Empresa.</w:t>
      </w:r>
      <w:r>
        <w:rPr>
          <w:rFonts w:eastAsia="Batang"/>
          <w:sz w:val="24"/>
          <w:szCs w:val="24"/>
        </w:rPr>
        <w:t xml:space="preserve"> </w:t>
      </w:r>
      <w:r w:rsidRPr="00C350F8">
        <w:rPr>
          <w:rFonts w:eastAsia="Batang"/>
          <w:b/>
          <w:color w:val="0000FF"/>
          <w:sz w:val="24"/>
          <w:szCs w:val="24"/>
        </w:rPr>
        <w:t>(</w:t>
      </w:r>
      <w:r>
        <w:rPr>
          <w:rFonts w:eastAsia="Batang"/>
          <w:b/>
          <w:color w:val="0000FF"/>
          <w:sz w:val="24"/>
          <w:szCs w:val="24"/>
        </w:rPr>
        <w:t>Incluído</w:t>
      </w:r>
      <w:r w:rsidRPr="00C350F8">
        <w:rPr>
          <w:rFonts w:eastAsia="Batang"/>
          <w:b/>
          <w:color w:val="0000FF"/>
          <w:sz w:val="24"/>
          <w:szCs w:val="24"/>
        </w:rPr>
        <w:t xml:space="preserve"> pela Resolução – RDC nº 11, de 16 de fevereiro de 2007)</w:t>
      </w:r>
    </w:p>
    <w:p w:rsidR="00AC101C" w:rsidRPr="00AC101C" w:rsidRDefault="00AC101C" w:rsidP="00AC101C">
      <w:pPr>
        <w:ind w:firstLine="567"/>
        <w:jc w:val="both"/>
        <w:rPr>
          <w:rFonts w:eastAsia="Batang"/>
          <w:sz w:val="24"/>
          <w:szCs w:val="24"/>
        </w:rPr>
      </w:pPr>
    </w:p>
    <w:p w:rsidR="00AC101C" w:rsidRPr="00BF3326" w:rsidRDefault="00AC101C" w:rsidP="00AC101C">
      <w:pPr>
        <w:ind w:firstLine="567"/>
        <w:jc w:val="both"/>
        <w:rPr>
          <w:rFonts w:eastAsia="Batang"/>
          <w:sz w:val="24"/>
          <w:szCs w:val="24"/>
        </w:rPr>
      </w:pPr>
      <w:r w:rsidRPr="00AC101C">
        <w:rPr>
          <w:rFonts w:eastAsia="Batang"/>
          <w:sz w:val="24"/>
          <w:szCs w:val="24"/>
        </w:rPr>
        <w:t>§ 2º A solicitação de renovação protocolada fora do prazo previsto no parágrafo anterior implicará a declaração de caducidade da Autorização de Funcionamento de Empresa quando da sua expiração.</w:t>
      </w:r>
      <w:r>
        <w:rPr>
          <w:rFonts w:eastAsia="Batang"/>
          <w:sz w:val="24"/>
          <w:szCs w:val="24"/>
        </w:rPr>
        <w:t xml:space="preserve"> </w:t>
      </w:r>
      <w:r w:rsidRPr="00C350F8">
        <w:rPr>
          <w:rFonts w:eastAsia="Batang"/>
          <w:b/>
          <w:color w:val="0000FF"/>
          <w:sz w:val="24"/>
          <w:szCs w:val="24"/>
        </w:rPr>
        <w:t>(</w:t>
      </w:r>
      <w:r>
        <w:rPr>
          <w:rFonts w:eastAsia="Batang"/>
          <w:b/>
          <w:color w:val="0000FF"/>
          <w:sz w:val="24"/>
          <w:szCs w:val="24"/>
        </w:rPr>
        <w:t>Incluído</w:t>
      </w:r>
      <w:r w:rsidRPr="00C350F8">
        <w:rPr>
          <w:rFonts w:eastAsia="Batang"/>
          <w:b/>
          <w:color w:val="0000FF"/>
          <w:sz w:val="24"/>
          <w:szCs w:val="24"/>
        </w:rPr>
        <w:t xml:space="preserve"> pela Resolução – RDC nº 11, de 16 de fevereiro de 2007)</w:t>
      </w:r>
    </w:p>
    <w:p w:rsidR="00DD4CCF" w:rsidRPr="00C350F8" w:rsidRDefault="00DD4CCF" w:rsidP="00AC101C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 xml:space="preserve">Art. 4º A solicitação de Autorização de Funcionamento deve ser subscrita pelo responsável legal da empresa e instruída com a documentação enumerada no Anexo desta Resolução, o que não exime a empresa de acostar outros documentos que a ANVISA entender necessário por meio de exigência administrativa. 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§ 1º As exigências documentais de que trata este artigo aplicam-se à solicitação de concessão, renovação e alteração da Autorização de Funcionamento.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§ 2º Os documentos de que tratam este artigo devem ser igualmente protocolados junto à Coordenação de Vigilância Sanitária de Portos, Aeroportos e Fronteiras do respectivo Estado ou Distrito Federal onde a filial da empresa preste serviço ou da sua localidade para seu cadastro.</w:t>
      </w:r>
    </w:p>
    <w:p w:rsidR="005B14E5" w:rsidRDefault="005B14E5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bookmarkStart w:id="0" w:name="_GoBack"/>
      <w:bookmarkEnd w:id="0"/>
      <w:r w:rsidRPr="00C350F8">
        <w:rPr>
          <w:rFonts w:eastAsia="Batang"/>
          <w:sz w:val="24"/>
          <w:szCs w:val="24"/>
        </w:rPr>
        <w:t xml:space="preserve">Art. 5º É obrigatória </w:t>
      </w:r>
      <w:proofErr w:type="gramStart"/>
      <w:r w:rsidRPr="00C350F8">
        <w:rPr>
          <w:rFonts w:eastAsia="Batang"/>
          <w:sz w:val="24"/>
          <w:szCs w:val="24"/>
        </w:rPr>
        <w:t>a</w:t>
      </w:r>
      <w:proofErr w:type="gramEnd"/>
      <w:r w:rsidRPr="00C350F8">
        <w:rPr>
          <w:rFonts w:eastAsia="Batang"/>
          <w:sz w:val="24"/>
          <w:szCs w:val="24"/>
        </w:rPr>
        <w:t xml:space="preserve"> comunicação imediata ao órgão de vigilância sanitária de portos, aeroportos e fronteiras em exercício no Estado ou Distrito Federal onde a empresa tenha a sua sede e onde preste serviço ou da localidade da sua filial, de ocorrências de alteração de: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I – razão social;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II – mudança de endereço;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III – representante legal;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IV – ampliação ou exclusão de classes de produtos;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 xml:space="preserve">V – inclusão ou exclusão de pessoas legalmente habilitadas a protocolarem documentos e receber termos legais expedidos pela autoridade sanitária. 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Art. 6º A hipótese de incidência de fato gerador para fins de recolhimento de Taxa de Fiscalização de Vigilância Sanitária para Autorização de Funcionamento de Empresa deve ser exigida por classe de produto.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Art. 7º A modificação do Cadastro Nacional da Pessoa Jurídica – CNPJ – implica em solicitação de cancelamento da Autorização de Funcionamento de Empresa.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lastRenderedPageBreak/>
        <w:t>Art. 8º A solicitação de segunda via do Certificado de Autorização de Funcionamento de Empresa dar-se-á quando da solicitação encaminhada à Coordenação de Vigilância Sanitária de Portos, Aeroportos e Fronteiras do Estado ou Distrito Federal da sede da empresa prestadora do serviço.</w: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Pr="00C350F8" w:rsidRDefault="00B41A76">
      <w:pPr>
        <w:ind w:firstLine="567"/>
        <w:jc w:val="both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Art. 9º Os órgãos integrantes da Administração Pública ou entidades por ela instituídas ficam desobrigados da solicitação de Autorização de Funcionamento de que trata esta Resolução, limitando-se a observar e cumprir as exigências regulamentares previstas.</w:t>
      </w:r>
    </w:p>
    <w:p w:rsidR="00DD4CCF" w:rsidRPr="00C350F8" w:rsidRDefault="00A31CD9">
      <w:pPr>
        <w:ind w:firstLine="567"/>
        <w:jc w:val="both"/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5.9pt;margin-top:4.2pt;width:531.45pt;height:226.85pt;flip:x;z-index:251659264" o:connectortype="straight"/>
        </w:pict>
      </w:r>
      <w:r>
        <w:rPr>
          <w:rFonts w:eastAsia="Batang"/>
          <w:noProof/>
          <w:sz w:val="24"/>
          <w:szCs w:val="24"/>
        </w:rPr>
        <w:pict>
          <v:shape id="_x0000_s1026" type="#_x0000_t32" style="position:absolute;left:0;text-align:left;margin-left:-3.45pt;margin-top:10.05pt;width:529pt;height:214.35pt;z-index:251658240" o:connectortype="straight"/>
        </w:pict>
      </w:r>
    </w:p>
    <w:p w:rsidR="00DD4CCF" w:rsidRPr="00C350F8" w:rsidRDefault="00DD4CCF">
      <w:pPr>
        <w:ind w:firstLine="567"/>
        <w:jc w:val="both"/>
        <w:rPr>
          <w:rFonts w:eastAsia="Batang"/>
          <w:sz w:val="24"/>
          <w:szCs w:val="24"/>
        </w:rPr>
      </w:pPr>
    </w:p>
    <w:p w:rsidR="00DD4CCF" w:rsidRDefault="00B41A76" w:rsidP="00DF6EE7">
      <w:pPr>
        <w:jc w:val="center"/>
        <w:rPr>
          <w:rFonts w:eastAsia="Batang"/>
          <w:sz w:val="24"/>
          <w:szCs w:val="24"/>
        </w:rPr>
      </w:pPr>
      <w:r w:rsidRPr="00C350F8">
        <w:rPr>
          <w:rFonts w:eastAsia="Batang"/>
          <w:sz w:val="24"/>
          <w:szCs w:val="24"/>
        </w:rPr>
        <w:t>ANEXO IA</w:t>
      </w:r>
    </w:p>
    <w:p w:rsidR="00DF6EE7" w:rsidRPr="00C350F8" w:rsidRDefault="00DF6EE7" w:rsidP="00DF6EE7">
      <w:pPr>
        <w:jc w:val="center"/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</w:rPr>
        <w:drawing>
          <wp:inline distT="0" distB="0" distL="0" distR="0">
            <wp:extent cx="6120765" cy="20602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6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CF" w:rsidRDefault="00DD4CCF">
      <w:pPr>
        <w:rPr>
          <w:rFonts w:eastAsia="Batang"/>
          <w:sz w:val="24"/>
          <w:szCs w:val="24"/>
        </w:rPr>
      </w:pPr>
    </w:p>
    <w:p w:rsidR="005B14E5" w:rsidRDefault="005B14E5">
      <w:pPr>
        <w:rPr>
          <w:rFonts w:eastAsia="Batang"/>
          <w:sz w:val="24"/>
          <w:szCs w:val="24"/>
        </w:rPr>
      </w:pPr>
    </w:p>
    <w:p w:rsidR="006B4896" w:rsidRPr="006B4896" w:rsidRDefault="006B4896" w:rsidP="006B4896">
      <w:pPr>
        <w:rPr>
          <w:rFonts w:eastAsia="Times New Roman"/>
          <w:sz w:val="24"/>
          <w:szCs w:val="24"/>
        </w:rPr>
      </w:pPr>
      <w:r w:rsidRPr="006B4896">
        <w:rPr>
          <w:rFonts w:eastAsia="Times New Roman"/>
          <w:sz w:val="24"/>
          <w:szCs w:val="24"/>
        </w:rPr>
        <w:t xml:space="preserve">ANEXO IA originalmente </w:t>
      </w:r>
      <w:r w:rsidR="00A174B1">
        <w:rPr>
          <w:rFonts w:eastAsia="Times New Roman"/>
          <w:sz w:val="24"/>
          <w:szCs w:val="24"/>
        </w:rPr>
        <w:t>publicado</w:t>
      </w:r>
      <w:r w:rsidRPr="006B4896">
        <w:rPr>
          <w:rFonts w:eastAsia="Times New Roman"/>
          <w:sz w:val="24"/>
          <w:szCs w:val="24"/>
        </w:rPr>
        <w:t xml:space="preserve"> pela RESOLUÇÃO</w:t>
      </w:r>
      <w:r w:rsidR="00A174B1">
        <w:rPr>
          <w:rFonts w:eastAsia="Times New Roman"/>
          <w:sz w:val="24"/>
          <w:szCs w:val="24"/>
        </w:rPr>
        <w:t xml:space="preserve"> </w:t>
      </w:r>
      <w:r w:rsidRPr="006B4896">
        <w:rPr>
          <w:rFonts w:eastAsia="Times New Roman"/>
          <w:sz w:val="24"/>
          <w:szCs w:val="24"/>
        </w:rPr>
        <w:t>-</w:t>
      </w:r>
      <w:r w:rsidR="00A174B1">
        <w:rPr>
          <w:rFonts w:eastAsia="Times New Roman"/>
          <w:sz w:val="24"/>
          <w:szCs w:val="24"/>
        </w:rPr>
        <w:t xml:space="preserve"> </w:t>
      </w:r>
      <w:r w:rsidRPr="006B4896">
        <w:rPr>
          <w:rFonts w:eastAsia="Times New Roman"/>
          <w:sz w:val="24"/>
          <w:szCs w:val="24"/>
        </w:rPr>
        <w:t xml:space="preserve">RDC Nº 61, </w:t>
      </w:r>
      <w:r w:rsidR="00A174B1">
        <w:rPr>
          <w:rFonts w:eastAsia="Times New Roman"/>
          <w:sz w:val="24"/>
          <w:szCs w:val="24"/>
        </w:rPr>
        <w:t>de 19 de março de 2004</w:t>
      </w:r>
      <w:r w:rsidRPr="006B4896">
        <w:rPr>
          <w:rFonts w:eastAsia="Times New Roman"/>
          <w:sz w:val="24"/>
          <w:szCs w:val="24"/>
        </w:rPr>
        <w:t>,</w:t>
      </w:r>
      <w:r w:rsidR="00A174B1">
        <w:rPr>
          <w:rFonts w:eastAsia="Times New Roman"/>
          <w:sz w:val="24"/>
          <w:szCs w:val="24"/>
        </w:rPr>
        <w:t xml:space="preserve"> foi </w:t>
      </w:r>
      <w:r w:rsidRPr="006B4896">
        <w:rPr>
          <w:rFonts w:eastAsia="Times New Roman"/>
          <w:sz w:val="24"/>
          <w:szCs w:val="24"/>
        </w:rPr>
        <w:t xml:space="preserve">substituído e renomeado para Anexo III pela RESOLUÇÃO-RDC Nº 11, </w:t>
      </w:r>
      <w:r w:rsidR="00EA70ED">
        <w:rPr>
          <w:rFonts w:eastAsia="Times New Roman"/>
          <w:sz w:val="24"/>
          <w:szCs w:val="24"/>
        </w:rPr>
        <w:t xml:space="preserve">de </w:t>
      </w:r>
      <w:r w:rsidRPr="006B4896">
        <w:rPr>
          <w:rFonts w:eastAsia="Times New Roman"/>
          <w:sz w:val="24"/>
          <w:szCs w:val="24"/>
        </w:rPr>
        <w:t xml:space="preserve">16 </w:t>
      </w:r>
      <w:r w:rsidR="00EA70ED">
        <w:rPr>
          <w:rFonts w:eastAsia="Times New Roman"/>
          <w:sz w:val="24"/>
          <w:szCs w:val="24"/>
        </w:rPr>
        <w:t xml:space="preserve">de fevereiro </w:t>
      </w:r>
      <w:r w:rsidRPr="006B4896">
        <w:rPr>
          <w:rFonts w:eastAsia="Times New Roman"/>
          <w:sz w:val="24"/>
          <w:szCs w:val="24"/>
        </w:rPr>
        <w:t>2007</w:t>
      </w:r>
      <w:r w:rsidR="00DA2062">
        <w:rPr>
          <w:rFonts w:eastAsia="Times New Roman"/>
          <w:sz w:val="24"/>
          <w:szCs w:val="24"/>
        </w:rPr>
        <w:t>.</w:t>
      </w:r>
    </w:p>
    <w:p w:rsidR="005B14E5" w:rsidRPr="006B4896" w:rsidRDefault="005B14E5">
      <w:pPr>
        <w:rPr>
          <w:rFonts w:eastAsia="Batang"/>
          <w:sz w:val="24"/>
          <w:szCs w:val="24"/>
        </w:rPr>
      </w:pPr>
    </w:p>
    <w:p w:rsidR="005B14E5" w:rsidRDefault="005B14E5">
      <w:pPr>
        <w:rPr>
          <w:rFonts w:eastAsia="Batang"/>
          <w:sz w:val="24"/>
          <w:szCs w:val="24"/>
        </w:rPr>
      </w:pPr>
    </w:p>
    <w:p w:rsidR="005B14E5" w:rsidRDefault="005B14E5">
      <w:pPr>
        <w:rPr>
          <w:rFonts w:eastAsia="Batang"/>
          <w:sz w:val="24"/>
          <w:szCs w:val="24"/>
        </w:rPr>
      </w:pPr>
    </w:p>
    <w:p w:rsidR="005B14E5" w:rsidRDefault="005B14E5">
      <w:pPr>
        <w:rPr>
          <w:rFonts w:eastAsia="Batang"/>
          <w:sz w:val="24"/>
          <w:szCs w:val="24"/>
        </w:rPr>
      </w:pPr>
    </w:p>
    <w:p w:rsidR="00DD4CCF" w:rsidRDefault="00B41A76">
      <w:pPr>
        <w:jc w:val="center"/>
        <w:rPr>
          <w:rFonts w:eastAsia="Batang"/>
          <w:sz w:val="24"/>
          <w:szCs w:val="24"/>
        </w:rPr>
      </w:pPr>
      <w:r w:rsidRPr="00DF6EE7">
        <w:rPr>
          <w:rFonts w:eastAsia="Batang"/>
          <w:sz w:val="24"/>
          <w:szCs w:val="24"/>
        </w:rPr>
        <w:t>ANEXO II</w:t>
      </w:r>
    </w:p>
    <w:p w:rsidR="00DF6EE7" w:rsidRDefault="00DF6EE7">
      <w:pPr>
        <w:jc w:val="center"/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</w:rPr>
        <w:lastRenderedPageBreak/>
        <w:drawing>
          <wp:inline distT="0" distB="0" distL="0" distR="0">
            <wp:extent cx="4638040" cy="546862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E7" w:rsidRDefault="00DF6EE7">
      <w:pPr>
        <w:jc w:val="center"/>
        <w:rPr>
          <w:rFonts w:eastAsia="Batang"/>
          <w:sz w:val="24"/>
          <w:szCs w:val="24"/>
        </w:rPr>
      </w:pPr>
    </w:p>
    <w:p w:rsidR="008A64AC" w:rsidRDefault="008A64AC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2C23C0" w:rsidRDefault="002C23C0">
      <w:pPr>
        <w:jc w:val="center"/>
        <w:rPr>
          <w:rFonts w:eastAsia="Batang"/>
          <w:sz w:val="24"/>
          <w:szCs w:val="24"/>
        </w:rPr>
      </w:pPr>
    </w:p>
    <w:p w:rsidR="002C23C0" w:rsidRDefault="002C23C0">
      <w:pPr>
        <w:jc w:val="center"/>
        <w:rPr>
          <w:rFonts w:eastAsia="Batang"/>
          <w:sz w:val="24"/>
          <w:szCs w:val="24"/>
        </w:rPr>
      </w:pPr>
    </w:p>
    <w:p w:rsidR="00F15F0B" w:rsidRDefault="00F15F0B">
      <w:pPr>
        <w:jc w:val="center"/>
        <w:rPr>
          <w:rFonts w:eastAsia="Batang"/>
          <w:sz w:val="24"/>
          <w:szCs w:val="24"/>
        </w:rPr>
      </w:pPr>
    </w:p>
    <w:p w:rsidR="00F15F0B" w:rsidRPr="00F15F0B" w:rsidRDefault="00F15F0B" w:rsidP="00F15F0B">
      <w:pPr>
        <w:jc w:val="center"/>
        <w:rPr>
          <w:rFonts w:eastAsia="Batang"/>
          <w:b/>
          <w:sz w:val="24"/>
          <w:szCs w:val="24"/>
        </w:rPr>
      </w:pPr>
      <w:r w:rsidRPr="00F15F0B">
        <w:rPr>
          <w:rFonts w:eastAsia="Batang"/>
          <w:b/>
          <w:sz w:val="24"/>
          <w:szCs w:val="24"/>
        </w:rPr>
        <w:t>ANEXO III</w:t>
      </w:r>
    </w:p>
    <w:p w:rsidR="00F15F0B" w:rsidRDefault="00F15F0B" w:rsidP="00F15F0B">
      <w:pPr>
        <w:jc w:val="center"/>
        <w:rPr>
          <w:rFonts w:eastAsia="Batang"/>
          <w:sz w:val="24"/>
          <w:szCs w:val="24"/>
        </w:rPr>
      </w:pPr>
    </w:p>
    <w:p w:rsidR="00F15F0B" w:rsidRDefault="00F15F0B" w:rsidP="00F15F0B">
      <w:pPr>
        <w:jc w:val="center"/>
        <w:rPr>
          <w:rFonts w:eastAsia="Batang"/>
          <w:sz w:val="24"/>
          <w:szCs w:val="24"/>
        </w:rPr>
      </w:pPr>
      <w:r>
        <w:rPr>
          <w:rFonts w:eastAsia="Batang"/>
          <w:b/>
          <w:color w:val="0000FF"/>
          <w:sz w:val="24"/>
          <w:szCs w:val="24"/>
        </w:rPr>
        <w:t>(Incluído</w:t>
      </w:r>
      <w:r w:rsidRPr="00C350F8">
        <w:rPr>
          <w:rFonts w:eastAsia="Batang"/>
          <w:b/>
          <w:color w:val="0000FF"/>
          <w:sz w:val="24"/>
          <w:szCs w:val="24"/>
        </w:rPr>
        <w:t xml:space="preserve"> pela Resolução – RDC nº 11, de 16 de fevereiro de 2007)</w:t>
      </w:r>
    </w:p>
    <w:p w:rsidR="00F15F0B" w:rsidRPr="00DF6EE7" w:rsidRDefault="00F15F0B">
      <w:pPr>
        <w:jc w:val="center"/>
        <w:rPr>
          <w:rFonts w:eastAsia="Batang"/>
          <w:sz w:val="24"/>
          <w:szCs w:val="24"/>
        </w:rPr>
      </w:pPr>
    </w:p>
    <w:p w:rsidR="001034D7" w:rsidRPr="00C350F8" w:rsidRDefault="001034D7">
      <w:pPr>
        <w:jc w:val="center"/>
        <w:rPr>
          <w:rFonts w:eastAsia="Batang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>
            <wp:extent cx="6120765" cy="3413395"/>
            <wp:effectExtent l="0" t="0" r="0" b="0"/>
            <wp:docPr id="2" name="Imagem 2" descr="C:\Users\talita.ribeiro\Desktop\ANEXO III – RDC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ta.ribeiro\Desktop\ANEXO III – RDC 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4D7" w:rsidRPr="00C350F8" w:rsidSect="00A31CD9">
      <w:headerReference w:type="default" r:id="rId12"/>
      <w:footerReference w:type="default" r:id="rId13"/>
      <w:type w:val="oddPage"/>
      <w:pgSz w:w="11907" w:h="16840" w:code="9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CD9" w:rsidRDefault="00A31CD9" w:rsidP="00A31CD9">
      <w:r>
        <w:separator/>
      </w:r>
    </w:p>
  </w:endnote>
  <w:endnote w:type="continuationSeparator" w:id="0">
    <w:p w:rsidR="00A31CD9" w:rsidRDefault="00A31CD9" w:rsidP="00A3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9" w:rsidRPr="00A31CD9" w:rsidRDefault="00A31CD9" w:rsidP="00A31CD9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A31CD9"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  <w:p w:rsidR="00A31CD9" w:rsidRDefault="00A31CD9">
    <w:pPr>
      <w:pStyle w:val="Rodap"/>
    </w:pPr>
  </w:p>
  <w:p w:rsidR="00A31CD9" w:rsidRDefault="00A31CD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CD9" w:rsidRDefault="00A31CD9" w:rsidP="00A31CD9">
      <w:r>
        <w:separator/>
      </w:r>
    </w:p>
  </w:footnote>
  <w:footnote w:type="continuationSeparator" w:id="0">
    <w:p w:rsidR="00A31CD9" w:rsidRDefault="00A31CD9" w:rsidP="00A31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9" w:rsidRDefault="00A31CD9">
    <w:pPr>
      <w:pStyle w:val="Cabealho"/>
    </w:pPr>
  </w:p>
  <w:p w:rsidR="00A31CD9" w:rsidRPr="00A31CD9" w:rsidRDefault="00A31CD9" w:rsidP="00A31CD9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A31CD9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18ED90A1" wp14:editId="6CD21DF8">
          <wp:extent cx="666750" cy="657085"/>
          <wp:effectExtent l="19050" t="0" r="0" b="0"/>
          <wp:docPr id="5" name="Imagem 5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1CD9" w:rsidRPr="00A31CD9" w:rsidRDefault="00A31CD9" w:rsidP="00A31CD9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b/>
        <w:sz w:val="24"/>
        <w:szCs w:val="22"/>
        <w:lang w:eastAsia="en-US"/>
      </w:rPr>
    </w:pPr>
    <w:r w:rsidRPr="00A31CD9">
      <w:rPr>
        <w:rFonts w:asciiTheme="minorHAnsi" w:eastAsiaTheme="minorHAnsi" w:hAnsiTheme="minorHAnsi" w:cstheme="minorBidi"/>
        <w:b/>
        <w:sz w:val="24"/>
        <w:szCs w:val="22"/>
        <w:lang w:eastAsia="en-US"/>
      </w:rPr>
      <w:t>Ministério da Saúde - MS</w:t>
    </w:r>
  </w:p>
  <w:p w:rsidR="00A31CD9" w:rsidRPr="00A31CD9" w:rsidRDefault="00A31CD9" w:rsidP="00A31CD9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b/>
        <w:sz w:val="24"/>
        <w:szCs w:val="22"/>
        <w:lang w:eastAsia="en-US"/>
      </w:rPr>
    </w:pPr>
    <w:r w:rsidRPr="00A31CD9">
      <w:rPr>
        <w:rFonts w:asciiTheme="minorHAnsi" w:eastAsiaTheme="minorHAnsi" w:hAnsiTheme="minorHAnsi" w:cstheme="minorBidi"/>
        <w:b/>
        <w:sz w:val="24"/>
        <w:szCs w:val="22"/>
        <w:lang w:eastAsia="en-US"/>
      </w:rPr>
      <w:t>Agência Nacional de Vigilância Sanitária - ANVISA</w:t>
    </w:r>
  </w:p>
  <w:p w:rsidR="00A31CD9" w:rsidRDefault="00A31C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1A00"/>
    <w:rsid w:val="0003472C"/>
    <w:rsid w:val="00101F25"/>
    <w:rsid w:val="001034D7"/>
    <w:rsid w:val="001158DE"/>
    <w:rsid w:val="001B06A7"/>
    <w:rsid w:val="00225857"/>
    <w:rsid w:val="002C23C0"/>
    <w:rsid w:val="00346774"/>
    <w:rsid w:val="004133F6"/>
    <w:rsid w:val="004261F5"/>
    <w:rsid w:val="004536ED"/>
    <w:rsid w:val="0058240E"/>
    <w:rsid w:val="005B14E5"/>
    <w:rsid w:val="00614D64"/>
    <w:rsid w:val="006955A6"/>
    <w:rsid w:val="006B4896"/>
    <w:rsid w:val="006E0C45"/>
    <w:rsid w:val="006E5568"/>
    <w:rsid w:val="007727A3"/>
    <w:rsid w:val="008173F1"/>
    <w:rsid w:val="008A64AC"/>
    <w:rsid w:val="008F24DC"/>
    <w:rsid w:val="009F045D"/>
    <w:rsid w:val="00A174B1"/>
    <w:rsid w:val="00A31CD9"/>
    <w:rsid w:val="00AC101C"/>
    <w:rsid w:val="00B0170A"/>
    <w:rsid w:val="00B41A76"/>
    <w:rsid w:val="00B64D45"/>
    <w:rsid w:val="00B66155"/>
    <w:rsid w:val="00BD085E"/>
    <w:rsid w:val="00BF3326"/>
    <w:rsid w:val="00C020BE"/>
    <w:rsid w:val="00C350F8"/>
    <w:rsid w:val="00C4266C"/>
    <w:rsid w:val="00C44F82"/>
    <w:rsid w:val="00C901CE"/>
    <w:rsid w:val="00CC0525"/>
    <w:rsid w:val="00D71A00"/>
    <w:rsid w:val="00D867C5"/>
    <w:rsid w:val="00DA2062"/>
    <w:rsid w:val="00DD4CCF"/>
    <w:rsid w:val="00DF6EE7"/>
    <w:rsid w:val="00E02105"/>
    <w:rsid w:val="00EA70ED"/>
    <w:rsid w:val="00F15F0B"/>
    <w:rsid w:val="00F6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CF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DD4CCF"/>
    <w:pPr>
      <w:keepNext/>
      <w:tabs>
        <w:tab w:val="left" w:pos="490"/>
      </w:tabs>
      <w:jc w:val="center"/>
      <w:outlineLvl w:val="0"/>
    </w:pPr>
    <w:rPr>
      <w:b/>
      <w:bCs/>
      <w:color w:val="0000FF"/>
    </w:rPr>
  </w:style>
  <w:style w:type="paragraph" w:styleId="Ttulo2">
    <w:name w:val="heading 2"/>
    <w:basedOn w:val="Normal"/>
    <w:next w:val="Normal"/>
    <w:link w:val="Ttulo2Char"/>
    <w:uiPriority w:val="99"/>
    <w:qFormat/>
    <w:rsid w:val="00DD4CCF"/>
    <w:pPr>
      <w:keepNext/>
      <w:tabs>
        <w:tab w:val="left" w:pos="9923"/>
      </w:tabs>
      <w:jc w:val="both"/>
      <w:outlineLvl w:val="1"/>
    </w:pPr>
    <w:rPr>
      <w:color w:val="FF0000"/>
    </w:rPr>
  </w:style>
  <w:style w:type="paragraph" w:styleId="Ttulo3">
    <w:name w:val="heading 3"/>
    <w:basedOn w:val="Normal"/>
    <w:next w:val="Normal"/>
    <w:link w:val="Ttulo3Char"/>
    <w:uiPriority w:val="99"/>
    <w:qFormat/>
    <w:rsid w:val="00DD4CCF"/>
    <w:pPr>
      <w:keepNext/>
      <w:jc w:val="center"/>
      <w:outlineLvl w:val="2"/>
    </w:pPr>
    <w:rPr>
      <w:rFonts w:ascii="Arial" w:hAnsi="Arial" w:cs="Arial"/>
      <w:b/>
      <w:bCs/>
      <w:color w:val="000080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9"/>
    <w:qFormat/>
    <w:rsid w:val="00DD4CCF"/>
    <w:pPr>
      <w:keepNext/>
      <w:jc w:val="both"/>
      <w:outlineLvl w:val="3"/>
    </w:pPr>
    <w:rPr>
      <w:rFonts w:ascii="Arial" w:hAnsi="Arial" w:cs="Arial"/>
      <w:b/>
      <w:bCs/>
      <w:sz w:val="36"/>
      <w:szCs w:val="36"/>
    </w:rPr>
  </w:style>
  <w:style w:type="paragraph" w:styleId="Ttulo5">
    <w:name w:val="heading 5"/>
    <w:basedOn w:val="Normal"/>
    <w:next w:val="Normal"/>
    <w:link w:val="Ttulo5Char"/>
    <w:uiPriority w:val="99"/>
    <w:qFormat/>
    <w:rsid w:val="00DD4CCF"/>
    <w:pPr>
      <w:keepNext/>
      <w:jc w:val="center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DD4CCF"/>
    <w:pPr>
      <w:keepNext/>
      <w:jc w:val="center"/>
      <w:outlineLvl w:val="5"/>
    </w:pPr>
    <w:rPr>
      <w:rFonts w:ascii="Arial" w:hAnsi="Arial" w:cs="Arial"/>
      <w:b/>
      <w:bCs/>
      <w:color w:val="0000F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DD4CCF"/>
    <w:pPr>
      <w:keepNext/>
      <w:jc w:val="center"/>
      <w:outlineLvl w:val="6"/>
    </w:pPr>
    <w:rPr>
      <w:rFonts w:ascii="Arial" w:hAnsi="Arial" w:cs="Arial"/>
      <w:b/>
      <w:bCs/>
      <w:color w:val="800000"/>
      <w:sz w:val="28"/>
      <w:szCs w:val="28"/>
    </w:rPr>
  </w:style>
  <w:style w:type="paragraph" w:styleId="Ttulo8">
    <w:name w:val="heading 8"/>
    <w:basedOn w:val="Normal"/>
    <w:next w:val="Normal"/>
    <w:link w:val="Ttulo8Char"/>
    <w:uiPriority w:val="99"/>
    <w:qFormat/>
    <w:rsid w:val="00DD4CCF"/>
    <w:pPr>
      <w:keepNext/>
      <w:jc w:val="center"/>
      <w:outlineLvl w:val="7"/>
    </w:pPr>
    <w:rPr>
      <w:rFonts w:ascii="Arial" w:hAnsi="Arial" w:cs="Arial"/>
      <w:b/>
      <w:bCs/>
      <w:color w:val="000080"/>
    </w:rPr>
  </w:style>
  <w:style w:type="paragraph" w:styleId="Ttulo9">
    <w:name w:val="heading 9"/>
    <w:basedOn w:val="Normal"/>
    <w:next w:val="Normal"/>
    <w:link w:val="Ttulo9Char"/>
    <w:uiPriority w:val="99"/>
    <w:qFormat/>
    <w:rsid w:val="00DD4CCF"/>
    <w:pPr>
      <w:keepNext/>
      <w:jc w:val="center"/>
      <w:outlineLvl w:val="8"/>
    </w:pPr>
    <w:rPr>
      <w:rFonts w:ascii="Arial" w:hAnsi="Arial" w:cs="Arial"/>
      <w:color w:val="008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C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4C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C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CCF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CCF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CCF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CCF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CCF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CCF"/>
    <w:rPr>
      <w:rFonts w:asciiTheme="majorHAnsi" w:eastAsiaTheme="majorEastAsia" w:hAnsiTheme="majorHAnsi" w:cstheme="majorBidi"/>
    </w:rPr>
  </w:style>
  <w:style w:type="paragraph" w:styleId="Corpodetexto2">
    <w:name w:val="Body Text 2"/>
    <w:basedOn w:val="Normal"/>
    <w:link w:val="Corpodetexto2Char"/>
    <w:uiPriority w:val="99"/>
    <w:rsid w:val="00DD4CCF"/>
    <w:pPr>
      <w:shd w:val="clear" w:color="auto" w:fill="FFFFFF"/>
      <w:tabs>
        <w:tab w:val="left" w:pos="490"/>
      </w:tabs>
      <w:jc w:val="both"/>
    </w:pPr>
    <w:rPr>
      <w:color w:val="800000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4CCF"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DD4CCF"/>
    <w:pPr>
      <w:tabs>
        <w:tab w:val="left" w:pos="9923"/>
      </w:tabs>
      <w:jc w:val="both"/>
    </w:pPr>
    <w:rPr>
      <w:color w:val="0000FF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4CCF"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DD4CCF"/>
    <w:pPr>
      <w:tabs>
        <w:tab w:val="left" w:pos="9923"/>
      </w:tabs>
      <w:jc w:val="both"/>
    </w:p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4CCF"/>
    <w:rPr>
      <w:rFonts w:ascii="Times New Roman" w:hAnsi="Times New Roman" w:cs="Times New Roman"/>
      <w:sz w:val="16"/>
      <w:szCs w:val="16"/>
    </w:rPr>
  </w:style>
  <w:style w:type="paragraph" w:customStyle="1" w:styleId="DefinitionList">
    <w:name w:val="Definition List"/>
    <w:basedOn w:val="Normal"/>
    <w:next w:val="Normal"/>
    <w:uiPriority w:val="99"/>
    <w:rsid w:val="00DD4CCF"/>
    <w:pPr>
      <w:ind w:left="360"/>
    </w:pPr>
  </w:style>
  <w:style w:type="paragraph" w:styleId="Recuodecorpodetexto2">
    <w:name w:val="Body Text Indent 2"/>
    <w:basedOn w:val="Normal"/>
    <w:link w:val="Recuodecorpodetexto2Char"/>
    <w:uiPriority w:val="99"/>
    <w:rsid w:val="00DD4CCF"/>
    <w:pPr>
      <w:ind w:firstLine="708"/>
      <w:jc w:val="both"/>
    </w:pPr>
    <w:rPr>
      <w:b/>
      <w:bCs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4CCF"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DD4CCF"/>
    <w:pPr>
      <w:tabs>
        <w:tab w:val="left" w:pos="9923"/>
      </w:tabs>
      <w:ind w:firstLine="1134"/>
      <w:jc w:val="both"/>
    </w:pPr>
    <w:rPr>
      <w:color w:val="8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4CCF"/>
    <w:rPr>
      <w:rFonts w:ascii="Times New Roman" w:hAnsi="Times New Roman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4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4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31C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1CD9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31CD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1CD9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tabs>
        <w:tab w:val="left" w:pos="490"/>
      </w:tabs>
      <w:jc w:val="center"/>
      <w:outlineLvl w:val="0"/>
    </w:pPr>
    <w:rPr>
      <w:b/>
      <w:bCs/>
      <w:color w:val="0000FF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tabs>
        <w:tab w:val="left" w:pos="9923"/>
      </w:tabs>
      <w:jc w:val="both"/>
      <w:outlineLvl w:val="1"/>
    </w:pPr>
    <w:rPr>
      <w:color w:val="FF0000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rFonts w:ascii="Arial" w:hAnsi="Arial" w:cs="Arial"/>
      <w:b/>
      <w:bCs/>
      <w:color w:val="000080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both"/>
      <w:outlineLvl w:val="3"/>
    </w:pPr>
    <w:rPr>
      <w:rFonts w:ascii="Arial" w:hAnsi="Arial" w:cs="Arial"/>
      <w:b/>
      <w:bCs/>
      <w:sz w:val="36"/>
      <w:szCs w:val="3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center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rFonts w:ascii="Arial" w:hAnsi="Arial" w:cs="Arial"/>
      <w:b/>
      <w:bCs/>
      <w:color w:val="0000F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rFonts w:ascii="Arial" w:hAnsi="Arial" w:cs="Arial"/>
      <w:b/>
      <w:bCs/>
      <w:color w:val="800000"/>
      <w:sz w:val="28"/>
      <w:szCs w:val="28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center"/>
      <w:outlineLvl w:val="7"/>
    </w:pPr>
    <w:rPr>
      <w:rFonts w:ascii="Arial" w:hAnsi="Arial" w:cs="Arial"/>
      <w:b/>
      <w:bCs/>
      <w:color w:val="000080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  <w:rPr>
      <w:rFonts w:ascii="Arial" w:hAnsi="Arial" w:cs="Arial"/>
      <w:color w:val="008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Corpodetexto2">
    <w:name w:val="Body Text 2"/>
    <w:basedOn w:val="Normal"/>
    <w:link w:val="Corpodetexto2Char"/>
    <w:uiPriority w:val="99"/>
    <w:pPr>
      <w:shd w:val="clear" w:color="auto" w:fill="FFFFFF"/>
      <w:tabs>
        <w:tab w:val="left" w:pos="490"/>
      </w:tabs>
      <w:jc w:val="both"/>
    </w:pPr>
    <w:rPr>
      <w:color w:val="800000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tabs>
        <w:tab w:val="left" w:pos="9923"/>
      </w:tabs>
      <w:jc w:val="both"/>
    </w:pPr>
    <w:rPr>
      <w:color w:val="0000FF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tabs>
        <w:tab w:val="left" w:pos="9923"/>
      </w:tabs>
      <w:jc w:val="both"/>
    </w:p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customStyle="1" w:styleId="DefinitionList">
    <w:name w:val="Definition List"/>
    <w:basedOn w:val="Normal"/>
    <w:next w:val="Normal"/>
    <w:uiPriority w:val="99"/>
    <w:pPr>
      <w:ind w:left="360"/>
    </w:pPr>
  </w:style>
  <w:style w:type="paragraph" w:styleId="Recuodecorpodetexto2">
    <w:name w:val="Body Text Indent 2"/>
    <w:basedOn w:val="Normal"/>
    <w:link w:val="Recuodecorpodetexto2Char"/>
    <w:uiPriority w:val="99"/>
    <w:pPr>
      <w:ind w:firstLine="708"/>
      <w:jc w:val="both"/>
    </w:pPr>
    <w:rPr>
      <w:b/>
      <w:bCs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left" w:pos="9923"/>
      </w:tabs>
      <w:ind w:firstLine="1134"/>
      <w:jc w:val="both"/>
    </w:pPr>
    <w:rPr>
      <w:color w:val="8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4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8707E-7ADA-4B1A-A06A-40A9C24596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787481-D775-413B-91BB-B4CDA93F2EF2}"/>
</file>

<file path=customXml/itemProps3.xml><?xml version="1.0" encoding="utf-8"?>
<ds:datastoreItem xmlns:ds="http://schemas.openxmlformats.org/officeDocument/2006/customXml" ds:itemID="{9E13A862-CB87-4AF5-99C1-B25C3F829792}"/>
</file>

<file path=customXml/itemProps4.xml><?xml version="1.0" encoding="utf-8"?>
<ds:datastoreItem xmlns:ds="http://schemas.openxmlformats.org/officeDocument/2006/customXml" ds:itemID="{C28C9836-6A85-4A3D-A4BD-0F54FA256C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1619</Words>
  <Characters>8803</Characters>
  <Application>Microsoft Office Word</Application>
  <DocSecurity>0</DocSecurity>
  <Lines>149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PULO DO GATO</vt:lpstr>
    </vt:vector>
  </TitlesOfParts>
  <Company>UIS</Company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PULO DO GATO</dc:title>
  <dc:creator>UIS</dc:creator>
  <cp:lastModifiedBy>Raianne Liberal Coutinho</cp:lastModifiedBy>
  <cp:revision>55</cp:revision>
  <cp:lastPrinted>2016-07-08T19:51:00Z</cp:lastPrinted>
  <dcterms:created xsi:type="dcterms:W3CDTF">2015-09-30T14:05:00Z</dcterms:created>
  <dcterms:modified xsi:type="dcterms:W3CDTF">2016-07-08T19:51:00Z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