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871654601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871654601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802CF9">
      <w:pPr>
        <w:spacing w:before="0" w:beforeAutospacing="0" w:after="0" w:afterAutospacing="0"/>
        <w:jc w:val="center"/>
        <w:divId w:val="871654602"/>
        <w:rPr>
          <w:rFonts w:eastAsia="Times New Roman"/>
        </w:rPr>
      </w:pPr>
      <w:r w:rsidRPr="00802CF9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871654598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930443" w:rsidRDefault="00930443">
      <w:pPr>
        <w:spacing w:before="0" w:beforeAutospacing="0" w:after="0" w:afterAutospacing="0"/>
        <w:jc w:val="center"/>
        <w:divId w:val="871654598"/>
        <w:rPr>
          <w:rStyle w:val="legendab1"/>
          <w:b/>
          <w:bCs/>
        </w:rPr>
      </w:pPr>
    </w:p>
    <w:p w:rsidR="00930443" w:rsidRPr="00D643F5" w:rsidRDefault="00930443" w:rsidP="00930443">
      <w:pPr>
        <w:pStyle w:val="Ttulo1"/>
        <w:divId w:val="871654598"/>
      </w:pPr>
      <w:r w:rsidRPr="00D643F5">
        <w:t>RESOLUÇÃO DA DIRETORIA COLEGIADA – RDC N° 65, DE 29 DE NOVEMBRO DE 2011</w:t>
      </w:r>
    </w:p>
    <w:p w:rsidR="00930443" w:rsidRPr="00D643F5" w:rsidRDefault="00930443" w:rsidP="00930443">
      <w:pPr>
        <w:autoSpaceDE w:val="0"/>
        <w:autoSpaceDN w:val="0"/>
        <w:adjustRightInd w:val="0"/>
        <w:ind w:left="3969"/>
        <w:jc w:val="both"/>
        <w:divId w:val="871654598"/>
        <w:rPr>
          <w:rFonts w:ascii="Arial" w:hAnsi="Arial" w:cs="Arial"/>
          <w:sz w:val="20"/>
          <w:szCs w:val="20"/>
        </w:rPr>
      </w:pPr>
      <w:r w:rsidRPr="00D643F5">
        <w:rPr>
          <w:rFonts w:ascii="Arial" w:hAnsi="Arial" w:cs="Arial"/>
          <w:sz w:val="20"/>
          <w:szCs w:val="20"/>
        </w:rPr>
        <w:t>Dispõe sobre a aprovação de uso de aditivos alimentares para fabricação de cervejas.</w:t>
      </w:r>
    </w:p>
    <w:p w:rsidR="00930443" w:rsidRPr="00D643F5" w:rsidRDefault="00930443" w:rsidP="00930443">
      <w:pPr>
        <w:autoSpaceDE w:val="0"/>
        <w:autoSpaceDN w:val="0"/>
        <w:adjustRightInd w:val="0"/>
        <w:ind w:firstLine="567"/>
        <w:jc w:val="both"/>
        <w:divId w:val="871654598"/>
        <w:rPr>
          <w:rFonts w:ascii="Arial" w:hAnsi="Arial" w:cs="Arial"/>
          <w:sz w:val="20"/>
          <w:szCs w:val="20"/>
        </w:rPr>
      </w:pPr>
      <w:r w:rsidRPr="00D643F5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D643F5">
        <w:rPr>
          <w:rFonts w:ascii="Arial" w:hAnsi="Arial" w:cs="Arial"/>
          <w:sz w:val="20"/>
          <w:szCs w:val="20"/>
        </w:rPr>
        <w:t>,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Anvisa, de 11 de agosto de 2006, republicada no DOU de 21 de agosto de 2006, em reunião realizada em 26 de novembro de 2011,</w:t>
      </w:r>
    </w:p>
    <w:p w:rsidR="00930443" w:rsidRPr="00D643F5" w:rsidRDefault="00930443" w:rsidP="00930443">
      <w:pPr>
        <w:autoSpaceDE w:val="0"/>
        <w:autoSpaceDN w:val="0"/>
        <w:adjustRightInd w:val="0"/>
        <w:ind w:firstLine="567"/>
        <w:jc w:val="both"/>
        <w:divId w:val="871654598"/>
        <w:rPr>
          <w:rFonts w:ascii="Arial" w:hAnsi="Arial" w:cs="Arial"/>
          <w:sz w:val="20"/>
          <w:szCs w:val="20"/>
        </w:rPr>
      </w:pPr>
      <w:r w:rsidRPr="00D643F5">
        <w:rPr>
          <w:rFonts w:ascii="Arial" w:hAnsi="Arial" w:cs="Arial"/>
          <w:sz w:val="20"/>
          <w:szCs w:val="20"/>
        </w:rPr>
        <w:t>adota a seguinte Resolução da Diretoria Colegiada e eu, Diretor-Presidente, determino a sua publicação:</w:t>
      </w:r>
    </w:p>
    <w:p w:rsidR="00930443" w:rsidRPr="00D643F5" w:rsidRDefault="00930443" w:rsidP="00930443">
      <w:pPr>
        <w:autoSpaceDE w:val="0"/>
        <w:autoSpaceDN w:val="0"/>
        <w:adjustRightInd w:val="0"/>
        <w:ind w:firstLine="567"/>
        <w:jc w:val="both"/>
        <w:divId w:val="871654598"/>
        <w:rPr>
          <w:rFonts w:ascii="Arial" w:hAnsi="Arial" w:cs="Arial"/>
          <w:sz w:val="20"/>
          <w:szCs w:val="20"/>
        </w:rPr>
      </w:pPr>
      <w:r w:rsidRPr="00D643F5">
        <w:rPr>
          <w:rFonts w:ascii="Arial" w:hAnsi="Arial" w:cs="Arial"/>
          <w:sz w:val="20"/>
          <w:szCs w:val="20"/>
        </w:rPr>
        <w:t>Art. 1º Fica aprovada a lista positiva de aditivos alimentares e suas respectivas funções e limites máximos para a fabricação de cervejas, constante do Anexo da presente Resolução.</w:t>
      </w:r>
    </w:p>
    <w:p w:rsidR="00930443" w:rsidRPr="00D643F5" w:rsidRDefault="00930443" w:rsidP="00930443">
      <w:pPr>
        <w:autoSpaceDE w:val="0"/>
        <w:autoSpaceDN w:val="0"/>
        <w:adjustRightInd w:val="0"/>
        <w:ind w:firstLine="567"/>
        <w:jc w:val="both"/>
        <w:divId w:val="871654598"/>
        <w:rPr>
          <w:rFonts w:ascii="Arial" w:hAnsi="Arial" w:cs="Arial"/>
          <w:sz w:val="20"/>
          <w:szCs w:val="20"/>
        </w:rPr>
      </w:pPr>
      <w:r w:rsidRPr="00D643F5">
        <w:rPr>
          <w:rFonts w:ascii="Arial" w:hAnsi="Arial" w:cs="Arial"/>
          <w:sz w:val="20"/>
          <w:szCs w:val="20"/>
        </w:rPr>
        <w:t>Art. 2º Quando para uma determinada função, são utilizados dois ou mais aditivos autorizados com limite máximo numérico estabelecido, a soma das quantidades utilizadas no alimento não pode ser superior à quantidade máxima correspondente ao aditivo que possui maior limite máximo, e a quantidade de cada aditivo não poderá ser superior ao seu limite máximo individual.</w:t>
      </w:r>
    </w:p>
    <w:p w:rsidR="00930443" w:rsidRPr="00D643F5" w:rsidRDefault="00930443" w:rsidP="00930443">
      <w:pPr>
        <w:autoSpaceDE w:val="0"/>
        <w:autoSpaceDN w:val="0"/>
        <w:adjustRightInd w:val="0"/>
        <w:ind w:firstLine="567"/>
        <w:jc w:val="both"/>
        <w:divId w:val="871654598"/>
        <w:rPr>
          <w:rFonts w:ascii="Arial" w:hAnsi="Arial" w:cs="Arial"/>
          <w:sz w:val="20"/>
          <w:szCs w:val="20"/>
        </w:rPr>
      </w:pPr>
      <w:r w:rsidRPr="00D643F5">
        <w:rPr>
          <w:rFonts w:ascii="Arial" w:hAnsi="Arial" w:cs="Arial"/>
          <w:sz w:val="20"/>
          <w:szCs w:val="20"/>
        </w:rPr>
        <w:t xml:space="preserve">Parágrafo único. Ficam excluídos da regra estabelecida neste artigo os aditivos alimentares com limite </w:t>
      </w:r>
      <w:r w:rsidRPr="00D643F5">
        <w:rPr>
          <w:rFonts w:ascii="Arial" w:hAnsi="Arial" w:cs="Arial"/>
          <w:i/>
          <w:sz w:val="20"/>
          <w:szCs w:val="20"/>
        </w:rPr>
        <w:t>quantum satis</w:t>
      </w:r>
      <w:r w:rsidRPr="00D643F5">
        <w:rPr>
          <w:rFonts w:ascii="Arial" w:hAnsi="Arial" w:cs="Arial"/>
          <w:sz w:val="20"/>
          <w:szCs w:val="20"/>
        </w:rPr>
        <w:t xml:space="preserve"> (q.s.) que é a quantidade necessária para obter o efeito tecnológico desejado desde que não altere a identidade e a genuinidade do produto.</w:t>
      </w:r>
    </w:p>
    <w:p w:rsidR="00930443" w:rsidRPr="00D643F5" w:rsidRDefault="00930443" w:rsidP="00930443">
      <w:pPr>
        <w:autoSpaceDE w:val="0"/>
        <w:autoSpaceDN w:val="0"/>
        <w:adjustRightInd w:val="0"/>
        <w:ind w:firstLine="567"/>
        <w:jc w:val="both"/>
        <w:divId w:val="871654598"/>
        <w:rPr>
          <w:rFonts w:ascii="Arial" w:hAnsi="Arial" w:cs="Arial"/>
          <w:sz w:val="20"/>
          <w:szCs w:val="20"/>
        </w:rPr>
      </w:pPr>
      <w:r w:rsidRPr="00D643F5">
        <w:rPr>
          <w:rFonts w:ascii="Arial" w:hAnsi="Arial" w:cs="Arial"/>
          <w:sz w:val="20"/>
          <w:szCs w:val="20"/>
        </w:rPr>
        <w:t>Art. 3º Esta Resolução se aplica a todos os tipos de cervejas comercializadas no Brasil.</w:t>
      </w:r>
    </w:p>
    <w:p w:rsidR="00930443" w:rsidRPr="00D643F5" w:rsidRDefault="00930443" w:rsidP="00930443">
      <w:pPr>
        <w:ind w:firstLine="567"/>
        <w:jc w:val="both"/>
        <w:divId w:val="871654598"/>
        <w:rPr>
          <w:rFonts w:ascii="Arial" w:hAnsi="Arial" w:cs="Arial"/>
          <w:sz w:val="20"/>
          <w:szCs w:val="20"/>
        </w:rPr>
      </w:pPr>
      <w:r w:rsidRPr="00D643F5">
        <w:rPr>
          <w:rFonts w:ascii="Arial" w:hAnsi="Arial" w:cs="Arial"/>
          <w:sz w:val="20"/>
          <w:szCs w:val="20"/>
        </w:rPr>
        <w:t>Art. 4º Os estabelecimentos abrangidos por esta Resolução terão o prazo de 1 (um) ano contado a partir da data de sua publicação para promover as adequações necessárias a seu integral cumprimento.</w:t>
      </w:r>
    </w:p>
    <w:p w:rsidR="00930443" w:rsidRPr="00D643F5" w:rsidRDefault="00930443" w:rsidP="00930443">
      <w:pPr>
        <w:ind w:firstLine="567"/>
        <w:jc w:val="both"/>
        <w:divId w:val="871654598"/>
        <w:rPr>
          <w:rFonts w:ascii="Arial" w:hAnsi="Arial" w:cs="Arial"/>
          <w:sz w:val="20"/>
          <w:szCs w:val="20"/>
        </w:rPr>
      </w:pPr>
      <w:r w:rsidRPr="00D643F5">
        <w:rPr>
          <w:rFonts w:ascii="Arial" w:hAnsi="Arial" w:cs="Arial"/>
          <w:sz w:val="20"/>
          <w:szCs w:val="20"/>
        </w:rPr>
        <w:t>Parágrafo único. Os novos estabelecimentos e aqueles que pretendam reiniciar suas atividades devem atender às exigências nela contidas previamente ao início de seu funcionamento.</w:t>
      </w:r>
    </w:p>
    <w:p w:rsidR="00930443" w:rsidRPr="00D643F5" w:rsidRDefault="00930443" w:rsidP="00930443">
      <w:pPr>
        <w:ind w:firstLine="567"/>
        <w:jc w:val="both"/>
        <w:divId w:val="871654598"/>
        <w:rPr>
          <w:rStyle w:val="A0"/>
          <w:rFonts w:ascii="Arial" w:hAnsi="Arial" w:cs="Arial"/>
          <w:sz w:val="20"/>
          <w:szCs w:val="20"/>
        </w:rPr>
      </w:pPr>
      <w:r w:rsidRPr="00D643F5">
        <w:rPr>
          <w:rFonts w:ascii="Arial" w:hAnsi="Arial" w:cs="Arial"/>
          <w:sz w:val="20"/>
          <w:szCs w:val="20"/>
        </w:rPr>
        <w:t xml:space="preserve">Art. 5º </w:t>
      </w:r>
      <w:r w:rsidRPr="00D643F5">
        <w:rPr>
          <w:rStyle w:val="A0"/>
          <w:rFonts w:ascii="Arial" w:hAnsi="Arial" w:cs="Arial"/>
          <w:sz w:val="20"/>
          <w:szCs w:val="20"/>
        </w:rPr>
        <w:t>O descumprimento das disposições contidas nesta Resolução constitui infração sanitária nos termos da Lei n. 6.437, de 20 de agosto de 1977, sem prejuízo das responsabilidades civil, administrativa e penal cabíveis.</w:t>
      </w:r>
    </w:p>
    <w:p w:rsidR="00930443" w:rsidRPr="00D643F5" w:rsidRDefault="00930443" w:rsidP="00930443">
      <w:pPr>
        <w:ind w:firstLine="567"/>
        <w:jc w:val="both"/>
        <w:divId w:val="871654598"/>
        <w:rPr>
          <w:rFonts w:ascii="Arial" w:hAnsi="Arial" w:cs="Arial"/>
          <w:sz w:val="20"/>
          <w:szCs w:val="20"/>
        </w:rPr>
      </w:pPr>
      <w:r w:rsidRPr="00D643F5">
        <w:rPr>
          <w:rFonts w:ascii="Arial" w:hAnsi="Arial" w:cs="Arial"/>
          <w:sz w:val="20"/>
          <w:szCs w:val="20"/>
        </w:rPr>
        <w:lastRenderedPageBreak/>
        <w:t>Art. 6º Ficam revogados os itens referentes a cervejas constantes da Resolução CNS/MS n. 04, de 24 de novembro de 1988 e a Resolução RDC n. 89, de 17 de outubro de 2000 e a Resolução RDC n. 25, de 10 de fevereiro de 2006.</w:t>
      </w:r>
    </w:p>
    <w:p w:rsidR="00930443" w:rsidRPr="00D643F5" w:rsidRDefault="00930443" w:rsidP="00930443">
      <w:pPr>
        <w:ind w:firstLine="567"/>
        <w:jc w:val="both"/>
        <w:divId w:val="871654598"/>
        <w:rPr>
          <w:rFonts w:ascii="Arial" w:hAnsi="Arial" w:cs="Arial"/>
          <w:sz w:val="20"/>
          <w:szCs w:val="20"/>
        </w:rPr>
      </w:pPr>
      <w:r w:rsidRPr="00D643F5">
        <w:rPr>
          <w:rFonts w:ascii="Arial" w:hAnsi="Arial" w:cs="Arial"/>
          <w:sz w:val="20"/>
          <w:szCs w:val="20"/>
        </w:rPr>
        <w:t>Art. 7º Esta Resolução entra em vigor na data de sua publicação.</w:t>
      </w:r>
    </w:p>
    <w:p w:rsidR="00930443" w:rsidRPr="00D643F5" w:rsidRDefault="00930443" w:rsidP="00930443">
      <w:pPr>
        <w:pStyle w:val="Ttulo2"/>
        <w:divId w:val="871654598"/>
      </w:pPr>
      <w:r w:rsidRPr="00D643F5">
        <w:t>DIRCEU BRÁS APARECIDO BARBANO</w:t>
      </w:r>
    </w:p>
    <w:p w:rsidR="00930443" w:rsidRPr="00D643F5" w:rsidRDefault="00930443" w:rsidP="00930443">
      <w:pPr>
        <w:autoSpaceDE w:val="0"/>
        <w:autoSpaceDN w:val="0"/>
        <w:adjustRightInd w:val="0"/>
        <w:jc w:val="center"/>
        <w:divId w:val="871654598"/>
        <w:rPr>
          <w:rFonts w:ascii="Arial" w:hAnsi="Arial" w:cs="Arial"/>
          <w:sz w:val="20"/>
          <w:szCs w:val="20"/>
        </w:rPr>
      </w:pPr>
      <w:r w:rsidRPr="00D643F5">
        <w:rPr>
          <w:rFonts w:ascii="Arial" w:hAnsi="Arial" w:cs="Arial"/>
          <w:sz w:val="20"/>
          <w:szCs w:val="20"/>
        </w:rPr>
        <w:t>ANEXO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7"/>
        <w:gridCol w:w="4356"/>
        <w:gridCol w:w="1691"/>
      </w:tblGrid>
      <w:tr w:rsidR="00930443" w:rsidRPr="00D643F5" w:rsidTr="00930443">
        <w:trPr>
          <w:divId w:val="871654598"/>
          <w:jc w:val="center"/>
        </w:trPr>
        <w:tc>
          <w:tcPr>
            <w:tcW w:w="5000" w:type="pct"/>
            <w:gridSpan w:val="3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ADITIVOS ALIMENTARES E SUAS RESPECTIVAS FUNÇÕES E LIMITES MÁXIMOS PERMITIDOS PARA CERVEJAS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INS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Aditivo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Limite Máximo</w:t>
            </w:r>
          </w:p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(g/100g ou g/100ml)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000" w:type="pct"/>
            <w:gridSpan w:val="3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ACIDULANTE/ REGULADOR DE ACIDEZ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270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 xml:space="preserve">Ácido láctico (L-, D- e DL-) 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i/>
                <w:sz w:val="20"/>
                <w:szCs w:val="20"/>
              </w:rPr>
              <w:t>quantum satis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Ácido málico (D-,L-)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i/>
                <w:sz w:val="20"/>
                <w:szCs w:val="20"/>
              </w:rPr>
              <w:t>quantum satis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Ácido cítrico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643F5">
              <w:rPr>
                <w:rFonts w:ascii="Arial" w:hAnsi="Arial" w:cs="Arial"/>
                <w:i/>
                <w:sz w:val="20"/>
                <w:szCs w:val="20"/>
              </w:rPr>
              <w:t>quantum satis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Ácido fosfórico, ácido orto-fosfórico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0,044 (como P)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000" w:type="pct"/>
            <w:gridSpan w:val="3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ANTIESPUMANTE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900a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Dimetilsilicone, dimetilpolisiloxano, polidimetilsiloxano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0,001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000" w:type="pct"/>
            <w:gridSpan w:val="3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ANTIOXIDANTE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220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Dióxido de enxofre, anidrido sulfuroso</w:t>
            </w:r>
          </w:p>
        </w:tc>
        <w:tc>
          <w:tcPr>
            <w:tcW w:w="1243" w:type="pct"/>
            <w:vMerge w:val="restar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0,005 (como SO</w:t>
            </w:r>
            <w:r w:rsidRPr="00D643F5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2 </w:t>
            </w:r>
            <w:r w:rsidRPr="00D643F5">
              <w:rPr>
                <w:rFonts w:ascii="Arial" w:hAnsi="Arial" w:cs="Arial"/>
                <w:sz w:val="20"/>
                <w:szCs w:val="20"/>
              </w:rPr>
              <w:t>sozinhos ou em combinação)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Sulfito de sódio</w:t>
            </w:r>
          </w:p>
        </w:tc>
        <w:tc>
          <w:tcPr>
            <w:tcW w:w="1243" w:type="pct"/>
            <w:vMerge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Bissulfito de sódio, sulfito ácido de sódio</w:t>
            </w:r>
          </w:p>
        </w:tc>
        <w:tc>
          <w:tcPr>
            <w:tcW w:w="1243" w:type="pct"/>
            <w:vMerge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Metabissulfito de sódio</w:t>
            </w:r>
          </w:p>
        </w:tc>
        <w:tc>
          <w:tcPr>
            <w:tcW w:w="1243" w:type="pct"/>
            <w:vMerge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Metabissulfito de potássio</w:t>
            </w:r>
          </w:p>
        </w:tc>
        <w:tc>
          <w:tcPr>
            <w:tcW w:w="1243" w:type="pct"/>
            <w:vMerge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Sulfito de potássio</w:t>
            </w:r>
          </w:p>
        </w:tc>
        <w:tc>
          <w:tcPr>
            <w:tcW w:w="1243" w:type="pct"/>
            <w:vMerge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Bissulfito de cálcio, sulfito ácido de cálcio</w:t>
            </w:r>
          </w:p>
        </w:tc>
        <w:tc>
          <w:tcPr>
            <w:tcW w:w="1243" w:type="pct"/>
            <w:vMerge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Bissulfito de potássio</w:t>
            </w:r>
          </w:p>
        </w:tc>
        <w:tc>
          <w:tcPr>
            <w:tcW w:w="1243" w:type="pct"/>
            <w:vMerge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Ácido ascórbico (L-)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Ascorbato de sódio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0,03 (como ác. ascórbico)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Ascorbato de cálcio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0,03 (como ác. ascórbico)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Ascorbato de potássio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0,03 (como ác. ascórbico)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Ácido eritórbico, ácido isoascórbico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0,01 (como ác. eritórbico ou isoascórbico)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316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 xml:space="preserve">Eritorbato de sódio, isoascorbato de sódio 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0,01 (como ác. eritórbico ou isoascórbico)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539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Tiossulfato de sódio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0,005 (como SO</w:t>
            </w:r>
            <w:r w:rsidRPr="00D643F5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D643F5">
              <w:rPr>
                <w:rFonts w:ascii="Arial" w:hAnsi="Arial" w:cs="Arial"/>
                <w:sz w:val="20"/>
                <w:szCs w:val="20"/>
              </w:rPr>
              <w:t xml:space="preserve"> sozinho ou em combinação)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000" w:type="pct"/>
            <w:gridSpan w:val="3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AROMATIZANTE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3757" w:type="pct"/>
            <w:gridSpan w:val="2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Aromatizantes naturais (somente óleo essencial, essência natural ou destilado vegetal de sua origem)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i/>
                <w:sz w:val="20"/>
                <w:szCs w:val="20"/>
              </w:rPr>
              <w:t>quantum satis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000" w:type="pct"/>
            <w:gridSpan w:val="3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CORANTE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101i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Riboflavina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Carmim, cochonilha, ácido carmínico, sais de Na, K, NH</w:t>
            </w:r>
            <w:r w:rsidRPr="00D643F5"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 w:rsidRPr="00D643F5">
              <w:rPr>
                <w:rFonts w:ascii="Arial" w:hAnsi="Arial" w:cs="Arial"/>
                <w:sz w:val="20"/>
                <w:szCs w:val="20"/>
              </w:rPr>
              <w:t xml:space="preserve"> e Ca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0,01</w:t>
            </w:r>
          </w:p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 xml:space="preserve">(como ác. </w:t>
            </w:r>
            <w:r w:rsidRPr="00D643F5">
              <w:rPr>
                <w:rFonts w:ascii="Arial" w:hAnsi="Arial" w:cs="Arial"/>
                <w:sz w:val="20"/>
                <w:szCs w:val="20"/>
              </w:rPr>
              <w:lastRenderedPageBreak/>
              <w:t>carmínico)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lastRenderedPageBreak/>
              <w:t>140i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Clorofila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i/>
                <w:sz w:val="20"/>
                <w:szCs w:val="20"/>
              </w:rPr>
              <w:t>quantum satis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Vermelho de beterraba, betanina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i/>
                <w:sz w:val="20"/>
                <w:szCs w:val="20"/>
              </w:rPr>
              <w:t>quantum satis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150a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 xml:space="preserve">Caramelo I – simples 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i/>
                <w:sz w:val="20"/>
                <w:szCs w:val="20"/>
                <w:vertAlign w:val="superscript"/>
              </w:rPr>
            </w:pPr>
            <w:r w:rsidRPr="00D643F5">
              <w:rPr>
                <w:rFonts w:ascii="Arial" w:hAnsi="Arial" w:cs="Arial"/>
                <w:i/>
                <w:sz w:val="20"/>
                <w:szCs w:val="20"/>
              </w:rPr>
              <w:t>quantum satis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150c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Caramelo III – processo amônia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5,0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150d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Caramelo IV – processo sulfito-amônia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5,0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160aii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Carotenos: extratos naturais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000" w:type="pct"/>
            <w:gridSpan w:val="3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ESTABILIZANTE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405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Alginato de propileno glicol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0,007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 xml:space="preserve">Goma arábica, goma acácia 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i/>
                <w:sz w:val="20"/>
                <w:szCs w:val="20"/>
              </w:rPr>
              <w:t>quantum satis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415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Goma xantana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643F5">
              <w:rPr>
                <w:rFonts w:ascii="Arial" w:hAnsi="Arial" w:cs="Arial"/>
                <w:i/>
                <w:sz w:val="20"/>
                <w:szCs w:val="20"/>
              </w:rPr>
              <w:t>quantum satis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  <w:tc>
          <w:tcPr>
            <w:tcW w:w="3201" w:type="pct"/>
            <w:vAlign w:val="center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Pectina, pectina amidada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643F5">
              <w:rPr>
                <w:rFonts w:ascii="Arial" w:hAnsi="Arial" w:cs="Arial"/>
                <w:i/>
                <w:sz w:val="20"/>
                <w:szCs w:val="20"/>
              </w:rPr>
              <w:t>quantum satis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  <w:tc>
          <w:tcPr>
            <w:tcW w:w="3201" w:type="pct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Metilcelulose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643F5">
              <w:rPr>
                <w:rFonts w:ascii="Arial" w:hAnsi="Arial" w:cs="Arial"/>
                <w:i/>
                <w:sz w:val="20"/>
                <w:szCs w:val="20"/>
              </w:rPr>
              <w:t>quantum satis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  <w:tc>
          <w:tcPr>
            <w:tcW w:w="3201" w:type="pct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Hidroxipropilmetilcelulose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643F5">
              <w:rPr>
                <w:rFonts w:ascii="Arial" w:hAnsi="Arial" w:cs="Arial"/>
                <w:i/>
                <w:sz w:val="20"/>
                <w:szCs w:val="20"/>
              </w:rPr>
              <w:t>quantum satis</w:t>
            </w:r>
          </w:p>
        </w:tc>
      </w:tr>
      <w:tr w:rsidR="00930443" w:rsidRPr="00D643F5" w:rsidTr="00930443">
        <w:trPr>
          <w:divId w:val="871654598"/>
          <w:jc w:val="center"/>
        </w:trPr>
        <w:tc>
          <w:tcPr>
            <w:tcW w:w="556" w:type="pct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466</w:t>
            </w:r>
          </w:p>
        </w:tc>
        <w:tc>
          <w:tcPr>
            <w:tcW w:w="3201" w:type="pct"/>
          </w:tcPr>
          <w:p w:rsidR="00930443" w:rsidRPr="00D643F5" w:rsidRDefault="00930443" w:rsidP="00930443">
            <w:pPr>
              <w:rPr>
                <w:rFonts w:ascii="Arial" w:hAnsi="Arial" w:cs="Arial"/>
                <w:sz w:val="20"/>
                <w:szCs w:val="20"/>
              </w:rPr>
            </w:pPr>
            <w:r w:rsidRPr="00D643F5">
              <w:rPr>
                <w:rFonts w:ascii="Arial" w:hAnsi="Arial" w:cs="Arial"/>
                <w:sz w:val="20"/>
                <w:szCs w:val="20"/>
              </w:rPr>
              <w:t>Carboximetilcelulose sódica</w:t>
            </w:r>
          </w:p>
        </w:tc>
        <w:tc>
          <w:tcPr>
            <w:tcW w:w="1243" w:type="pct"/>
            <w:vAlign w:val="center"/>
          </w:tcPr>
          <w:p w:rsidR="00930443" w:rsidRPr="00D643F5" w:rsidRDefault="00930443" w:rsidP="0093044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643F5">
              <w:rPr>
                <w:rFonts w:ascii="Arial" w:hAnsi="Arial" w:cs="Arial"/>
                <w:i/>
                <w:sz w:val="20"/>
                <w:szCs w:val="20"/>
              </w:rPr>
              <w:t>quantum satis</w:t>
            </w:r>
          </w:p>
        </w:tc>
      </w:tr>
    </w:tbl>
    <w:p w:rsidR="00A53197" w:rsidRDefault="00A53197">
      <w:pPr>
        <w:spacing w:before="0" w:beforeAutospacing="0" w:after="0" w:afterAutospacing="0"/>
        <w:jc w:val="center"/>
        <w:divId w:val="871654603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524060"/>
    <w:rsid w:val="005D13BD"/>
    <w:rsid w:val="00652E8A"/>
    <w:rsid w:val="00720E81"/>
    <w:rsid w:val="00771958"/>
    <w:rsid w:val="00802CF9"/>
    <w:rsid w:val="008B7BC0"/>
    <w:rsid w:val="008D770F"/>
    <w:rsid w:val="00930443"/>
    <w:rsid w:val="009D4C4B"/>
    <w:rsid w:val="009F4005"/>
    <w:rsid w:val="00A53197"/>
    <w:rsid w:val="00AF43E7"/>
    <w:rsid w:val="00C95A0B"/>
    <w:rsid w:val="00D643F5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930443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ascii="Arial" w:eastAsia="Times New Roman" w:hAnsi="Arial"/>
      <w:szCs w:val="20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930443"/>
    <w:rPr>
      <w:rFonts w:ascii="Arial" w:hAnsi="Arial" w:cs="Times New Roman"/>
      <w:sz w:val="24"/>
      <w:lang w:val="es-ES_tradnl" w:eastAsia="x-none"/>
    </w:rPr>
  </w:style>
  <w:style w:type="character" w:customStyle="1" w:styleId="A0">
    <w:name w:val="A0"/>
    <w:rsid w:val="00930443"/>
    <w:rPr>
      <w:color w:val="211D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65460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459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654601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8716546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60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4094</Characters>
  <Application>Microsoft Office Word</Application>
  <DocSecurity>0</DocSecurity>
  <Lines>34</Lines>
  <Paragraphs>9</Paragraphs>
  <ScaleCrop>false</ScaleCrop>
  <Company>ANVISA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2018-08-16T18:36:00Z</dcterms:created>
  <dcterms:modified xsi:type="dcterms:W3CDTF">2018-08-16T18:36:00Z</dcterms:modified>
</cp:coreProperties>
</file>