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2502A" w:rsidRDefault="009D7D3B" w:rsidP="0022502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2502A">
        <w:rPr>
          <w:rFonts w:ascii="Times New Roman" w:hAnsi="Times New Roman" w:cs="Times New Roman"/>
          <w:b/>
          <w:szCs w:val="24"/>
        </w:rPr>
        <w:t xml:space="preserve">RESOLUÇÃO </w:t>
      </w:r>
      <w:r w:rsidR="0022502A" w:rsidRPr="0022502A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22502A">
        <w:rPr>
          <w:rFonts w:ascii="Times New Roman" w:hAnsi="Times New Roman" w:cs="Times New Roman"/>
          <w:b/>
          <w:szCs w:val="24"/>
        </w:rPr>
        <w:t xml:space="preserve">– RDC Nº 77, DE 16 DE ABRIL DE </w:t>
      </w:r>
      <w:proofErr w:type="gramStart"/>
      <w:r w:rsidRPr="0022502A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9D7D3B" w:rsidRPr="0022502A" w:rsidRDefault="009D7D3B" w:rsidP="009D7D3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502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74-E, de 17 de abril de 2001</w:t>
      </w:r>
      <w:proofErr w:type="gramStart"/>
      <w:r w:rsidRPr="0022502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O </w:t>
      </w:r>
      <w:r w:rsidRPr="0022502A">
        <w:rPr>
          <w:rFonts w:ascii="Times New Roman" w:hAnsi="Times New Roman" w:cs="Times New Roman"/>
          <w:b/>
          <w:sz w:val="24"/>
          <w:szCs w:val="24"/>
        </w:rPr>
        <w:t>Diretor da Diretoria Colegiada da Agência Nacional de Vigilância Sanitária</w:t>
      </w:r>
      <w:r w:rsidRPr="0022502A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 do Regulamento da ANVISA aprovado pelo Decreto </w:t>
      </w:r>
      <w:proofErr w:type="gramStart"/>
      <w:r w:rsidRPr="0022502A">
        <w:rPr>
          <w:rFonts w:ascii="Times New Roman" w:hAnsi="Times New Roman" w:cs="Times New Roman"/>
          <w:sz w:val="24"/>
          <w:szCs w:val="24"/>
        </w:rPr>
        <w:t>3.029,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de 16 de abril de 1999, em reunião realizada em II de abril de 2001,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a necessidade de atualizar as normas e procedimentos referentes a registro de produtos saneantes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 xml:space="preserve"> e outros de natureza e finalidades idênticas, com base na Lei 6.360/76 e seu Regulamento Decreto 79.094/77, de 1977;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a n</w:t>
      </w:r>
      <w:bookmarkStart w:id="0" w:name="_GoBack"/>
      <w:bookmarkEnd w:id="0"/>
      <w:r w:rsidRPr="0022502A">
        <w:rPr>
          <w:rFonts w:ascii="Times New Roman" w:hAnsi="Times New Roman" w:cs="Times New Roman"/>
          <w:sz w:val="24"/>
          <w:szCs w:val="24"/>
        </w:rPr>
        <w:t xml:space="preserve">ecessidade de atualização continua do processo de registro de produtos;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que a legislação sanitária vigente se aplica a produtos nacionais e estrangeiros;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a Lei 8.078, de 1990 - Código de Defesa ao Consumidor e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a Lei 9782, de 1999,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Art. 1º Alterar o item D </w:t>
      </w:r>
      <w:proofErr w:type="gramStart"/>
      <w:r w:rsidRPr="0022502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, e estender o regulamento a produtos para desinfecção de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hortifruticolas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 xml:space="preserve"> nas Normas Gerais para Produtos Saneantes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 xml:space="preserve"> da Portaria 152 /MS/SVS, de 26 de Fevereiro de 1999 publicada no Diário Oficial da União em 1</w:t>
      </w:r>
      <w:r w:rsidR="00E8588E" w:rsidRPr="0022502A">
        <w:rPr>
          <w:rFonts w:ascii="Times New Roman" w:hAnsi="Times New Roman" w:cs="Times New Roman"/>
          <w:sz w:val="24"/>
          <w:szCs w:val="24"/>
        </w:rPr>
        <w:t xml:space="preserve"> de Março de 1999, que passa a t</w:t>
      </w:r>
      <w:r w:rsidRPr="0022502A">
        <w:rPr>
          <w:rFonts w:ascii="Times New Roman" w:hAnsi="Times New Roman" w:cs="Times New Roman"/>
          <w:sz w:val="24"/>
          <w:szCs w:val="24"/>
        </w:rPr>
        <w:t xml:space="preserve">er a seguinte redação: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3 - Os produtos destinados à desinfecção de água para o consumo humano ou desinfecção de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hortifruticolas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 xml:space="preserve"> deverão comprovar sua eficácia frente a Escherichia coli e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Enterococcus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2A">
        <w:rPr>
          <w:rFonts w:ascii="Times New Roman" w:hAnsi="Times New Roman" w:cs="Times New Roman"/>
          <w:sz w:val="24"/>
          <w:szCs w:val="24"/>
        </w:rPr>
        <w:t>faecium</w:t>
      </w:r>
      <w:proofErr w:type="spellEnd"/>
      <w:r w:rsidRPr="0022502A">
        <w:rPr>
          <w:rFonts w:ascii="Times New Roman" w:hAnsi="Times New Roman" w:cs="Times New Roman"/>
          <w:sz w:val="24"/>
          <w:szCs w:val="24"/>
        </w:rPr>
        <w:t>, utilizando a metodologia empregada pelo INCQS / FIOCRUZ para desinfetantes para águas de piscinas, no tempo e concentração recomendados no rótulo do produto pelo fabricante.</w:t>
      </w:r>
    </w:p>
    <w:p w:rsidR="00721106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02A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>3.1 - Os produtos destinados a desinfecção de água para consumo humano, que contenham como principio ativo Hipoclorito de sódio ou Hipoclorito de cálcio, cujo prazo de validade seja superior a 4 (quatro) meses, deverão ser reavaliados quanto a sua eficácia conforme item D.3. A amostra a ser utilizada deverá pertencer ao mesmo lote do laudo de quando da solicitação da concessão do registro, obedecendo aos períodos da tabela abaixo.</w:t>
      </w:r>
    </w:p>
    <w:p w:rsidR="0022502A" w:rsidRPr="0022502A" w:rsidRDefault="0022502A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Prazo de validade pretendido (meses)</w:t>
            </w:r>
          </w:p>
        </w:tc>
        <w:tc>
          <w:tcPr>
            <w:tcW w:w="4322" w:type="dxa"/>
          </w:tcPr>
          <w:p w:rsidR="00721106" w:rsidRPr="0022502A" w:rsidRDefault="00721106" w:rsidP="007211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b/>
                <w:sz w:val="24"/>
                <w:szCs w:val="24"/>
              </w:rPr>
              <w:t>Período para comprovação da análise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3° ao 4° mês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4322" w:type="dxa"/>
          </w:tcPr>
          <w:p w:rsidR="00721106" w:rsidRPr="0022502A" w:rsidRDefault="00721106" w:rsidP="00721106">
            <w:pPr>
              <w:rPr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5° ao 6° mês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4322" w:type="dxa"/>
          </w:tcPr>
          <w:p w:rsidR="00721106" w:rsidRPr="0022502A" w:rsidRDefault="00721106">
            <w:pPr>
              <w:rPr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7° ao 8° mês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721106" w:rsidRPr="0022502A" w:rsidRDefault="00721106" w:rsidP="00721106">
            <w:pPr>
              <w:rPr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9° ao 10° mês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721106" w:rsidRPr="0022502A" w:rsidRDefault="00721106">
            <w:pPr>
              <w:rPr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11° ao 12° mês</w:t>
            </w:r>
          </w:p>
        </w:tc>
      </w:tr>
      <w:tr w:rsidR="00721106" w:rsidRPr="0022502A" w:rsidTr="00721106">
        <w:tc>
          <w:tcPr>
            <w:tcW w:w="4322" w:type="dxa"/>
          </w:tcPr>
          <w:p w:rsidR="00721106" w:rsidRPr="0022502A" w:rsidRDefault="00721106" w:rsidP="0072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22" w:type="dxa"/>
          </w:tcPr>
          <w:p w:rsidR="00721106" w:rsidRPr="0022502A" w:rsidRDefault="00721106" w:rsidP="00721106">
            <w:pPr>
              <w:rPr>
                <w:sz w:val="24"/>
                <w:szCs w:val="24"/>
              </w:rPr>
            </w:pPr>
            <w:r w:rsidRPr="0022502A">
              <w:rPr>
                <w:rFonts w:ascii="Times New Roman" w:hAnsi="Times New Roman" w:cs="Times New Roman"/>
                <w:sz w:val="24"/>
                <w:szCs w:val="24"/>
              </w:rPr>
              <w:t>N°-1 ao N° mês</w:t>
            </w:r>
          </w:p>
        </w:tc>
      </w:tr>
    </w:tbl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D.3.1.1 - Para produtos com prazo de validade superior a 12 meses o registro só deverá ser solicitado se previamente cumprido o item D.3.1.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trike/>
          <w:sz w:val="24"/>
          <w:szCs w:val="24"/>
        </w:rPr>
        <w:t xml:space="preserve">D.3.1.2 - A amostra para análise citada no item </w:t>
      </w:r>
      <w:proofErr w:type="gramStart"/>
      <w:r w:rsidRPr="0022502A">
        <w:rPr>
          <w:rFonts w:ascii="Times New Roman" w:hAnsi="Times New Roman" w:cs="Times New Roman"/>
          <w:strike/>
          <w:sz w:val="24"/>
          <w:szCs w:val="24"/>
        </w:rPr>
        <w:t>D.</w:t>
      </w:r>
      <w:proofErr w:type="gramEnd"/>
      <w:r w:rsidRPr="0022502A">
        <w:rPr>
          <w:rFonts w:ascii="Times New Roman" w:hAnsi="Times New Roman" w:cs="Times New Roman"/>
          <w:strike/>
          <w:sz w:val="24"/>
          <w:szCs w:val="24"/>
        </w:rPr>
        <w:t>3.1 deve ser armazenada durante todo o prazo de validade nas condições indicadas no rótulo e efetuados por laboratório autorizado pela ANVISA. Nos produtos formulados com Hipoclorito de sódio ou Hipoclorito de cálcio o teor de cloro ativo máximo é de 2,5%</w:t>
      </w:r>
      <w:r w:rsidRPr="002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4F86" w:rsidRPr="0022502A" w:rsidRDefault="00D94F86" w:rsidP="00D94F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D.3.1.2 – A amostra para análise citada no item </w:t>
      </w:r>
      <w:proofErr w:type="gramStart"/>
      <w:r w:rsidRPr="0022502A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22502A">
        <w:rPr>
          <w:rFonts w:ascii="Times New Roman" w:hAnsi="Times New Roman" w:cs="Times New Roman"/>
          <w:sz w:val="24"/>
          <w:szCs w:val="24"/>
        </w:rPr>
        <w:t xml:space="preserve">3.1 deve ser armazenada durante todo o prazo de validade nas condições indicadas no rótulo e efetuados por laboratório autorizado pela ANVISA. Nos produtos formulados com Hipoclorito de sódio ou Hipoclorito de cálcio o teor de cloro ativo máximo é de 2,5% p/p para os produtos de uso não profissional. </w:t>
      </w:r>
      <w:r w:rsidRPr="0022502A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220, de 29 de julho de 2005</w:t>
      </w:r>
      <w:proofErr w:type="gramStart"/>
      <w:r w:rsidRPr="0022502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Art. 2° Conceder o prazo de 90 (noventa) dias para que os fabricantes dos produtos anteriormente registrados ou em fase de revalidação contendo Hipoclorito de sódio ou Hipoclorito de cálcio com a finalidade de desinfecção de água para consumo humano e/ou desinfecção de hortifrutícolas, ajustem-se aos dispositivos da presente Resolução.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 xml:space="preserve">§ 1º Os fabricantes que não se regularizarem dentro do prazo previsto no caput deste artigo terão seus registros cancelados. </w:t>
      </w:r>
    </w:p>
    <w:p w:rsidR="00721106" w:rsidRPr="0022502A" w:rsidRDefault="00721106" w:rsidP="007211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>Art. 3º Esta Resolução entra em vigor na data de sua publicação.</w:t>
      </w:r>
    </w:p>
    <w:p w:rsidR="00721106" w:rsidRPr="0022502A" w:rsidRDefault="00721106" w:rsidP="00721106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>GONZALO VECINA NETO</w:t>
      </w:r>
    </w:p>
    <w:p w:rsidR="00721106" w:rsidRPr="0022502A" w:rsidRDefault="00721106" w:rsidP="00721106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2A">
        <w:rPr>
          <w:rFonts w:ascii="Times New Roman" w:hAnsi="Times New Roman" w:cs="Times New Roman"/>
          <w:sz w:val="24"/>
          <w:szCs w:val="24"/>
        </w:rPr>
        <w:t>(Of. El. nº 135/2001)</w:t>
      </w:r>
    </w:p>
    <w:sectPr w:rsidR="00721106" w:rsidRPr="0022502A" w:rsidSect="00203BB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2A" w:rsidRDefault="0022502A" w:rsidP="0022502A">
      <w:pPr>
        <w:spacing w:after="0" w:line="240" w:lineRule="auto"/>
      </w:pPr>
      <w:r>
        <w:separator/>
      </w:r>
    </w:p>
  </w:endnote>
  <w:endnote w:type="continuationSeparator" w:id="0">
    <w:p w:rsidR="0022502A" w:rsidRDefault="0022502A" w:rsidP="0022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2A" w:rsidRPr="0022502A" w:rsidRDefault="0022502A" w:rsidP="002250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2A" w:rsidRDefault="0022502A" w:rsidP="0022502A">
      <w:pPr>
        <w:spacing w:after="0" w:line="240" w:lineRule="auto"/>
      </w:pPr>
      <w:r>
        <w:separator/>
      </w:r>
    </w:p>
  </w:footnote>
  <w:footnote w:type="continuationSeparator" w:id="0">
    <w:p w:rsidR="0022502A" w:rsidRDefault="0022502A" w:rsidP="0022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2A" w:rsidRPr="00B517AC" w:rsidRDefault="0022502A" w:rsidP="002250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43CAF7" wp14:editId="10CE372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502A" w:rsidRPr="00B517AC" w:rsidRDefault="0022502A" w:rsidP="002250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2502A" w:rsidRPr="00B517AC" w:rsidRDefault="0022502A" w:rsidP="002250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2502A" w:rsidRDefault="002250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D3B"/>
    <w:rsid w:val="001E708B"/>
    <w:rsid w:val="00203BBF"/>
    <w:rsid w:val="0022502A"/>
    <w:rsid w:val="006617EA"/>
    <w:rsid w:val="00721106"/>
    <w:rsid w:val="007441BF"/>
    <w:rsid w:val="00786686"/>
    <w:rsid w:val="008037A5"/>
    <w:rsid w:val="009D7D3B"/>
    <w:rsid w:val="00B30817"/>
    <w:rsid w:val="00D621E1"/>
    <w:rsid w:val="00D94F86"/>
    <w:rsid w:val="00E134CE"/>
    <w:rsid w:val="00E8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1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2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502A"/>
  </w:style>
  <w:style w:type="paragraph" w:styleId="Rodap">
    <w:name w:val="footer"/>
    <w:basedOn w:val="Normal"/>
    <w:link w:val="RodapChar"/>
    <w:uiPriority w:val="99"/>
    <w:unhideWhenUsed/>
    <w:rsid w:val="0022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502A"/>
  </w:style>
  <w:style w:type="paragraph" w:styleId="Textodebalo">
    <w:name w:val="Balloon Text"/>
    <w:basedOn w:val="Normal"/>
    <w:link w:val="TextodebaloChar"/>
    <w:uiPriority w:val="99"/>
    <w:semiHidden/>
    <w:unhideWhenUsed/>
    <w:rsid w:val="0022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1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B9442-C90F-4732-8DF8-11D201357E32}"/>
</file>

<file path=customXml/itemProps2.xml><?xml version="1.0" encoding="utf-8"?>
<ds:datastoreItem xmlns:ds="http://schemas.openxmlformats.org/officeDocument/2006/customXml" ds:itemID="{34D2C403-5ADA-4361-887F-A2AC011C15B6}"/>
</file>

<file path=customXml/itemProps3.xml><?xml version="1.0" encoding="utf-8"?>
<ds:datastoreItem xmlns:ds="http://schemas.openxmlformats.org/officeDocument/2006/customXml" ds:itemID="{79F94552-711D-4F42-8B18-1D3EEC4870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2016-10-31T12:27:00Z</cp:lastPrinted>
  <dcterms:created xsi:type="dcterms:W3CDTF">2016-04-27T13:19:00Z</dcterms:created>
  <dcterms:modified xsi:type="dcterms:W3CDTF">2016-10-31T12:27:00Z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