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34C1" w14:textId="06B581F3" w:rsidR="009F3963" w:rsidRPr="00C533F6" w:rsidRDefault="009F3963" w:rsidP="00820559">
      <w:pPr>
        <w:spacing w:after="1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RESOLUÇÃO DA DIRET</w:t>
      </w:r>
      <w:r w:rsidR="00EE7F6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ORIA COLEGIADA - RDC Nº </w:t>
      </w:r>
      <w:bookmarkStart w:id="0" w:name="_GoBack"/>
      <w:bookmarkEnd w:id="0"/>
      <w:r w:rsidR="007D1B9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1, DE </w:t>
      </w:r>
      <w:r w:rsidRPr="0B07982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2 DE JANEIRO DE 2001</w:t>
      </w:r>
    </w:p>
    <w:p w14:paraId="09AA3F15" w14:textId="7DCDAF1F" w:rsidR="0B07982C" w:rsidRPr="00465BE2" w:rsidRDefault="0B07982C" w:rsidP="00820559">
      <w:pPr>
        <w:spacing w:after="1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465BE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(Publicada no DOU nº 3, de 4 de janeiro de 2001)</w:t>
      </w:r>
    </w:p>
    <w:p w14:paraId="424E3ACA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Diretoria Colegiada da Agência Nacional de Vigilância Sanitária no uso da atribuição que lhe confere o art. 11 inciso IV do Regulamento da ANVISA aprovado pelo Decreto nº 3.029, de 16 de abril de 1999, em reunião realizada em 20 de dezembro de 2000, </w:t>
      </w:r>
    </w:p>
    <w:p w14:paraId="4A67FC3A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a necessidade de constante aperfeiçoamento das ações de controle sanitário na área de alimentos visando a proteção à saúde da população; </w:t>
      </w:r>
    </w:p>
    <w:p w14:paraId="37B59B0C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é indispensável o estabelecimento de regulamentos técnicos sobre aditivos em alimentos, com vistas a minimizar os riscos à saúde humana; </w:t>
      </w:r>
    </w:p>
    <w:p w14:paraId="3583FA60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é necessário aprovar o uso de Aditivos com a função de </w:t>
      </w:r>
      <w:proofErr w:type="spellStart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>Realçadores</w:t>
      </w:r>
      <w:proofErr w:type="spellEnd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Sabor, estabelecendo seus Limites Máximos para os Alimentos; </w:t>
      </w:r>
    </w:p>
    <w:p w14:paraId="47FC45C3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antes de ser autorizado o uso de um aditivo em alimentos, este foi submetido a uma adequada avaliação toxicológica, em que se levou em conta, entre outros aspectos, qualquer efeito cumulativo, sinérgico e de proteção decorrente de seu uso; </w:t>
      </w:r>
    </w:p>
    <w:p w14:paraId="2D7F1BF1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os aditivos alimentares são mantidos em observação e reavaliados quando necessário, caso se modifiquem as condições de uso, </w:t>
      </w:r>
    </w:p>
    <w:p w14:paraId="0C9BC10E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adotou a seguinte Resolução de Diretoria Colegiada e eu, Diretor-Presidente, determino a sua publicação: </w:t>
      </w:r>
    </w:p>
    <w:p w14:paraId="0915D21D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1º Aprovar o "Regulamento Técnico que aprova o uso de Aditivos com a função de </w:t>
      </w:r>
      <w:proofErr w:type="spellStart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>Realçadores</w:t>
      </w:r>
      <w:proofErr w:type="spellEnd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Sabor, </w:t>
      </w:r>
      <w:proofErr w:type="gramStart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Estabelecendo</w:t>
      </w:r>
      <w:proofErr w:type="gramEnd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Limites Máximos para os Alimentos ", constante do Anexo desta Resolução. </w:t>
      </w:r>
    </w:p>
    <w:p w14:paraId="70C52E26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Parágrafo único. Quando não especificado, os limites máximos indicados no anexo referem-se aos alimentos prontos para consumo para os quais a função </w:t>
      </w:r>
      <w:proofErr w:type="spellStart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>realçador</w:t>
      </w:r>
      <w:proofErr w:type="spellEnd"/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sabor está autorizada, de acordo com a legislação específica. </w:t>
      </w:r>
    </w:p>
    <w:p w14:paraId="00B2FF36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2º O descumprimento desta Resolução constitui infração sanitária sujeitando os infratores às penalidades da Lei n.º 6.437, de 20 de agosto de 1977 e demais disposições aplicáveis. </w:t>
      </w:r>
    </w:p>
    <w:p w14:paraId="63330D1E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3º Ficam revogados o item I da classificação de Condimentos e Temperos da Resolução CNNPA nº 12, publicada no Diário Oficial da União de 24 de julho de 1978, a Resolução CTA nº 03, publicada no Diário Oficial da União de 20 de setembro de 1978 e a Resolução ANVS/MS nº 251, de 30 de junho de 1999. </w:t>
      </w:r>
    </w:p>
    <w:p w14:paraId="6A744854" w14:textId="77777777" w:rsidR="009F3963" w:rsidRPr="00C533F6" w:rsidRDefault="0B07982C" w:rsidP="0045279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4º Esta Resolução de Diretoria Colegiada entra em vigor na data de sua publicação. </w:t>
      </w:r>
    </w:p>
    <w:p w14:paraId="4CCF474B" w14:textId="77777777" w:rsidR="00820559" w:rsidRDefault="00820559" w:rsidP="00452790">
      <w:pPr>
        <w:spacing w:after="13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C0F46F" w14:textId="76E7A4DE" w:rsidR="009F3963" w:rsidRDefault="0B07982C" w:rsidP="00452790">
      <w:pPr>
        <w:spacing w:after="13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B07982C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7886A8BD" w14:textId="61046354" w:rsidR="004C06A3" w:rsidRDefault="004C06A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0051D7D" w14:textId="15678625" w:rsidR="009F3963" w:rsidRDefault="009F3963" w:rsidP="00231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6"/>
          <w:lang w:eastAsia="pt-BR"/>
        </w:rPr>
      </w:pPr>
      <w:r w:rsidRPr="00231ABD">
        <w:rPr>
          <w:rFonts w:ascii="Times New Roman" w:eastAsia="Times New Roman" w:hAnsi="Times New Roman" w:cs="Times New Roman"/>
          <w:sz w:val="24"/>
          <w:szCs w:val="16"/>
          <w:lang w:eastAsia="pt-BR"/>
        </w:rPr>
        <w:lastRenderedPageBreak/>
        <w:t>ANEXO</w:t>
      </w:r>
    </w:p>
    <w:p w14:paraId="3F9208F1" w14:textId="77777777" w:rsidR="00E11E53" w:rsidRPr="00231ABD" w:rsidRDefault="00E11E53" w:rsidP="00231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6"/>
          <w:lang w:eastAsia="pt-B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594"/>
        <w:gridCol w:w="3393"/>
        <w:gridCol w:w="2387"/>
      </w:tblGrid>
      <w:tr w:rsidR="009F3963" w:rsidRPr="00452790" w14:paraId="29F65473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42B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0" w:type="auto"/>
            <w:vAlign w:val="center"/>
            <w:hideMark/>
          </w:tcPr>
          <w:p w14:paraId="38B5E734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Aditivo Função/Nome</w:t>
            </w:r>
          </w:p>
        </w:tc>
        <w:tc>
          <w:tcPr>
            <w:tcW w:w="0" w:type="auto"/>
            <w:vAlign w:val="center"/>
            <w:hideMark/>
          </w:tcPr>
          <w:p w14:paraId="5D38CF9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  <w:vAlign w:val="center"/>
            <w:hideMark/>
          </w:tcPr>
          <w:p w14:paraId="65736C8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 g/100g g/ 100mL</w:t>
            </w:r>
          </w:p>
        </w:tc>
      </w:tr>
      <w:tr w:rsidR="009F3963" w:rsidRPr="00452790" w14:paraId="688D51EA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665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C9E66DA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REALÇADOR DE SABOR</w:t>
            </w:r>
          </w:p>
        </w:tc>
        <w:tc>
          <w:tcPr>
            <w:tcW w:w="0" w:type="auto"/>
            <w:vAlign w:val="center"/>
            <w:hideMark/>
          </w:tcPr>
          <w:p w14:paraId="0A37501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DAB6C7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3963" w:rsidRPr="00452790" w14:paraId="0155A8E0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E0E1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620</w:t>
            </w:r>
          </w:p>
        </w:tc>
        <w:tc>
          <w:tcPr>
            <w:tcW w:w="0" w:type="auto"/>
            <w:vAlign w:val="center"/>
            <w:hideMark/>
          </w:tcPr>
          <w:p w14:paraId="48B987D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glutâmico</w:t>
            </w:r>
          </w:p>
        </w:tc>
        <w:tc>
          <w:tcPr>
            <w:tcW w:w="0" w:type="auto"/>
            <w:vAlign w:val="center"/>
            <w:hideMark/>
          </w:tcPr>
          <w:p w14:paraId="582CC6A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0AA864F4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3214417C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6AA3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621</w:t>
            </w:r>
          </w:p>
        </w:tc>
        <w:tc>
          <w:tcPr>
            <w:tcW w:w="0" w:type="auto"/>
            <w:vAlign w:val="center"/>
            <w:hideMark/>
          </w:tcPr>
          <w:p w14:paraId="2D793CD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Glutamato de sódio, glutamato monossódico</w:t>
            </w:r>
          </w:p>
        </w:tc>
        <w:tc>
          <w:tcPr>
            <w:tcW w:w="0" w:type="auto"/>
            <w:vAlign w:val="center"/>
            <w:hideMark/>
          </w:tcPr>
          <w:p w14:paraId="4F2ECC7C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40830A9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2435EC0F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B378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05A80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B46A8F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Hortaliças em conserva</w:t>
            </w:r>
          </w:p>
        </w:tc>
        <w:tc>
          <w:tcPr>
            <w:tcW w:w="0" w:type="auto"/>
            <w:vAlign w:val="center"/>
            <w:hideMark/>
          </w:tcPr>
          <w:p w14:paraId="5A982CE8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60275AEA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BBE3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1C8F396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F939E44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Preparações culinárias industriais</w:t>
            </w:r>
          </w:p>
        </w:tc>
        <w:tc>
          <w:tcPr>
            <w:tcW w:w="0" w:type="auto"/>
            <w:vAlign w:val="center"/>
            <w:hideMark/>
          </w:tcPr>
          <w:p w14:paraId="3EA3E856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4BA7F1C4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99A4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622</w:t>
            </w:r>
          </w:p>
        </w:tc>
        <w:tc>
          <w:tcPr>
            <w:tcW w:w="0" w:type="auto"/>
            <w:vAlign w:val="center"/>
            <w:hideMark/>
          </w:tcPr>
          <w:p w14:paraId="43A13516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Glutamato de potássio, glutamato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3273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6741AC35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3C74D5B3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27F7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623</w:t>
            </w:r>
          </w:p>
        </w:tc>
        <w:tc>
          <w:tcPr>
            <w:tcW w:w="0" w:type="auto"/>
            <w:vAlign w:val="center"/>
            <w:hideMark/>
          </w:tcPr>
          <w:p w14:paraId="650D9EBE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Glutamato de cálcio,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digultamato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0" w:type="auto"/>
            <w:vAlign w:val="center"/>
            <w:hideMark/>
          </w:tcPr>
          <w:p w14:paraId="3E17793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09F174B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64182FCE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C96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624</w:t>
            </w:r>
          </w:p>
        </w:tc>
        <w:tc>
          <w:tcPr>
            <w:tcW w:w="0" w:type="auto"/>
            <w:vAlign w:val="center"/>
            <w:hideMark/>
          </w:tcPr>
          <w:p w14:paraId="3E3A51B5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Glutamato de amônio, glutamato monoamônio</w:t>
            </w:r>
          </w:p>
        </w:tc>
        <w:tc>
          <w:tcPr>
            <w:tcW w:w="0" w:type="auto"/>
            <w:vAlign w:val="center"/>
            <w:hideMark/>
          </w:tcPr>
          <w:p w14:paraId="7DE80672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742ED64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3BB9FDED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0E1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2830C60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Glutamato de magnésio,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diglutamato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0" w:type="auto"/>
            <w:vAlign w:val="center"/>
            <w:hideMark/>
          </w:tcPr>
          <w:p w14:paraId="7290BDE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0B44A4A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6E65558B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E39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626</w:t>
            </w:r>
          </w:p>
        </w:tc>
        <w:tc>
          <w:tcPr>
            <w:tcW w:w="0" w:type="auto"/>
            <w:vAlign w:val="center"/>
            <w:hideMark/>
          </w:tcPr>
          <w:p w14:paraId="5F645AB4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guanílico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8173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6525438E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4EE87438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EBE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627</w:t>
            </w:r>
          </w:p>
        </w:tc>
        <w:tc>
          <w:tcPr>
            <w:tcW w:w="0" w:type="auto"/>
            <w:vAlign w:val="center"/>
            <w:hideMark/>
          </w:tcPr>
          <w:p w14:paraId="003B11C1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Guanilato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5'-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guanilato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8FA1E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685AB9BA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012A631B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360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628</w:t>
            </w:r>
          </w:p>
        </w:tc>
        <w:tc>
          <w:tcPr>
            <w:tcW w:w="0" w:type="auto"/>
            <w:vAlign w:val="center"/>
            <w:hideMark/>
          </w:tcPr>
          <w:p w14:paraId="5E88C92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Guanilato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potássio, potássio 5'-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guanilato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E0DF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77F5AFC4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3225AA61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48B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629</w:t>
            </w:r>
          </w:p>
        </w:tc>
        <w:tc>
          <w:tcPr>
            <w:tcW w:w="0" w:type="auto"/>
            <w:vAlign w:val="center"/>
            <w:hideMark/>
          </w:tcPr>
          <w:p w14:paraId="0C662542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Guanilato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cálcio 5'-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guanilato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D5C3C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224ADFBC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5F86F29F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1B55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630</w:t>
            </w:r>
          </w:p>
        </w:tc>
        <w:tc>
          <w:tcPr>
            <w:tcW w:w="0" w:type="auto"/>
            <w:vAlign w:val="center"/>
            <w:hideMark/>
          </w:tcPr>
          <w:p w14:paraId="1F8E84E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inosínico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6BBA9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311D55A6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0003CC24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E87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631</w:t>
            </w:r>
          </w:p>
        </w:tc>
        <w:tc>
          <w:tcPr>
            <w:tcW w:w="0" w:type="auto"/>
            <w:vAlign w:val="center"/>
            <w:hideMark/>
          </w:tcPr>
          <w:p w14:paraId="6A3F73BC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Inosinato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5'-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inosinato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3FFA5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70CF1FAC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1C547D20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408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0" w:type="auto"/>
            <w:vAlign w:val="center"/>
            <w:hideMark/>
          </w:tcPr>
          <w:p w14:paraId="08DEAE72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Inosinato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potássiio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potássio 5'-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inosinato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89EA6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0DFC621B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4AB3879D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D208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633</w:t>
            </w:r>
          </w:p>
        </w:tc>
        <w:tc>
          <w:tcPr>
            <w:tcW w:w="0" w:type="auto"/>
            <w:vAlign w:val="center"/>
            <w:hideMark/>
          </w:tcPr>
          <w:p w14:paraId="1346BA2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Inosinato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cálcio 5'- </w:t>
            </w: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inosinato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735FF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para os quais a função está autorizada</w:t>
            </w:r>
          </w:p>
        </w:tc>
        <w:tc>
          <w:tcPr>
            <w:tcW w:w="0" w:type="auto"/>
            <w:vAlign w:val="center"/>
            <w:hideMark/>
          </w:tcPr>
          <w:p w14:paraId="1E1998C2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quantum satis</w:t>
            </w:r>
          </w:p>
        </w:tc>
      </w:tr>
      <w:tr w:rsidR="009F3963" w:rsidRPr="00452790" w14:paraId="5B3FA8C8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F80A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14:paraId="6FC3D74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Acesulfame</w:t>
            </w:r>
            <w:proofErr w:type="spellEnd"/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0" w:type="auto"/>
            <w:vAlign w:val="center"/>
            <w:hideMark/>
          </w:tcPr>
          <w:p w14:paraId="55499A75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Goma de mascar</w:t>
            </w:r>
          </w:p>
        </w:tc>
        <w:tc>
          <w:tcPr>
            <w:tcW w:w="0" w:type="auto"/>
            <w:vAlign w:val="center"/>
            <w:hideMark/>
          </w:tcPr>
          <w:p w14:paraId="53CC223D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0,08</w:t>
            </w:r>
          </w:p>
        </w:tc>
      </w:tr>
      <w:tr w:rsidR="009F3963" w:rsidRPr="00452790" w14:paraId="0AD21E12" w14:textId="77777777" w:rsidTr="0046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2E15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0" w:type="auto"/>
            <w:vAlign w:val="center"/>
            <w:hideMark/>
          </w:tcPr>
          <w:p w14:paraId="1D05CB48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Aspartame</w:t>
            </w:r>
          </w:p>
        </w:tc>
        <w:tc>
          <w:tcPr>
            <w:tcW w:w="0" w:type="auto"/>
            <w:vAlign w:val="center"/>
            <w:hideMark/>
          </w:tcPr>
          <w:p w14:paraId="4D3A56E0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Goma de mascar</w:t>
            </w:r>
          </w:p>
        </w:tc>
        <w:tc>
          <w:tcPr>
            <w:tcW w:w="0" w:type="auto"/>
            <w:vAlign w:val="center"/>
            <w:hideMark/>
          </w:tcPr>
          <w:p w14:paraId="68933D51" w14:textId="77777777" w:rsidR="009F3963" w:rsidRPr="00452790" w:rsidRDefault="009F3963" w:rsidP="009F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27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0,25</w:t>
            </w:r>
          </w:p>
        </w:tc>
      </w:tr>
    </w:tbl>
    <w:p w14:paraId="72A3D3EC" w14:textId="77777777" w:rsidR="006B784D" w:rsidRPr="00C533F6" w:rsidRDefault="006B784D" w:rsidP="009F3963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6B784D" w:rsidRPr="00C533F6" w:rsidSect="00465BE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2011" w14:textId="77777777" w:rsidR="00465BE2" w:rsidRDefault="00465BE2" w:rsidP="00465BE2">
      <w:pPr>
        <w:spacing w:after="0" w:line="240" w:lineRule="auto"/>
      </w:pPr>
      <w:r>
        <w:separator/>
      </w:r>
    </w:p>
  </w:endnote>
  <w:endnote w:type="continuationSeparator" w:id="0">
    <w:p w14:paraId="2AA4C026" w14:textId="77777777" w:rsidR="00465BE2" w:rsidRDefault="00465BE2" w:rsidP="0046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644B" w14:textId="77777777" w:rsidR="00465BE2" w:rsidRPr="00B517AC" w:rsidRDefault="00465BE2" w:rsidP="00465B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3403102B" w14:textId="77777777" w:rsidR="00465BE2" w:rsidRDefault="00465B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E1BC" w14:textId="77777777" w:rsidR="00465BE2" w:rsidRDefault="00465BE2" w:rsidP="00465BE2">
      <w:pPr>
        <w:spacing w:after="0" w:line="240" w:lineRule="auto"/>
      </w:pPr>
      <w:r>
        <w:separator/>
      </w:r>
    </w:p>
  </w:footnote>
  <w:footnote w:type="continuationSeparator" w:id="0">
    <w:p w14:paraId="770BC4F0" w14:textId="77777777" w:rsidR="00465BE2" w:rsidRDefault="00465BE2" w:rsidP="0046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D247" w14:textId="77777777" w:rsidR="00465BE2" w:rsidRPr="00B517AC" w:rsidRDefault="00465BE2" w:rsidP="00465B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1395F4C" wp14:editId="2109BC4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1AB9C6" w14:textId="77777777" w:rsidR="00465BE2" w:rsidRPr="00B517AC" w:rsidRDefault="00465BE2" w:rsidP="00465B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4A559B73" w14:textId="77777777" w:rsidR="00465BE2" w:rsidRPr="00B517AC" w:rsidRDefault="00465BE2" w:rsidP="00465B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70562858" w14:textId="77777777" w:rsidR="00465BE2" w:rsidRDefault="00465BE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963"/>
    <w:rsid w:val="000354C6"/>
    <w:rsid w:val="00231ABD"/>
    <w:rsid w:val="00452790"/>
    <w:rsid w:val="00465BE2"/>
    <w:rsid w:val="004C06A3"/>
    <w:rsid w:val="00544E13"/>
    <w:rsid w:val="0069100F"/>
    <w:rsid w:val="006B784D"/>
    <w:rsid w:val="007D1B9A"/>
    <w:rsid w:val="00820559"/>
    <w:rsid w:val="00873C47"/>
    <w:rsid w:val="00975D96"/>
    <w:rsid w:val="009F3963"/>
    <w:rsid w:val="00C533F6"/>
    <w:rsid w:val="00E11E53"/>
    <w:rsid w:val="00EE7F62"/>
    <w:rsid w:val="0B079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F31341E"/>
  <w15:docId w15:val="{724B4CA9-EBC7-4F0A-ABA5-59BFA59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84D"/>
  </w:style>
  <w:style w:type="paragraph" w:styleId="Ttulo2">
    <w:name w:val="heading 2"/>
    <w:basedOn w:val="Normal"/>
    <w:link w:val="Ttulo2Char"/>
    <w:uiPriority w:val="9"/>
    <w:qFormat/>
    <w:rsid w:val="009F3963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39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65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5BE2"/>
  </w:style>
  <w:style w:type="paragraph" w:styleId="Rodap">
    <w:name w:val="footer"/>
    <w:basedOn w:val="Normal"/>
    <w:link w:val="RodapChar"/>
    <w:uiPriority w:val="99"/>
    <w:unhideWhenUsed/>
    <w:rsid w:val="00465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7B27B0-3E3F-4C41-8E7F-29E6023494DE}">
  <ds:schemaRefs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purl.org/dc/elements/1.1/"/>
    <ds:schemaRef ds:uri="http://schemas.microsoft.com/office/2006/documentManagement/types"/>
    <ds:schemaRef ds:uri="3358cef2-5e33-4382-9f34-ebdf29ebf261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8C72F42-28C2-4DF5-8CA8-A62BAE25C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C83795-03E3-4299-9BBB-688CAD19F6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 Jussara de Araujo Ferreira</cp:lastModifiedBy>
  <cp:revision>13</cp:revision>
  <cp:lastPrinted>2018-10-22T16:40:00Z</cp:lastPrinted>
  <dcterms:created xsi:type="dcterms:W3CDTF">2014-12-18T16:24:00Z</dcterms:created>
  <dcterms:modified xsi:type="dcterms:W3CDTF">2018-10-22T16:58:00Z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