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6BB" w:rsidRDefault="004336BB" w:rsidP="00A73E33">
      <w:pPr>
        <w:pStyle w:val="Ttulo1"/>
        <w:ind w:right="-427"/>
        <w:divId w:val="1800607631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A73E33">
        <w:rPr>
          <w:rFonts w:ascii="Times New Roman" w:hAnsi="Times New Roman" w:cs="Times New Roman"/>
          <w:sz w:val="22"/>
          <w:szCs w:val="22"/>
        </w:rPr>
        <w:t>RESOLUÇÃO DA DIRETORIA COLEGIADA</w:t>
      </w:r>
      <w:r w:rsidR="00A73E33" w:rsidRPr="00A73E33">
        <w:rPr>
          <w:rFonts w:ascii="Times New Roman" w:hAnsi="Times New Roman" w:cs="Times New Roman"/>
          <w:sz w:val="22"/>
          <w:szCs w:val="22"/>
        </w:rPr>
        <w:t xml:space="preserve"> </w:t>
      </w:r>
      <w:r w:rsidRPr="00A73E33">
        <w:rPr>
          <w:rFonts w:ascii="Times New Roman" w:hAnsi="Times New Roman" w:cs="Times New Roman"/>
          <w:sz w:val="22"/>
          <w:szCs w:val="22"/>
        </w:rPr>
        <w:t>- RDC N</w:t>
      </w:r>
      <w:r w:rsidR="00A73E33" w:rsidRPr="00A73E33">
        <w:rPr>
          <w:rFonts w:ascii="Times New Roman" w:hAnsi="Times New Roman" w:cs="Times New Roman"/>
          <w:sz w:val="22"/>
          <w:szCs w:val="22"/>
        </w:rPr>
        <w:t>º</w:t>
      </w:r>
      <w:r w:rsidRPr="00A73E33">
        <w:rPr>
          <w:rFonts w:ascii="Times New Roman" w:hAnsi="Times New Roman" w:cs="Times New Roman"/>
          <w:sz w:val="22"/>
          <w:szCs w:val="22"/>
        </w:rPr>
        <w:t xml:space="preserve"> 5, DE 30 DE JANEIRO DE 2015</w:t>
      </w:r>
    </w:p>
    <w:p w:rsidR="00FB4173" w:rsidRPr="00FB4173" w:rsidRDefault="00FB4173" w:rsidP="00FB4173">
      <w:pPr>
        <w:pStyle w:val="Ttulo2"/>
        <w:divId w:val="1800607631"/>
        <w:rPr>
          <w:rFonts w:ascii="Times New Roman" w:hAnsi="Times New Roman" w:cs="Times New Roman"/>
          <w:color w:val="0000FF"/>
          <w:sz w:val="24"/>
          <w:szCs w:val="24"/>
        </w:rPr>
      </w:pPr>
      <w:r w:rsidRPr="00FB4173">
        <w:rPr>
          <w:rFonts w:ascii="Times New Roman" w:hAnsi="Times New Roman" w:cs="Times New Roman"/>
          <w:color w:val="0000FF"/>
          <w:sz w:val="24"/>
          <w:szCs w:val="24"/>
        </w:rPr>
        <w:t>(Publicada no DOU nº 22, de 2 de fevereiro de 2015)</w:t>
      </w:r>
    </w:p>
    <w:p w:rsidR="004336BB" w:rsidRPr="00A73E33" w:rsidRDefault="004336BB" w:rsidP="004336BB">
      <w:pPr>
        <w:pStyle w:val="Default"/>
        <w:spacing w:before="100" w:beforeAutospacing="1" w:after="100" w:afterAutospacing="1"/>
        <w:ind w:left="3402"/>
        <w:jc w:val="both"/>
        <w:divId w:val="1800607631"/>
        <w:rPr>
          <w:rFonts w:ascii="Times New Roman" w:hAnsi="Times New Roman" w:cs="Times New Roman"/>
        </w:rPr>
      </w:pPr>
      <w:r w:rsidRPr="00A73E33">
        <w:rPr>
          <w:rFonts w:ascii="Times New Roman" w:hAnsi="Times New Roman" w:cs="Times New Roman"/>
          <w:color w:val="2E2C2D"/>
        </w:rPr>
        <w:t xml:space="preserve">Dispõe sobre regra de transição de </w:t>
      </w:r>
      <w:r w:rsidRPr="00A73E33">
        <w:rPr>
          <w:rFonts w:ascii="Times New Roman" w:hAnsi="Times New Roman" w:cs="Times New Roman"/>
        </w:rPr>
        <w:t xml:space="preserve">lágrimas artificiais e ou lubrificantes oculares da categoria de produtos para a saúde para a categoria de medicamentos. </w:t>
      </w:r>
    </w:p>
    <w:p w:rsidR="006A0B65" w:rsidRDefault="006A0B65" w:rsidP="004336BB">
      <w:pPr>
        <w:autoSpaceDE w:val="0"/>
        <w:autoSpaceDN w:val="0"/>
        <w:adjustRightInd w:val="0"/>
        <w:ind w:firstLine="567"/>
        <w:jc w:val="both"/>
        <w:divId w:val="1800607631"/>
        <w:rPr>
          <w:color w:val="000000"/>
        </w:rPr>
      </w:pPr>
    </w:p>
    <w:p w:rsidR="004336BB" w:rsidRPr="00A73E33" w:rsidRDefault="004336BB" w:rsidP="004336BB">
      <w:pPr>
        <w:autoSpaceDE w:val="0"/>
        <w:autoSpaceDN w:val="0"/>
        <w:adjustRightInd w:val="0"/>
        <w:ind w:firstLine="567"/>
        <w:jc w:val="both"/>
        <w:divId w:val="1800607631"/>
        <w:rPr>
          <w:color w:val="000000"/>
        </w:rPr>
      </w:pPr>
      <w:r w:rsidRPr="00A73E33">
        <w:rPr>
          <w:color w:val="000000"/>
        </w:rPr>
        <w:t xml:space="preserve">A </w:t>
      </w:r>
      <w:r w:rsidRPr="00494E58">
        <w:rPr>
          <w:b/>
          <w:color w:val="000000"/>
        </w:rPr>
        <w:t>Diretoria Colegiada da Agência Nacional de Vigilância Sanitária</w:t>
      </w:r>
      <w:r w:rsidRPr="00A73E33">
        <w:rPr>
          <w:color w:val="000000"/>
        </w:rPr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</w:t>
      </w:r>
      <w:r w:rsidR="00811898">
        <w:rPr>
          <w:color w:val="000000"/>
        </w:rPr>
        <w:t xml:space="preserve"> </w:t>
      </w:r>
      <w:r w:rsidRPr="00A73E33">
        <w:rPr>
          <w:color w:val="000000"/>
        </w:rPr>
        <w:t>422, de 16 de abril de 2008 em reunião realizada em 13 de maio de 2014, adota a seguinte Resolução da Diretoria Colegiada e eu, Diretor- Presidente, determino a sua publicação:</w:t>
      </w:r>
    </w:p>
    <w:p w:rsidR="004336BB" w:rsidRPr="00A73E33" w:rsidRDefault="004336BB" w:rsidP="004336BB">
      <w:pPr>
        <w:ind w:firstLine="567"/>
        <w:jc w:val="both"/>
        <w:divId w:val="1800607631"/>
      </w:pPr>
      <w:r w:rsidRPr="00A73E33">
        <w:t>Art. 1º As lágrimas artificiais e ou lubrificantes oculares são enquadrados na categoria de medicamentos específicos.</w:t>
      </w:r>
    </w:p>
    <w:p w:rsidR="004336BB" w:rsidRPr="00A73E33" w:rsidRDefault="004336BB" w:rsidP="004336BB">
      <w:pPr>
        <w:ind w:firstLine="567"/>
        <w:jc w:val="both"/>
        <w:divId w:val="1800607631"/>
      </w:pPr>
      <w:r w:rsidRPr="00A73E33">
        <w:t>Art. 2º As petições de registro de lágrimas artificiais e ou lubrificantes oculares já protocoladas na ANVISA na categoria de produtos para a saúde até o dia 02.05.2014 serão avaliadas dentro da categoria de produtos para a saúde.</w:t>
      </w:r>
    </w:p>
    <w:p w:rsidR="004336BB" w:rsidRPr="00A73E33" w:rsidRDefault="004336BB" w:rsidP="004336BB">
      <w:pPr>
        <w:ind w:firstLine="567"/>
        <w:jc w:val="both"/>
        <w:divId w:val="1800607631"/>
      </w:pPr>
      <w:r w:rsidRPr="00A73E33">
        <w:t>Parágrafo único. As petições de registro de lágrimas artificiais e ou lubrificantes oculares protocoladas na categoria de produtos para a saúde após a data mencionada no caput deste Artigo serão indeferidas.</w:t>
      </w:r>
    </w:p>
    <w:p w:rsidR="004336BB" w:rsidRPr="00A73E33" w:rsidRDefault="004336BB" w:rsidP="004336BB">
      <w:pPr>
        <w:ind w:firstLine="567"/>
        <w:jc w:val="both"/>
        <w:divId w:val="1800607631"/>
      </w:pPr>
      <w:r w:rsidRPr="00A73E33">
        <w:t>Art. 3º Os produtos, com mesmo detentor de registro e mesma formulação, registrados em ambas as categorias terão seus registros na categoria de produtos para a saúde cancelados a partir da entrada em vigor desta Resolução.</w:t>
      </w:r>
    </w:p>
    <w:p w:rsidR="004336BB" w:rsidRDefault="004336BB" w:rsidP="004336BB">
      <w:pPr>
        <w:ind w:firstLine="567"/>
        <w:jc w:val="both"/>
        <w:divId w:val="1800607631"/>
        <w:rPr>
          <w:b/>
          <w:color w:val="0000FF"/>
        </w:rPr>
      </w:pPr>
      <w:r w:rsidRPr="00A73E33">
        <w:t>Art. 4º Os detentores de registro de lágrimas artificiais e ou lubrificantes oculares na categoria de produtos para a saúde deverão solicitar novo registro na categoria de medicamentos específicos em até 24 (vinte e quatro) meses da entrada em vigor desta Resolução.</w:t>
      </w:r>
      <w:r w:rsidR="00405C31">
        <w:t xml:space="preserve"> </w:t>
      </w:r>
      <w:r w:rsidR="00405C31" w:rsidRPr="00405C31">
        <w:rPr>
          <w:b/>
          <w:color w:val="0000FF"/>
        </w:rPr>
        <w:t>(Prazo suspenso pela Resolução – RDC nº 139, de 9 de fevereiro de 2017)</w:t>
      </w:r>
    </w:p>
    <w:p w:rsidR="006A0B65" w:rsidRPr="00405C31" w:rsidRDefault="006A0B65" w:rsidP="004336BB">
      <w:pPr>
        <w:ind w:firstLine="567"/>
        <w:jc w:val="both"/>
        <w:divId w:val="1800607631"/>
        <w:rPr>
          <w:b/>
          <w:color w:val="0000FF"/>
        </w:rPr>
      </w:pPr>
    </w:p>
    <w:p w:rsidR="006A0B65" w:rsidRPr="00405C31" w:rsidRDefault="004336BB" w:rsidP="006A0B65">
      <w:pPr>
        <w:ind w:firstLine="567"/>
        <w:jc w:val="both"/>
        <w:divId w:val="1800607631"/>
        <w:rPr>
          <w:b/>
          <w:color w:val="0000FF"/>
        </w:rPr>
      </w:pPr>
      <w:r w:rsidRPr="00A73E33">
        <w:rPr>
          <w:color w:val="000000"/>
        </w:rPr>
        <w:lastRenderedPageBreak/>
        <w:t xml:space="preserve">Parágrafo único. </w:t>
      </w:r>
      <w:r w:rsidRPr="00A73E33">
        <w:t>Registros de lágrimas artificiais e ou lubrificantes oculares na categoria de produtos para a saúde que vencerem em até 24 (vinte e quatro) meses, a contar da vigência desta Resolução, poderão solicitar sua revalidação como produto para saúde, mas não poderão deixar de observar o prazo final estabelecido no caput deste artigo para a solicitação de novo registro na categoria de medicamentos específicos.</w:t>
      </w:r>
      <w:r w:rsidR="006A0B65">
        <w:t xml:space="preserve"> </w:t>
      </w:r>
      <w:r w:rsidR="006A0B65" w:rsidRPr="00405C31">
        <w:rPr>
          <w:b/>
          <w:color w:val="0000FF"/>
        </w:rPr>
        <w:t>(Prazo suspenso pela Resolução – RDC nº 139, de 9 de fevereiro de 2017)</w:t>
      </w:r>
    </w:p>
    <w:p w:rsidR="006A0B65" w:rsidRPr="00405C31" w:rsidRDefault="004336BB" w:rsidP="006A0B65">
      <w:pPr>
        <w:ind w:firstLine="567"/>
        <w:jc w:val="both"/>
        <w:divId w:val="1800607631"/>
        <w:rPr>
          <w:b/>
          <w:color w:val="0000FF"/>
        </w:rPr>
      </w:pPr>
      <w:r w:rsidRPr="00A73E33">
        <w:t>Art. 5º Os detentores de registro de lágrimas artificiais e ou lubrificantes oculares na categoria de produtos para a saúde que não solicitarem novo registro na categoria de medicamentos específicos no prazo de até 24 (vinte e quatro) meses da entrada em vigor desta Resolução terão seus registros cancelados.</w:t>
      </w:r>
      <w:r w:rsidR="006A0B65">
        <w:t xml:space="preserve"> </w:t>
      </w:r>
      <w:r w:rsidR="006A0B65" w:rsidRPr="00405C31">
        <w:rPr>
          <w:b/>
          <w:color w:val="0000FF"/>
        </w:rPr>
        <w:t>(Prazo suspenso pela Resolução – RDC nº 139, de 9 de fevereiro de 2017)</w:t>
      </w:r>
    </w:p>
    <w:p w:rsidR="004336BB" w:rsidRDefault="004336BB" w:rsidP="004336BB">
      <w:pPr>
        <w:autoSpaceDE w:val="0"/>
        <w:autoSpaceDN w:val="0"/>
        <w:adjustRightInd w:val="0"/>
        <w:ind w:firstLine="567"/>
        <w:jc w:val="both"/>
        <w:divId w:val="1800607631"/>
        <w:rPr>
          <w:color w:val="000000"/>
        </w:rPr>
      </w:pPr>
      <w:r w:rsidRPr="00A73E33">
        <w:rPr>
          <w:color w:val="000000"/>
        </w:rPr>
        <w:t>Art. 6º Esta Resolução entra em vigor na data de sua publicação.</w:t>
      </w:r>
    </w:p>
    <w:p w:rsidR="006A0B65" w:rsidRPr="00A73E33" w:rsidRDefault="006A0B65" w:rsidP="004336BB">
      <w:pPr>
        <w:autoSpaceDE w:val="0"/>
        <w:autoSpaceDN w:val="0"/>
        <w:adjustRightInd w:val="0"/>
        <w:ind w:firstLine="567"/>
        <w:jc w:val="both"/>
        <w:divId w:val="1800607631"/>
        <w:rPr>
          <w:color w:val="000000"/>
        </w:rPr>
      </w:pPr>
    </w:p>
    <w:p w:rsidR="004336BB" w:rsidRDefault="004336BB" w:rsidP="004336BB">
      <w:pPr>
        <w:pStyle w:val="Ttulo2"/>
        <w:divId w:val="1800607631"/>
        <w:rPr>
          <w:rFonts w:ascii="Times New Roman" w:hAnsi="Times New Roman" w:cs="Times New Roman"/>
          <w:sz w:val="24"/>
          <w:szCs w:val="24"/>
        </w:rPr>
      </w:pPr>
      <w:r w:rsidRPr="00A73E33">
        <w:rPr>
          <w:rFonts w:ascii="Times New Roman" w:hAnsi="Times New Roman" w:cs="Times New Roman"/>
          <w:sz w:val="24"/>
          <w:szCs w:val="24"/>
        </w:rPr>
        <w:t>JAIME CESAR DE MOURA OLIVEIRA</w:t>
      </w:r>
    </w:p>
    <w:sectPr w:rsidR="004336B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D99" w:rsidRDefault="00107D99" w:rsidP="00FD50F5">
      <w:pPr>
        <w:spacing w:before="0" w:after="0"/>
      </w:pPr>
      <w:r>
        <w:separator/>
      </w:r>
    </w:p>
  </w:endnote>
  <w:endnote w:type="continuationSeparator" w:id="0">
    <w:p w:rsidR="00107D99" w:rsidRDefault="00107D99" w:rsidP="00FD50F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F5" w:rsidRPr="00075F44" w:rsidRDefault="00FD50F5" w:rsidP="00FD50F5">
    <w:pPr>
      <w:pStyle w:val="Rodap"/>
      <w:jc w:val="center"/>
      <w:rPr>
        <w:rFonts w:asciiTheme="minorHAnsi" w:hAnsiTheme="minorHAnsi" w:cs="Calibri"/>
      </w:rPr>
    </w:pPr>
    <w:r w:rsidRPr="00075F44">
      <w:rPr>
        <w:rFonts w:asciiTheme="minorHAnsi" w:hAnsiTheme="minorHAnsi" w:cs="Calibri"/>
        <w:color w:val="943634" w:themeColor="accent2" w:themeShade="BF"/>
        <w:sz w:val="22"/>
        <w:szCs w:val="22"/>
      </w:rPr>
      <w:t>Este texto não substitui o(s) publicado(s) em Diário Oficial da União</w:t>
    </w:r>
  </w:p>
  <w:p w:rsidR="00FD50F5" w:rsidRDefault="00FD50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D99" w:rsidRDefault="00107D99" w:rsidP="00FD50F5">
      <w:pPr>
        <w:spacing w:before="0" w:after="0"/>
      </w:pPr>
      <w:r>
        <w:separator/>
      </w:r>
    </w:p>
  </w:footnote>
  <w:footnote w:type="continuationSeparator" w:id="0">
    <w:p w:rsidR="00107D99" w:rsidRDefault="00107D99" w:rsidP="00FD50F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F5" w:rsidRDefault="00107D99" w:rsidP="00FD50F5">
    <w:pPr>
      <w:pStyle w:val="Cabealho"/>
      <w:jc w:val="center"/>
    </w:pPr>
    <w:r w:rsidRPr="00107D99">
      <w:rPr>
        <w:noProof/>
        <w:lang w:val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D50F5" w:rsidRPr="00075F44" w:rsidRDefault="00FD50F5" w:rsidP="00FD50F5">
    <w:pPr>
      <w:pStyle w:val="Cabealho"/>
      <w:jc w:val="center"/>
      <w:rPr>
        <w:rFonts w:asciiTheme="minorHAnsi" w:hAnsiTheme="minorHAnsi" w:cs="Calibri"/>
        <w:b/>
      </w:rPr>
    </w:pPr>
    <w:r w:rsidRPr="00075F44">
      <w:rPr>
        <w:rFonts w:asciiTheme="minorHAnsi" w:hAnsiTheme="minorHAnsi" w:cs="Calibri"/>
        <w:b/>
      </w:rPr>
      <w:t>Ministério da Saúde - MS</w:t>
    </w:r>
  </w:p>
  <w:p w:rsidR="00FD50F5" w:rsidRPr="00075F44" w:rsidRDefault="00FD50F5" w:rsidP="00FD50F5">
    <w:pPr>
      <w:pStyle w:val="Cabealho"/>
      <w:jc w:val="center"/>
      <w:rPr>
        <w:rFonts w:asciiTheme="minorHAnsi" w:hAnsiTheme="minorHAnsi" w:cs="Calibri"/>
        <w:b/>
      </w:rPr>
    </w:pPr>
    <w:r w:rsidRPr="00075F44">
      <w:rPr>
        <w:rFonts w:asciiTheme="minorHAnsi" w:hAnsiTheme="minorHAnsi" w:cs="Calibri"/>
        <w:b/>
      </w:rPr>
      <w:t>Agência Nacional de Vigilância Sanitária - ANVISA</w:t>
    </w:r>
  </w:p>
  <w:p w:rsidR="00FD50F5" w:rsidRPr="00FD50F5" w:rsidRDefault="00FD50F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75F44"/>
    <w:rsid w:val="000870F0"/>
    <w:rsid w:val="000C2183"/>
    <w:rsid w:val="000E4E89"/>
    <w:rsid w:val="00101181"/>
    <w:rsid w:val="00107D99"/>
    <w:rsid w:val="00177EAE"/>
    <w:rsid w:val="001A17DE"/>
    <w:rsid w:val="001A1BCA"/>
    <w:rsid w:val="0026113A"/>
    <w:rsid w:val="00277E16"/>
    <w:rsid w:val="00391360"/>
    <w:rsid w:val="003B32F7"/>
    <w:rsid w:val="003C4A39"/>
    <w:rsid w:val="00405C31"/>
    <w:rsid w:val="00421063"/>
    <w:rsid w:val="004336BB"/>
    <w:rsid w:val="004877AB"/>
    <w:rsid w:val="00494E58"/>
    <w:rsid w:val="00504887"/>
    <w:rsid w:val="00536C97"/>
    <w:rsid w:val="00652E8A"/>
    <w:rsid w:val="00662C10"/>
    <w:rsid w:val="006A0B65"/>
    <w:rsid w:val="00771958"/>
    <w:rsid w:val="00783753"/>
    <w:rsid w:val="00811898"/>
    <w:rsid w:val="00867B72"/>
    <w:rsid w:val="00895DC9"/>
    <w:rsid w:val="008B7BC0"/>
    <w:rsid w:val="008D770F"/>
    <w:rsid w:val="00963BF1"/>
    <w:rsid w:val="009E6EB9"/>
    <w:rsid w:val="00A06235"/>
    <w:rsid w:val="00A27512"/>
    <w:rsid w:val="00A53197"/>
    <w:rsid w:val="00A533A1"/>
    <w:rsid w:val="00A66480"/>
    <w:rsid w:val="00A73E33"/>
    <w:rsid w:val="00A913A7"/>
    <w:rsid w:val="00AA1279"/>
    <w:rsid w:val="00AA72EF"/>
    <w:rsid w:val="00AC647E"/>
    <w:rsid w:val="00AD0330"/>
    <w:rsid w:val="00AE489C"/>
    <w:rsid w:val="00AF43E7"/>
    <w:rsid w:val="00B13D8C"/>
    <w:rsid w:val="00BA4BE8"/>
    <w:rsid w:val="00BC5F27"/>
    <w:rsid w:val="00BE676D"/>
    <w:rsid w:val="00C05434"/>
    <w:rsid w:val="00C33CA7"/>
    <w:rsid w:val="00C95774"/>
    <w:rsid w:val="00C95A0B"/>
    <w:rsid w:val="00D01638"/>
    <w:rsid w:val="00D20FF9"/>
    <w:rsid w:val="00D221EC"/>
    <w:rsid w:val="00D74B7B"/>
    <w:rsid w:val="00DF1883"/>
    <w:rsid w:val="00DF2639"/>
    <w:rsid w:val="00DF7C19"/>
    <w:rsid w:val="00E13B02"/>
    <w:rsid w:val="00E618EF"/>
    <w:rsid w:val="00E6599E"/>
    <w:rsid w:val="00F02B1C"/>
    <w:rsid w:val="00F16093"/>
    <w:rsid w:val="00F278A7"/>
    <w:rsid w:val="00F46716"/>
    <w:rsid w:val="00F51568"/>
    <w:rsid w:val="00FA5497"/>
    <w:rsid w:val="00FB4173"/>
    <w:rsid w:val="00FD50F5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semiHidden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60763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63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34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8006076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3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2656</Characters>
  <Application>Microsoft Office Word</Application>
  <DocSecurity>0</DocSecurity>
  <Lines>22</Lines>
  <Paragraphs>6</Paragraphs>
  <ScaleCrop>false</ScaleCrop>
  <Company>ANVISA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2014-07-01T19:01:00Z</cp:lastPrinted>
  <dcterms:created xsi:type="dcterms:W3CDTF">2018-08-16T18:52:00Z</dcterms:created>
  <dcterms:modified xsi:type="dcterms:W3CDTF">2018-08-16T18:52:00Z</dcterms:modified>
</cp:coreProperties>
</file>