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A1DAF" w:rsidRDefault="005A1DAF" w:rsidP="005A1DAF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A1DAF">
        <w:rPr>
          <w:rFonts w:ascii="Times New Roman" w:hAnsi="Times New Roman" w:cs="Times New Roman"/>
          <w:b/>
          <w:sz w:val="23"/>
          <w:szCs w:val="23"/>
        </w:rPr>
        <w:t xml:space="preserve">RESOLUÇÃO DA DIRETORIA COLEGIADA – RDC Nº 112, DE 30 DE JUNHO DE </w:t>
      </w:r>
      <w:proofErr w:type="gramStart"/>
      <w:r w:rsidRPr="005A1DAF">
        <w:rPr>
          <w:rFonts w:ascii="Times New Roman" w:hAnsi="Times New Roman" w:cs="Times New Roman"/>
          <w:b/>
          <w:sz w:val="23"/>
          <w:szCs w:val="23"/>
        </w:rPr>
        <w:t>2006</w:t>
      </w:r>
      <w:proofErr w:type="gramEnd"/>
    </w:p>
    <w:p w:rsidR="00C144CB" w:rsidRPr="005A1DAF" w:rsidRDefault="00C144CB" w:rsidP="00C144CB">
      <w:pPr>
        <w:jc w:val="center"/>
        <w:rPr>
          <w:rFonts w:ascii="Times New Roman" w:hAnsi="Times New Roman" w:cs="Times New Roman"/>
          <w:b/>
          <w:color w:val="0000FF"/>
          <w:sz w:val="24"/>
          <w:szCs w:val="28"/>
        </w:rPr>
      </w:pPr>
      <w:r w:rsidRPr="005A1DAF">
        <w:rPr>
          <w:rFonts w:ascii="Times New Roman" w:hAnsi="Times New Roman" w:cs="Times New Roman"/>
          <w:b/>
          <w:color w:val="0000FF"/>
          <w:sz w:val="24"/>
          <w:szCs w:val="28"/>
        </w:rPr>
        <w:t xml:space="preserve">(Publicada </w:t>
      </w:r>
      <w:r w:rsidR="00C02E82" w:rsidRPr="005A1DAF">
        <w:rPr>
          <w:rFonts w:ascii="Times New Roman" w:hAnsi="Times New Roman" w:cs="Times New Roman"/>
          <w:b/>
          <w:color w:val="0000FF"/>
          <w:sz w:val="24"/>
          <w:szCs w:val="28"/>
        </w:rPr>
        <w:t>no</w:t>
      </w:r>
      <w:r w:rsidR="005A1DAF" w:rsidRPr="005A1DAF">
        <w:rPr>
          <w:rFonts w:ascii="Times New Roman" w:hAnsi="Times New Roman" w:cs="Times New Roman"/>
          <w:b/>
          <w:color w:val="0000FF"/>
          <w:sz w:val="24"/>
          <w:szCs w:val="28"/>
        </w:rPr>
        <w:t xml:space="preserve"> DOU nº 126, de </w:t>
      </w:r>
      <w:proofErr w:type="gramStart"/>
      <w:r w:rsidRPr="005A1DAF">
        <w:rPr>
          <w:rFonts w:ascii="Times New Roman" w:hAnsi="Times New Roman" w:cs="Times New Roman"/>
          <w:b/>
          <w:color w:val="0000FF"/>
          <w:sz w:val="24"/>
          <w:szCs w:val="28"/>
        </w:rPr>
        <w:t>4</w:t>
      </w:r>
      <w:proofErr w:type="gramEnd"/>
      <w:r w:rsidRPr="005A1DAF">
        <w:rPr>
          <w:rFonts w:ascii="Times New Roman" w:hAnsi="Times New Roman" w:cs="Times New Roman"/>
          <w:b/>
          <w:color w:val="0000FF"/>
          <w:sz w:val="24"/>
          <w:szCs w:val="28"/>
        </w:rPr>
        <w:t xml:space="preserve"> de julho de 2006)</w:t>
      </w:r>
    </w:p>
    <w:p w:rsidR="0099622A" w:rsidRPr="005A1DAF" w:rsidRDefault="0099622A" w:rsidP="00C144CB">
      <w:pPr>
        <w:jc w:val="center"/>
        <w:rPr>
          <w:rFonts w:ascii="Times New Roman" w:hAnsi="Times New Roman" w:cs="Times New Roman"/>
          <w:b/>
          <w:color w:val="0000FF"/>
          <w:sz w:val="24"/>
          <w:szCs w:val="28"/>
        </w:rPr>
      </w:pPr>
      <w:r w:rsidRPr="005A1DAF">
        <w:rPr>
          <w:rFonts w:ascii="Times New Roman" w:hAnsi="Times New Roman" w:cs="Times New Roman"/>
          <w:b/>
          <w:color w:val="0000FF"/>
          <w:sz w:val="24"/>
          <w:szCs w:val="28"/>
        </w:rPr>
        <w:t>(Revogada pela Resolução – RDC nº 63, de 28 de dezembro de 2012</w:t>
      </w:r>
      <w:proofErr w:type="gramStart"/>
      <w:r w:rsidRPr="005A1DAF">
        <w:rPr>
          <w:rFonts w:ascii="Times New Roman" w:hAnsi="Times New Roman" w:cs="Times New Roman"/>
          <w:b/>
          <w:color w:val="0000FF"/>
          <w:sz w:val="24"/>
          <w:szCs w:val="28"/>
        </w:rPr>
        <w:t>)</w:t>
      </w:r>
      <w:proofErr w:type="gramEnd"/>
    </w:p>
    <w:p w:rsidR="00AF3CC7" w:rsidRPr="00CB6272" w:rsidRDefault="00AF3CC7" w:rsidP="00AF3CC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CB6272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8º, inciso IV e o art. 111, inciso I, alínea "b" e o § 2º deste artigo, do Regimento Interno aprovado pela Portaria da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nº. 593, de 25 de agosto de 2000, em reunião realizada em 26 de junho de 2006; </w:t>
      </w:r>
    </w:p>
    <w:p w:rsidR="00AF3CC7" w:rsidRPr="00CB6272" w:rsidRDefault="00AF3CC7" w:rsidP="00AF3CC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a competência da Agência Nacional de Vigilância Sanitária decorrente da seguinte legislação: Lei n° 6.360/76, Decreto n° 79.094/77, Lei n° 8.080/90, Lei nº 9.782/99, Lei nº 9.787/99, Decreto nº 3.029/99, Decreto n° 3.181/99 e a Instrução Normativa da Secretaria de Vigilância Sanitária do Ministério da Saúde nº 1, de 30 de setembro de 1994; </w:t>
      </w:r>
    </w:p>
    <w:p w:rsidR="00AF3CC7" w:rsidRPr="00CB6272" w:rsidRDefault="00AF3CC7" w:rsidP="00AF3CC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AF3CC7" w:rsidRPr="00CB6272" w:rsidRDefault="00AF3CC7" w:rsidP="00AF3CC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elaboradas pela Subcomissão de Denominações Comuns Brasileiras (SDCB), da Comissão Permanente de Revisão da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Brasileira (CPRFB), constantes da Resolução Anvisa RDC n</w:t>
      </w:r>
      <w:r w:rsidR="00D158E9" w:rsidRPr="00CB6272">
        <w:rPr>
          <w:rFonts w:ascii="Times New Roman" w:hAnsi="Times New Roman" w:cs="Times New Roman"/>
          <w:strike/>
          <w:sz w:val="24"/>
          <w:szCs w:val="24"/>
        </w:rPr>
        <w:t>º</w:t>
      </w:r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276, de 21 de outubro de 2002 (DOU 12/11/2002) e RDC n° 125 de 13 de maio de 2005; </w:t>
      </w:r>
    </w:p>
    <w:p w:rsidR="00AF3CC7" w:rsidRPr="00CB6272" w:rsidRDefault="00AF3CC7" w:rsidP="00AF3CC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a necessidade de revisar e atualizar as Denominações Comuns Brasileiras (DCB) publicadas pela Resolução Anvisa RDC nº 111, de 29 de abril de 2005 (DOU 16/06/2005); </w:t>
      </w:r>
    </w:p>
    <w:p w:rsidR="00AF3CC7" w:rsidRPr="00CB6272" w:rsidRDefault="00AF3CC7" w:rsidP="00AF3CC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o parecer emitido pela SDCB, da CPRFB, em cumprimento do seu dever de, periodicamente, revisar e atualizar as DCB para substâncias farmacêuticas; </w:t>
      </w:r>
    </w:p>
    <w:p w:rsidR="00AF3CC7" w:rsidRPr="00CB6272" w:rsidRDefault="00AF3CC7" w:rsidP="00AF3CC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 Diretor-Presidente, determino a sua publicação: </w:t>
      </w:r>
    </w:p>
    <w:p w:rsidR="00AF3CC7" w:rsidRPr="00CB6272" w:rsidRDefault="00AF3CC7" w:rsidP="00AF3CC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Art. 1º Aprovar, na forma dos Anexos 1, 2, 3 e 4 as inclusões, exclusões, correções do número atribuído pelo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Abstracts Service (CAS)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inclusão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do número CAS ou referência bibliográfica, respectivamente, das Denominações Comuns Brasileiras (DCB) 2004, concedendo às empresas o prazo de 360 dias para adequações referentes a esta resolução. </w:t>
      </w:r>
    </w:p>
    <w:p w:rsidR="00AF3CC7" w:rsidRPr="00CB6272" w:rsidRDefault="00AF3CC7" w:rsidP="00AF3CC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da sua edição. </w:t>
      </w:r>
    </w:p>
    <w:p w:rsidR="00AF3CC7" w:rsidRPr="00CB6272" w:rsidRDefault="00AF3CC7" w:rsidP="00AF3CC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lastRenderedPageBreak/>
        <w:t>DIRCEU RAPOSO DE MELLO</w:t>
      </w:r>
    </w:p>
    <w:p w:rsidR="00F87F04" w:rsidRPr="00CB6272" w:rsidRDefault="00F87F04" w:rsidP="00AF3CC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F87F04" w:rsidRPr="00CB6272" w:rsidRDefault="00F87F04" w:rsidP="00AF3CC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B6272">
        <w:rPr>
          <w:rFonts w:ascii="Times New Roman" w:hAnsi="Times New Roman" w:cs="Times New Roman"/>
          <w:b/>
          <w:strike/>
          <w:sz w:val="24"/>
          <w:szCs w:val="24"/>
        </w:rPr>
        <w:t xml:space="preserve">ANEXOS </w:t>
      </w:r>
    </w:p>
    <w:p w:rsidR="00F87F04" w:rsidRPr="00CB6272" w:rsidRDefault="00F87F04" w:rsidP="00D158E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>Na ausência do número CAS, este campo será preenchido com as chamadas de [Ref.1] até [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</w:rPr>
        <w:t>Ref.FB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], indicando a referência de origem da nomenclatura em inglês, conforme a tabela: </w:t>
      </w:r>
    </w:p>
    <w:p w:rsidR="00F87F04" w:rsidRPr="00CB6272" w:rsidRDefault="00F87F04" w:rsidP="00F87F04">
      <w:pPr>
        <w:spacing w:before="300" w:after="300" w:line="240" w:lineRule="auto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>Referências: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FF1157" w:rsidRPr="00CB6272" w:rsidTr="00FF1157">
        <w:tc>
          <w:tcPr>
            <w:tcW w:w="1951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Identificador</w:t>
            </w:r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Referência</w:t>
            </w:r>
          </w:p>
        </w:tc>
      </w:tr>
      <w:tr w:rsidR="00FF1157" w:rsidRPr="00CB6272" w:rsidTr="00FF1157">
        <w:tc>
          <w:tcPr>
            <w:tcW w:w="1951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Ref.1</w:t>
            </w:r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INN</w:t>
            </w:r>
          </w:p>
        </w:tc>
      </w:tr>
      <w:tr w:rsidR="00FF1157" w:rsidRPr="00CB6272" w:rsidTr="00FF1157">
        <w:tc>
          <w:tcPr>
            <w:tcW w:w="1951" w:type="dxa"/>
          </w:tcPr>
          <w:p w:rsidR="00FF1157" w:rsidRPr="00CB6272" w:rsidRDefault="00FF1157">
            <w:pPr>
              <w:rPr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Ref.2</w:t>
            </w:r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USAN</w:t>
            </w:r>
          </w:p>
        </w:tc>
      </w:tr>
      <w:tr w:rsidR="00FF1157" w:rsidRPr="00CB6272" w:rsidTr="00FF1157">
        <w:tc>
          <w:tcPr>
            <w:tcW w:w="1951" w:type="dxa"/>
          </w:tcPr>
          <w:p w:rsidR="00FF1157" w:rsidRPr="00CB6272" w:rsidRDefault="00FF1157">
            <w:pPr>
              <w:rPr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Ref.3</w:t>
            </w:r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strike/>
                <w:sz w:val="24"/>
                <w:szCs w:val="24"/>
              </w:rPr>
              <w:t>Merck Index</w:t>
            </w:r>
          </w:p>
        </w:tc>
      </w:tr>
      <w:tr w:rsidR="00FF1157" w:rsidRPr="00CB6272" w:rsidTr="00FF1157">
        <w:tc>
          <w:tcPr>
            <w:tcW w:w="1951" w:type="dxa"/>
          </w:tcPr>
          <w:p w:rsidR="00FF1157" w:rsidRPr="00CB6272" w:rsidRDefault="00FF1157">
            <w:pPr>
              <w:rPr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Ref.4</w:t>
            </w:r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strike/>
                <w:sz w:val="24"/>
                <w:szCs w:val="24"/>
              </w:rPr>
              <w:t>Martindale</w:t>
            </w:r>
            <w:proofErr w:type="spellEnd"/>
          </w:p>
        </w:tc>
      </w:tr>
      <w:tr w:rsidR="00FF1157" w:rsidRPr="00CB6272" w:rsidTr="00FF1157">
        <w:tc>
          <w:tcPr>
            <w:tcW w:w="1951" w:type="dxa"/>
          </w:tcPr>
          <w:p w:rsidR="00FF1157" w:rsidRPr="00CB6272" w:rsidRDefault="00FF1157">
            <w:pPr>
              <w:rPr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Ref.5</w:t>
            </w:r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strike/>
                <w:sz w:val="24"/>
                <w:szCs w:val="24"/>
              </w:rPr>
              <w:t xml:space="preserve">Index </w:t>
            </w:r>
            <w:proofErr w:type="spellStart"/>
            <w:r w:rsidRPr="00CB6272">
              <w:rPr>
                <w:strike/>
                <w:sz w:val="24"/>
                <w:szCs w:val="24"/>
              </w:rPr>
              <w:t>Nominum</w:t>
            </w:r>
            <w:proofErr w:type="spellEnd"/>
          </w:p>
        </w:tc>
      </w:tr>
      <w:tr w:rsidR="00FF1157" w:rsidRPr="00CB6272" w:rsidTr="00FF1157">
        <w:tc>
          <w:tcPr>
            <w:tcW w:w="1951" w:type="dxa"/>
          </w:tcPr>
          <w:p w:rsidR="00FF1157" w:rsidRPr="00CB6272" w:rsidRDefault="00FF1157">
            <w:pPr>
              <w:rPr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Ref.6</w:t>
            </w:r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strike/>
                <w:sz w:val="24"/>
                <w:szCs w:val="24"/>
              </w:rPr>
              <w:t>Chemfinder</w:t>
            </w:r>
            <w:proofErr w:type="spellEnd"/>
          </w:p>
        </w:tc>
      </w:tr>
      <w:tr w:rsidR="00FF1157" w:rsidRPr="00CB6272" w:rsidTr="00FF1157">
        <w:tc>
          <w:tcPr>
            <w:tcW w:w="1951" w:type="dxa"/>
          </w:tcPr>
          <w:p w:rsidR="00FF1157" w:rsidRPr="00CB6272" w:rsidRDefault="00FF1157">
            <w:pPr>
              <w:rPr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Ref.7</w:t>
            </w:r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strike/>
                <w:sz w:val="24"/>
                <w:szCs w:val="24"/>
              </w:rPr>
              <w:t>Drugdex</w:t>
            </w:r>
            <w:proofErr w:type="spellEnd"/>
          </w:p>
        </w:tc>
      </w:tr>
      <w:tr w:rsidR="00FF1157" w:rsidRPr="00CB6272" w:rsidTr="00FF1157">
        <w:tc>
          <w:tcPr>
            <w:tcW w:w="1951" w:type="dxa"/>
          </w:tcPr>
          <w:p w:rsidR="00FF1157" w:rsidRPr="00CB6272" w:rsidRDefault="00FF1157">
            <w:pPr>
              <w:rPr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Ref.8</w:t>
            </w:r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strike/>
                <w:sz w:val="24"/>
                <w:szCs w:val="24"/>
              </w:rPr>
              <w:t>Handbook</w:t>
            </w:r>
            <w:proofErr w:type="spellEnd"/>
            <w:r w:rsidRPr="00CB6272">
              <w:rPr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strike/>
                <w:sz w:val="24"/>
                <w:szCs w:val="24"/>
              </w:rPr>
              <w:t>of</w:t>
            </w:r>
            <w:proofErr w:type="spellEnd"/>
            <w:r w:rsidRPr="00CB6272">
              <w:rPr>
                <w:strike/>
                <w:sz w:val="24"/>
                <w:szCs w:val="24"/>
              </w:rPr>
              <w:t xml:space="preserve"> excipientes</w:t>
            </w:r>
          </w:p>
        </w:tc>
      </w:tr>
      <w:tr w:rsidR="00FF1157" w:rsidRPr="00CB6272" w:rsidTr="00FF1157">
        <w:tc>
          <w:tcPr>
            <w:tcW w:w="1951" w:type="dxa"/>
          </w:tcPr>
          <w:p w:rsidR="00FF1157" w:rsidRPr="00CB6272" w:rsidRDefault="00FF1157">
            <w:pPr>
              <w:rPr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Ref.9</w:t>
            </w:r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strike/>
                <w:sz w:val="24"/>
                <w:szCs w:val="24"/>
              </w:rPr>
              <w:t>Scinfinder</w:t>
            </w:r>
            <w:proofErr w:type="spellEnd"/>
          </w:p>
        </w:tc>
      </w:tr>
      <w:tr w:rsidR="00FF1157" w:rsidRPr="00CB6272" w:rsidTr="00FF1157">
        <w:tc>
          <w:tcPr>
            <w:tcW w:w="1951" w:type="dxa"/>
          </w:tcPr>
          <w:p w:rsidR="00FF1157" w:rsidRPr="00CB6272" w:rsidRDefault="00FF1157">
            <w:pPr>
              <w:rPr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Ref.10</w:t>
            </w:r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strike/>
                <w:sz w:val="24"/>
                <w:szCs w:val="24"/>
              </w:rPr>
              <w:t>Chemindustry</w:t>
            </w:r>
            <w:proofErr w:type="spellEnd"/>
          </w:p>
        </w:tc>
      </w:tr>
      <w:tr w:rsidR="00FF1157" w:rsidRPr="00CB6272" w:rsidTr="00FF1157">
        <w:tc>
          <w:tcPr>
            <w:tcW w:w="1951" w:type="dxa"/>
          </w:tcPr>
          <w:p w:rsidR="00FF1157" w:rsidRPr="00CB6272" w:rsidRDefault="00FF1157">
            <w:pPr>
              <w:rPr>
                <w:strike/>
                <w:sz w:val="24"/>
                <w:szCs w:val="24"/>
              </w:rPr>
            </w:pP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Ref.FB</w:t>
            </w:r>
            <w:proofErr w:type="spellEnd"/>
          </w:p>
        </w:tc>
        <w:tc>
          <w:tcPr>
            <w:tcW w:w="6693" w:type="dxa"/>
          </w:tcPr>
          <w:p w:rsidR="00FF1157" w:rsidRPr="00CB6272" w:rsidRDefault="00FF1157" w:rsidP="00F87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strike/>
                <w:sz w:val="24"/>
                <w:szCs w:val="24"/>
              </w:rPr>
              <w:t>Farmacopéia</w:t>
            </w:r>
            <w:proofErr w:type="spellEnd"/>
            <w:r w:rsidRPr="00CB6272">
              <w:rPr>
                <w:strike/>
                <w:sz w:val="24"/>
                <w:szCs w:val="24"/>
              </w:rPr>
              <w:t xml:space="preserve"> Brasileira</w:t>
            </w:r>
          </w:p>
        </w:tc>
      </w:tr>
    </w:tbl>
    <w:p w:rsidR="00FF1157" w:rsidRPr="00CB6272" w:rsidRDefault="00FF1157" w:rsidP="00FF11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spellStart"/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CambridgeSoft</w:t>
      </w:r>
      <w:proofErr w:type="spellEnd"/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Corporation.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</w:rPr>
        <w:t>Chemfinder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2005. Banco de dados disponível no Endereço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eletrônico: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http://chemfinder.cambridgesoft.com (acessado em 03.05.06). </w:t>
      </w:r>
    </w:p>
    <w:p w:rsidR="00FF1157" w:rsidRPr="00CB6272" w:rsidRDefault="00FF1157" w:rsidP="00FF11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>- Chemindustry.com. Banco de dados disponível no endereço eletrônico: http://chemindustry.com/ (acessado em 03.05.06).</w:t>
      </w:r>
    </w:p>
    <w:p w:rsidR="00FF1157" w:rsidRPr="00CB6272" w:rsidRDefault="00FF1157" w:rsidP="00FF11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Kibbe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AH.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Handbook of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Pharmaceultical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Excipients.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3thedition. Washington, DC: American Pharmaceutical Association; London,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UK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:Pharmaceutical</w:t>
      </w:r>
      <w:proofErr w:type="spellEnd"/>
      <w:proofErr w:type="gram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Press. </w:t>
      </w:r>
    </w:p>
    <w:p w:rsidR="00FF1157" w:rsidRPr="00CB6272" w:rsidRDefault="00FF1157" w:rsidP="00FF11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Klasco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RK (Ed): DRUGDEX</w:t>
      </w:r>
      <w:r w:rsidRPr="00CB6272">
        <w:rPr>
          <w:rFonts w:ascii="Times New Roman" w:hAnsi="Times New Roman" w:cs="Times New Roman"/>
          <w:strike/>
          <w:sz w:val="24"/>
          <w:szCs w:val="24"/>
        </w:rPr>
        <w:t></w:t>
      </w:r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System (electronic version).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Thomson Micromedex, Greenwood Village, Colorado, USA.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Available at: http://www.thomsonhc.com (cited: 03/06/2006).</w:t>
      </w:r>
    </w:p>
    <w:p w:rsidR="00FF1157" w:rsidRPr="00CB6272" w:rsidRDefault="00FF1157" w:rsidP="00FF11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O'Neil MJ (Ed).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The Merck Index.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13th ed. Whitehouse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Station(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NJ): Merck &amp; Co.,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Inc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, 2001; -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Sweetman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 (Ed), Martindale: The Complete Drug Reference. London: Pharmaceutical Press.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version, Thomson Micromedex, Greenwood Village, Colorado, USA.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Available at: http://www.thomsonhc.com (cited: 03/06/2006). </w:t>
      </w:r>
    </w:p>
    <w:p w:rsidR="00FF1157" w:rsidRPr="00CB6272" w:rsidRDefault="00FF1157" w:rsidP="00FF11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Swiss Pharmaceutical Society. Index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Nominum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</w:p>
    <w:p w:rsidR="00FF1157" w:rsidRPr="00CB6272" w:rsidRDefault="00FF1157" w:rsidP="00FF11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- International Drug Directory.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version.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proofErr w:type="gram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Medpharm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Scientific Publishers, Stuttgart, Germany.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Greenwood Village, Colorado: Micromedex; 2006. </w:t>
      </w:r>
    </w:p>
    <w:p w:rsidR="00FF1157" w:rsidRPr="00CB6272" w:rsidRDefault="00FF1157" w:rsidP="00FF11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USP Dictionary of USAN and International Drug Names. </w:t>
      </w:r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2003. </w:t>
      </w:r>
      <w:proofErr w:type="spellStart"/>
      <w:proofErr w:type="gramStart"/>
      <w:r w:rsidRPr="00CB6272">
        <w:rPr>
          <w:rFonts w:ascii="Times New Roman" w:hAnsi="Times New Roman" w:cs="Times New Roman"/>
          <w:strike/>
          <w:sz w:val="24"/>
          <w:szCs w:val="24"/>
        </w:rPr>
        <w:t>Rockville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MD): United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</w:rPr>
        <w:t>States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</w:rPr>
        <w:t>Pharmacopeial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</w:rPr>
        <w:t>Conventio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</w:rPr>
        <w:t>, 2003 e suas atualizações.</w:t>
      </w:r>
    </w:p>
    <w:p w:rsidR="00FF1157" w:rsidRPr="00CB6272" w:rsidRDefault="00FF1157" w:rsidP="00FF11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WHO.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International Nonproprietary Names (INN) for Pharmaceutical Substances CDROM.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Lists 1-90 of Proposed INN and Lists 1-51 of Recommended INN. </w:t>
      </w:r>
      <w:proofErr w:type="gramStart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>Cumulative List Nº.</w:t>
      </w:r>
      <w:proofErr w:type="gramEnd"/>
      <w:r w:rsidRPr="00CB6272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11.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</w:rPr>
        <w:t>Geneva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: World Health </w:t>
      </w:r>
      <w:proofErr w:type="spellStart"/>
      <w:r w:rsidRPr="00CB6272">
        <w:rPr>
          <w:rFonts w:ascii="Times New Roman" w:hAnsi="Times New Roman" w:cs="Times New Roman"/>
          <w:strike/>
          <w:sz w:val="24"/>
          <w:szCs w:val="24"/>
        </w:rPr>
        <w:t>Organization</w:t>
      </w:r>
      <w:proofErr w:type="spellEnd"/>
      <w:r w:rsidRPr="00CB6272">
        <w:rPr>
          <w:rFonts w:ascii="Times New Roman" w:hAnsi="Times New Roman" w:cs="Times New Roman"/>
          <w:strike/>
          <w:sz w:val="24"/>
          <w:szCs w:val="24"/>
        </w:rPr>
        <w:t xml:space="preserve">, 2004. Atualizações. </w:t>
      </w:r>
    </w:p>
    <w:p w:rsidR="005A1DAF" w:rsidRDefault="005A1DAF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br w:type="page"/>
      </w:r>
    </w:p>
    <w:p w:rsidR="005A1DAF" w:rsidRDefault="005A1DAF" w:rsidP="00D158E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  <w:sectPr w:rsidR="005A1DAF" w:rsidSect="005A1DAF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1157" w:rsidRPr="00CB6272" w:rsidRDefault="00FF1157" w:rsidP="00D158E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B6272">
        <w:rPr>
          <w:rFonts w:ascii="Times New Roman" w:hAnsi="Times New Roman" w:cs="Times New Roman"/>
          <w:b/>
          <w:strike/>
          <w:sz w:val="24"/>
          <w:szCs w:val="24"/>
        </w:rPr>
        <w:lastRenderedPageBreak/>
        <w:t xml:space="preserve">ANEXO </w:t>
      </w:r>
      <w:proofErr w:type="gramStart"/>
      <w:r w:rsidRPr="00CB6272">
        <w:rPr>
          <w:rFonts w:ascii="Times New Roman" w:hAnsi="Times New Roman" w:cs="Times New Roman"/>
          <w:b/>
          <w:strike/>
          <w:sz w:val="24"/>
          <w:szCs w:val="24"/>
        </w:rPr>
        <w:t>1</w:t>
      </w:r>
      <w:proofErr w:type="gramEnd"/>
    </w:p>
    <w:p w:rsidR="00F87F04" w:rsidRPr="00CB6272" w:rsidRDefault="00FF1157" w:rsidP="00D158E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>Inclusões na lista DCB 2004 publicada pela RDC n° 111 de 29 de abril de 2005</w:t>
      </w:r>
    </w:p>
    <w:tbl>
      <w:tblPr>
        <w:tblStyle w:val="Tabelacomgrade"/>
        <w:tblW w:w="15276" w:type="dxa"/>
        <w:tblInd w:w="-627" w:type="dxa"/>
        <w:tblLayout w:type="fixed"/>
        <w:tblLook w:val="04A0" w:firstRow="1" w:lastRow="0" w:firstColumn="1" w:lastColumn="0" w:noHBand="0" w:noVBand="1"/>
      </w:tblPr>
      <w:tblGrid>
        <w:gridCol w:w="2660"/>
        <w:gridCol w:w="1559"/>
        <w:gridCol w:w="1874"/>
        <w:gridCol w:w="1045"/>
        <w:gridCol w:w="1475"/>
        <w:gridCol w:w="1843"/>
        <w:gridCol w:w="1843"/>
        <w:gridCol w:w="2977"/>
      </w:tblGrid>
      <w:tr w:rsidR="00F75FED" w:rsidRPr="00CB6272" w:rsidTr="005A1DAF">
        <w:tc>
          <w:tcPr>
            <w:tcW w:w="2660" w:type="dxa"/>
            <w:vAlign w:val="center"/>
          </w:tcPr>
          <w:p w:rsidR="00DA6A69" w:rsidRPr="00CB6272" w:rsidRDefault="00DA6A69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1559" w:type="dxa"/>
            <w:vAlign w:val="center"/>
          </w:tcPr>
          <w:p w:rsidR="00DA6A69" w:rsidRPr="00CB6272" w:rsidRDefault="00DA6A69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CAS</w:t>
            </w:r>
          </w:p>
        </w:tc>
        <w:tc>
          <w:tcPr>
            <w:tcW w:w="1874" w:type="dxa"/>
            <w:vAlign w:val="center"/>
          </w:tcPr>
          <w:p w:rsidR="00DA6A69" w:rsidRPr="00CB6272" w:rsidRDefault="00DA6A69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</w:t>
            </w:r>
          </w:p>
        </w:tc>
        <w:tc>
          <w:tcPr>
            <w:tcW w:w="1045" w:type="dxa"/>
            <w:vAlign w:val="center"/>
          </w:tcPr>
          <w:p w:rsidR="00DA6A69" w:rsidRPr="00CB6272" w:rsidRDefault="00DA6A69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Número DCB</w:t>
            </w:r>
          </w:p>
        </w:tc>
        <w:tc>
          <w:tcPr>
            <w:tcW w:w="1475" w:type="dxa"/>
            <w:vAlign w:val="center"/>
          </w:tcPr>
          <w:p w:rsidR="00DA6A69" w:rsidRPr="00CB6272" w:rsidRDefault="00DA6A69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Código de posição</w:t>
            </w:r>
          </w:p>
        </w:tc>
        <w:tc>
          <w:tcPr>
            <w:tcW w:w="1843" w:type="dxa"/>
            <w:vAlign w:val="center"/>
          </w:tcPr>
          <w:p w:rsidR="00DA6A69" w:rsidRPr="00CB6272" w:rsidRDefault="00DA6A69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Função na formulação</w:t>
            </w:r>
          </w:p>
        </w:tc>
        <w:tc>
          <w:tcPr>
            <w:tcW w:w="1843" w:type="dxa"/>
            <w:vAlign w:val="center"/>
          </w:tcPr>
          <w:p w:rsidR="00DA6A69" w:rsidRPr="00CB6272" w:rsidRDefault="00DA6A69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Comentários</w:t>
            </w:r>
          </w:p>
        </w:tc>
        <w:tc>
          <w:tcPr>
            <w:tcW w:w="2977" w:type="dxa"/>
            <w:vAlign w:val="center"/>
          </w:tcPr>
          <w:p w:rsidR="00DA6A69" w:rsidRPr="00CB6272" w:rsidRDefault="00DA6A69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F75FED" w:rsidRPr="00CB6272" w:rsidTr="005A1DAF">
        <w:tc>
          <w:tcPr>
            <w:tcW w:w="2660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gama-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hidroxibutírico</w:t>
            </w:r>
            <w:proofErr w:type="spellEnd"/>
          </w:p>
        </w:tc>
        <w:tc>
          <w:tcPr>
            <w:tcW w:w="1559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691-81-1</w:t>
            </w:r>
          </w:p>
        </w:tc>
        <w:tc>
          <w:tcPr>
            <w:tcW w:w="1874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MI 12ed. - γ-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hydroxybutyrate</w:t>
            </w:r>
            <w:proofErr w:type="spellEnd"/>
          </w:p>
        </w:tc>
        <w:tc>
          <w:tcPr>
            <w:tcW w:w="104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09565</w:t>
            </w:r>
          </w:p>
        </w:tc>
        <w:tc>
          <w:tcPr>
            <w:tcW w:w="147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07592.01-9</w:t>
            </w:r>
          </w:p>
        </w:tc>
        <w:tc>
          <w:tcPr>
            <w:tcW w:w="1843" w:type="dxa"/>
            <w:vAlign w:val="center"/>
          </w:tcPr>
          <w:p w:rsidR="00F75FED" w:rsidRPr="00CB6272" w:rsidRDefault="00F75FE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Incluir como ácido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gamaidroxibutírico</w:t>
            </w:r>
            <w:proofErr w:type="spellEnd"/>
          </w:p>
        </w:tc>
      </w:tr>
      <w:tr w:rsidR="00F75FED" w:rsidRPr="00CB6272" w:rsidTr="005A1DAF">
        <w:tc>
          <w:tcPr>
            <w:tcW w:w="2660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Atazanavir</w:t>
            </w:r>
            <w:proofErr w:type="spellEnd"/>
          </w:p>
        </w:tc>
        <w:tc>
          <w:tcPr>
            <w:tcW w:w="1559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198904-31-3</w:t>
            </w:r>
          </w:p>
        </w:tc>
        <w:tc>
          <w:tcPr>
            <w:tcW w:w="1874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atazanavir</w:t>
            </w:r>
            <w:proofErr w:type="spellEnd"/>
          </w:p>
        </w:tc>
        <w:tc>
          <w:tcPr>
            <w:tcW w:w="104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09566</w:t>
            </w:r>
          </w:p>
        </w:tc>
        <w:tc>
          <w:tcPr>
            <w:tcW w:w="147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07593.01-5</w:t>
            </w:r>
          </w:p>
        </w:tc>
        <w:tc>
          <w:tcPr>
            <w:tcW w:w="1843" w:type="dxa"/>
            <w:vAlign w:val="center"/>
          </w:tcPr>
          <w:p w:rsidR="00F75FED" w:rsidRPr="00CB6272" w:rsidRDefault="00F75FE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F75FED" w:rsidRPr="00CB6272" w:rsidTr="005A1DAF">
        <w:tc>
          <w:tcPr>
            <w:tcW w:w="2660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poliacrílico</w:t>
            </w:r>
            <w:r w:rsidRPr="00CB6272">
              <w:rPr>
                <w:rFonts w:ascii="Cambria Math" w:hAnsi="Cambria Math" w:cs="Cambria Math"/>
                <w:strike/>
                <w:sz w:val="24"/>
                <w:szCs w:val="24"/>
              </w:rPr>
              <w:t>∗</w:t>
            </w:r>
          </w:p>
        </w:tc>
        <w:tc>
          <w:tcPr>
            <w:tcW w:w="1559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(9003- 01-4)</w:t>
            </w:r>
          </w:p>
        </w:tc>
        <w:tc>
          <w:tcPr>
            <w:tcW w:w="1874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polyacrylic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acid</w:t>
            </w:r>
            <w:proofErr w:type="spellEnd"/>
          </w:p>
        </w:tc>
        <w:tc>
          <w:tcPr>
            <w:tcW w:w="1045" w:type="dxa"/>
            <w:vAlign w:val="center"/>
          </w:tcPr>
          <w:p w:rsidR="00F75FED" w:rsidRPr="00CB6272" w:rsidRDefault="00F75FE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_</w:t>
            </w:r>
          </w:p>
        </w:tc>
        <w:tc>
          <w:tcPr>
            <w:tcW w:w="1475" w:type="dxa"/>
            <w:vAlign w:val="center"/>
          </w:tcPr>
          <w:p w:rsidR="00F75FED" w:rsidRPr="00CB6272" w:rsidRDefault="00F75FE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F75FED" w:rsidRPr="00CB6272" w:rsidRDefault="00F75FE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Lubrificante oftálmico</w:t>
            </w:r>
          </w:p>
        </w:tc>
        <w:tc>
          <w:tcPr>
            <w:tcW w:w="2977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  <w:u w:val="single"/>
              </w:rPr>
              <w:t>Não incluir</w:t>
            </w: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pois corresponde aos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carbômeres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que já estão presentes na lista DCB (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Fiedler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Encyclopedia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of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Excipients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). Cabe </w:t>
            </w: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empresa utilizar o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presente na lista e realmente utilizado por ela.</w:t>
            </w:r>
          </w:p>
        </w:tc>
      </w:tr>
      <w:tr w:rsidR="00F75FED" w:rsidRPr="00CB6272" w:rsidTr="005A1DAF">
        <w:tc>
          <w:tcPr>
            <w:tcW w:w="2660" w:type="dxa"/>
            <w:vAlign w:val="center"/>
          </w:tcPr>
          <w:p w:rsidR="00DA6A69" w:rsidRPr="00CB6272" w:rsidRDefault="00DA6A69" w:rsidP="00DA6A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toxina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botulínica tipo A</w:t>
            </w:r>
            <w:r w:rsidRPr="00CB6272">
              <w:rPr>
                <w:rFonts w:ascii="Cambria Math" w:hAnsi="Cambria Math" w:cs="Cambria Math"/>
                <w:strike/>
                <w:sz w:val="24"/>
                <w:szCs w:val="24"/>
              </w:rPr>
              <w:t>∗</w:t>
            </w:r>
          </w:p>
        </w:tc>
        <w:tc>
          <w:tcPr>
            <w:tcW w:w="1559" w:type="dxa"/>
            <w:vAlign w:val="center"/>
          </w:tcPr>
          <w:p w:rsidR="00DA6A69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[Ref.4]</w:t>
            </w:r>
          </w:p>
        </w:tc>
        <w:tc>
          <w:tcPr>
            <w:tcW w:w="1874" w:type="dxa"/>
            <w:vAlign w:val="center"/>
          </w:tcPr>
          <w:p w:rsidR="00DA6A69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/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Européia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5.5 -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Botulinum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Toxin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Type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</w:t>
            </w:r>
          </w:p>
        </w:tc>
        <w:tc>
          <w:tcPr>
            <w:tcW w:w="1045" w:type="dxa"/>
            <w:vAlign w:val="center"/>
          </w:tcPr>
          <w:p w:rsidR="00DA6A69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09567</w:t>
            </w:r>
          </w:p>
        </w:tc>
        <w:tc>
          <w:tcPr>
            <w:tcW w:w="1475" w:type="dxa"/>
            <w:vAlign w:val="center"/>
          </w:tcPr>
          <w:p w:rsidR="00DA6A69" w:rsidRPr="00CB6272" w:rsidRDefault="00F75FED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07594.01-1</w:t>
            </w:r>
          </w:p>
        </w:tc>
        <w:tc>
          <w:tcPr>
            <w:tcW w:w="1843" w:type="dxa"/>
            <w:vAlign w:val="center"/>
          </w:tcPr>
          <w:p w:rsidR="00DA6A69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 biológico</w:t>
            </w:r>
          </w:p>
        </w:tc>
        <w:tc>
          <w:tcPr>
            <w:tcW w:w="1843" w:type="dxa"/>
            <w:vAlign w:val="center"/>
          </w:tcPr>
          <w:p w:rsidR="00DA6A69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Agente paralisante neuromuscular. O princípio ativo é um complexo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protéico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derivado do </w:t>
            </w:r>
            <w:r w:rsidRPr="00CB6272">
              <w:rPr>
                <w:rFonts w:ascii="Times New Roman" w:hAnsi="Times New Roman" w:cs="Times New Roman"/>
                <w:i/>
                <w:strike/>
                <w:sz w:val="24"/>
                <w:szCs w:val="24"/>
                <w:u w:val="single"/>
              </w:rPr>
              <w:t xml:space="preserve">Clostridium </w:t>
            </w:r>
            <w:proofErr w:type="spellStart"/>
            <w:r w:rsidRPr="00CB6272">
              <w:rPr>
                <w:rFonts w:ascii="Times New Roman" w:hAnsi="Times New Roman" w:cs="Times New Roman"/>
                <w:i/>
                <w:strike/>
                <w:sz w:val="24"/>
                <w:szCs w:val="24"/>
                <w:u w:val="single"/>
              </w:rPr>
              <w:t>botulinum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77" w:type="dxa"/>
            <w:vAlign w:val="center"/>
          </w:tcPr>
          <w:p w:rsidR="00DA6A69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Incluir</w:t>
            </w:r>
          </w:p>
        </w:tc>
      </w:tr>
      <w:tr w:rsidR="00F75FED" w:rsidRPr="00CB6272" w:rsidTr="005A1DAF">
        <w:tc>
          <w:tcPr>
            <w:tcW w:w="2660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carboximetilcelulose</w:t>
            </w:r>
            <w:proofErr w:type="spellEnd"/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sódica*</w:t>
            </w:r>
          </w:p>
        </w:tc>
        <w:tc>
          <w:tcPr>
            <w:tcW w:w="1559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9004- 32-4</w:t>
            </w:r>
          </w:p>
        </w:tc>
        <w:tc>
          <w:tcPr>
            <w:tcW w:w="1874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USAN -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carboxymethylcelullose</w:t>
            </w:r>
            <w:proofErr w:type="spellEnd"/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sodium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salt</w:t>
            </w:r>
            <w:proofErr w:type="spellEnd"/>
          </w:p>
        </w:tc>
        <w:tc>
          <w:tcPr>
            <w:tcW w:w="1045" w:type="dxa"/>
            <w:vAlign w:val="center"/>
          </w:tcPr>
          <w:p w:rsidR="00F75FED" w:rsidRPr="00CB6272" w:rsidRDefault="00F75FE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_</w:t>
            </w:r>
          </w:p>
        </w:tc>
        <w:tc>
          <w:tcPr>
            <w:tcW w:w="1475" w:type="dxa"/>
            <w:vAlign w:val="center"/>
          </w:tcPr>
          <w:p w:rsidR="00F75FED" w:rsidRPr="00CB6272" w:rsidRDefault="00F75FE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Lubrificante oftálmico.</w:t>
            </w:r>
          </w:p>
        </w:tc>
        <w:tc>
          <w:tcPr>
            <w:tcW w:w="2977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  <w:u w:val="single"/>
              </w:rPr>
              <w:t>Não incluir</w:t>
            </w: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pois já está presente na lista DCB com o nome de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carmelose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só- dica.</w:t>
            </w:r>
          </w:p>
        </w:tc>
      </w:tr>
      <w:tr w:rsidR="00F75FED" w:rsidRPr="00CB6272" w:rsidTr="005A1DAF">
        <w:tc>
          <w:tcPr>
            <w:tcW w:w="2660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tebaína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115-37-7</w:t>
            </w:r>
          </w:p>
        </w:tc>
        <w:tc>
          <w:tcPr>
            <w:tcW w:w="1874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12ed. –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thebaine</w:t>
            </w:r>
            <w:proofErr w:type="spellEnd"/>
          </w:p>
        </w:tc>
        <w:tc>
          <w:tcPr>
            <w:tcW w:w="104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09568</w:t>
            </w:r>
          </w:p>
        </w:tc>
        <w:tc>
          <w:tcPr>
            <w:tcW w:w="147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07595.01-1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75FED" w:rsidRPr="00CB6272" w:rsidRDefault="00F75FED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F75FED" w:rsidRPr="00CB6272" w:rsidTr="005A1DAF">
        <w:tc>
          <w:tcPr>
            <w:tcW w:w="2660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diidromorfina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509-60-4</w:t>
            </w:r>
          </w:p>
        </w:tc>
        <w:tc>
          <w:tcPr>
            <w:tcW w:w="1874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12ed. –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dihydromorphine</w:t>
            </w:r>
            <w:proofErr w:type="spellEnd"/>
          </w:p>
        </w:tc>
        <w:tc>
          <w:tcPr>
            <w:tcW w:w="104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09569</w:t>
            </w:r>
          </w:p>
        </w:tc>
        <w:tc>
          <w:tcPr>
            <w:tcW w:w="147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07596.01-4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75FED" w:rsidRPr="00CB6272" w:rsidRDefault="00F75FED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F75FED" w:rsidRPr="00CB6272" w:rsidTr="005A1DAF">
        <w:tc>
          <w:tcPr>
            <w:tcW w:w="2660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ácido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aminolevulinico</w:t>
            </w:r>
            <w:proofErr w:type="spellEnd"/>
            <w:r w:rsidRPr="00CB6272">
              <w:rPr>
                <w:rFonts w:ascii="Cambria Math" w:hAnsi="Cambria Math" w:cs="Cambria Math"/>
                <w:strike/>
                <w:sz w:val="24"/>
                <w:szCs w:val="24"/>
              </w:rPr>
              <w:t>∗</w:t>
            </w:r>
          </w:p>
        </w:tc>
        <w:tc>
          <w:tcPr>
            <w:tcW w:w="1559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5451-09-2</w:t>
            </w:r>
          </w:p>
        </w:tc>
        <w:tc>
          <w:tcPr>
            <w:tcW w:w="1874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12ed. - δ-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aminolevulinic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acid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hydrochloride</w:t>
            </w:r>
            <w:proofErr w:type="spellEnd"/>
            <w:proofErr w:type="gramEnd"/>
          </w:p>
        </w:tc>
        <w:tc>
          <w:tcPr>
            <w:tcW w:w="104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09570</w:t>
            </w:r>
          </w:p>
        </w:tc>
        <w:tc>
          <w:tcPr>
            <w:tcW w:w="147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07597.02-9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Terapia para tratamento da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queratose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actínica</w:t>
            </w:r>
            <w:proofErr w:type="spellEnd"/>
          </w:p>
        </w:tc>
        <w:tc>
          <w:tcPr>
            <w:tcW w:w="2977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Incluir como cloridrato do ácido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aminolevulínico</w:t>
            </w:r>
            <w:proofErr w:type="spellEnd"/>
          </w:p>
        </w:tc>
      </w:tr>
      <w:tr w:rsidR="00F75FED" w:rsidRPr="00CB6272" w:rsidTr="005A1DAF">
        <w:tc>
          <w:tcPr>
            <w:tcW w:w="2660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aminolevulínico</w:t>
            </w:r>
            <w:proofErr w:type="spellEnd"/>
          </w:p>
        </w:tc>
        <w:tc>
          <w:tcPr>
            <w:tcW w:w="1559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106-60-5</w:t>
            </w:r>
          </w:p>
        </w:tc>
        <w:tc>
          <w:tcPr>
            <w:tcW w:w="1874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13ed. -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aminolevulinic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acid</w:t>
            </w:r>
            <w:proofErr w:type="spellEnd"/>
          </w:p>
        </w:tc>
        <w:tc>
          <w:tcPr>
            <w:tcW w:w="104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09571</w:t>
            </w:r>
          </w:p>
        </w:tc>
        <w:tc>
          <w:tcPr>
            <w:tcW w:w="1475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07597.01-0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843" w:type="dxa"/>
            <w:vAlign w:val="center"/>
          </w:tcPr>
          <w:p w:rsidR="00F75FED" w:rsidRPr="00CB6272" w:rsidRDefault="00F75FED" w:rsidP="00DA6A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75FED" w:rsidRPr="00CB6272" w:rsidRDefault="00F75FED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3F0228" w:rsidRPr="00CB6272" w:rsidTr="005A1DAF">
        <w:tc>
          <w:tcPr>
            <w:tcW w:w="2660" w:type="dxa"/>
            <w:vAlign w:val="center"/>
          </w:tcPr>
          <w:p w:rsidR="003F0228" w:rsidRPr="00CB6272" w:rsidRDefault="003F0228" w:rsidP="00DA6A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glicólico</w:t>
            </w:r>
            <w:r w:rsidRPr="00CB6272">
              <w:rPr>
                <w:rFonts w:ascii="Cambria Math" w:hAnsi="Cambria Math" w:cs="Cambria Math"/>
                <w:strike/>
                <w:sz w:val="24"/>
                <w:szCs w:val="24"/>
              </w:rPr>
              <w:t>∗</w:t>
            </w:r>
          </w:p>
        </w:tc>
        <w:tc>
          <w:tcPr>
            <w:tcW w:w="1559" w:type="dxa"/>
            <w:vAlign w:val="center"/>
          </w:tcPr>
          <w:p w:rsidR="003F0228" w:rsidRPr="00CB6272" w:rsidRDefault="003F0228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79-14- 01</w:t>
            </w:r>
          </w:p>
        </w:tc>
        <w:tc>
          <w:tcPr>
            <w:tcW w:w="1874" w:type="dxa"/>
            <w:vAlign w:val="center"/>
          </w:tcPr>
          <w:p w:rsidR="003F0228" w:rsidRPr="00CB6272" w:rsidRDefault="003F0228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12ed. -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glycolic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acid</w:t>
            </w:r>
            <w:proofErr w:type="spellEnd"/>
          </w:p>
        </w:tc>
        <w:tc>
          <w:tcPr>
            <w:tcW w:w="1045" w:type="dxa"/>
            <w:vAlign w:val="center"/>
          </w:tcPr>
          <w:p w:rsidR="003F0228" w:rsidRPr="00CB6272" w:rsidRDefault="003F0228" w:rsidP="006E5E11">
            <w:pPr>
              <w:tabs>
                <w:tab w:val="left" w:pos="638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09572</w:t>
            </w:r>
          </w:p>
        </w:tc>
        <w:tc>
          <w:tcPr>
            <w:tcW w:w="1475" w:type="dxa"/>
            <w:vAlign w:val="center"/>
          </w:tcPr>
          <w:p w:rsidR="003F0228" w:rsidRPr="00CB6272" w:rsidRDefault="003F0228" w:rsidP="00F75FE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07598.01-7</w:t>
            </w:r>
          </w:p>
        </w:tc>
        <w:tc>
          <w:tcPr>
            <w:tcW w:w="1843" w:type="dxa"/>
            <w:vAlign w:val="center"/>
          </w:tcPr>
          <w:p w:rsidR="003F0228" w:rsidRPr="00CB6272" w:rsidRDefault="003F0228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843" w:type="dxa"/>
            <w:vAlign w:val="center"/>
          </w:tcPr>
          <w:p w:rsidR="003F0228" w:rsidRPr="00CB6272" w:rsidRDefault="003F0228" w:rsidP="003F0228">
            <w:pPr>
              <w:tabs>
                <w:tab w:val="left" w:pos="340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 um agente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esfoliante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superficial em baixas concentrações</w:t>
            </w:r>
          </w:p>
        </w:tc>
        <w:tc>
          <w:tcPr>
            <w:tcW w:w="2977" w:type="dxa"/>
            <w:vAlign w:val="center"/>
          </w:tcPr>
          <w:p w:rsidR="003F0228" w:rsidRPr="00CB6272" w:rsidRDefault="003F0228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</w:tbl>
    <w:p w:rsidR="003F0228" w:rsidRPr="00CB6272" w:rsidRDefault="003F0228" w:rsidP="003F02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F0228" w:rsidRPr="00CB6272" w:rsidRDefault="003F0228" w:rsidP="00D158E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B6272">
        <w:rPr>
          <w:rFonts w:ascii="Times New Roman" w:hAnsi="Times New Roman" w:cs="Times New Roman"/>
          <w:b/>
          <w:strike/>
          <w:sz w:val="24"/>
          <w:szCs w:val="24"/>
        </w:rPr>
        <w:lastRenderedPageBreak/>
        <w:t xml:space="preserve">ANEXO </w:t>
      </w:r>
      <w:proofErr w:type="gramStart"/>
      <w:r w:rsidRPr="00CB6272">
        <w:rPr>
          <w:rFonts w:ascii="Times New Roman" w:hAnsi="Times New Roman" w:cs="Times New Roman"/>
          <w:b/>
          <w:strike/>
          <w:sz w:val="24"/>
          <w:szCs w:val="24"/>
        </w:rPr>
        <w:t>2</w:t>
      </w:r>
      <w:proofErr w:type="gramEnd"/>
    </w:p>
    <w:p w:rsidR="00DA6A69" w:rsidRPr="00CB6272" w:rsidRDefault="003F0228" w:rsidP="00D158E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>Exclusões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7"/>
        <w:gridCol w:w="1586"/>
        <w:gridCol w:w="2517"/>
        <w:gridCol w:w="1458"/>
        <w:gridCol w:w="4383"/>
        <w:gridCol w:w="2667"/>
      </w:tblGrid>
      <w:tr w:rsidR="003F0228" w:rsidRPr="00CB6272" w:rsidTr="00D158E9">
        <w:tc>
          <w:tcPr>
            <w:tcW w:w="1668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Código de Posição 2004</w:t>
            </w:r>
          </w:p>
        </w:tc>
        <w:tc>
          <w:tcPr>
            <w:tcW w:w="1701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 2004</w:t>
            </w:r>
          </w:p>
        </w:tc>
        <w:tc>
          <w:tcPr>
            <w:tcW w:w="2693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1559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CAS</w:t>
            </w:r>
          </w:p>
        </w:tc>
        <w:tc>
          <w:tcPr>
            <w:tcW w:w="4820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Comentário</w:t>
            </w:r>
          </w:p>
        </w:tc>
        <w:tc>
          <w:tcPr>
            <w:tcW w:w="2835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3F0228" w:rsidRPr="00CB6272" w:rsidTr="00D158E9">
        <w:tc>
          <w:tcPr>
            <w:tcW w:w="1668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00758.01-9</w:t>
            </w:r>
          </w:p>
        </w:tc>
        <w:tc>
          <w:tcPr>
            <w:tcW w:w="1701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01004</w:t>
            </w:r>
          </w:p>
        </w:tc>
        <w:tc>
          <w:tcPr>
            <w:tcW w:w="2693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azul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quinaldina</w:t>
            </w:r>
            <w:proofErr w:type="spellEnd"/>
          </w:p>
        </w:tc>
        <w:tc>
          <w:tcPr>
            <w:tcW w:w="1559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2768-90-3</w:t>
            </w:r>
          </w:p>
        </w:tc>
        <w:tc>
          <w:tcPr>
            <w:tcW w:w="4820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Não é considerado fármaco. Trata-se de um produto para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saude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presente em kits de diagnóstico relacionados </w:t>
            </w: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citogenética</w:t>
            </w:r>
            <w:proofErr w:type="spellEnd"/>
          </w:p>
        </w:tc>
        <w:tc>
          <w:tcPr>
            <w:tcW w:w="2835" w:type="dxa"/>
            <w:vAlign w:val="center"/>
          </w:tcPr>
          <w:p w:rsidR="003F0228" w:rsidRPr="00CB6272" w:rsidRDefault="003F0228" w:rsidP="003F022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Excluir</w:t>
            </w:r>
          </w:p>
        </w:tc>
      </w:tr>
    </w:tbl>
    <w:p w:rsidR="00891D39" w:rsidRPr="00CB6272" w:rsidRDefault="00891D39" w:rsidP="003F0228">
      <w:pPr>
        <w:spacing w:before="300" w:after="300" w:line="240" w:lineRule="auto"/>
        <w:jc w:val="both"/>
        <w:rPr>
          <w:strike/>
          <w:sz w:val="24"/>
          <w:szCs w:val="24"/>
        </w:rPr>
      </w:pPr>
    </w:p>
    <w:p w:rsidR="00891D39" w:rsidRPr="00CB6272" w:rsidRDefault="00891D39" w:rsidP="00D158E9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B6272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CB6272">
        <w:rPr>
          <w:rFonts w:ascii="Times New Roman" w:hAnsi="Times New Roman" w:cs="Times New Roman"/>
          <w:b/>
          <w:strike/>
          <w:sz w:val="24"/>
          <w:szCs w:val="24"/>
        </w:rPr>
        <w:t>3</w:t>
      </w:r>
      <w:proofErr w:type="gramEnd"/>
    </w:p>
    <w:p w:rsidR="003F0228" w:rsidRPr="00CB6272" w:rsidRDefault="00891D39" w:rsidP="00D158E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>Correção de número CAS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9"/>
        <w:gridCol w:w="2981"/>
        <w:gridCol w:w="1442"/>
        <w:gridCol w:w="1473"/>
        <w:gridCol w:w="4842"/>
        <w:gridCol w:w="2331"/>
      </w:tblGrid>
      <w:tr w:rsidR="00891D39" w:rsidRPr="00CB6272" w:rsidTr="00D158E9">
        <w:tc>
          <w:tcPr>
            <w:tcW w:w="1242" w:type="dxa"/>
            <w:vAlign w:val="center"/>
          </w:tcPr>
          <w:p w:rsidR="00891D39" w:rsidRPr="00CB6272" w:rsidRDefault="00891D39" w:rsidP="00EF40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 2004</w:t>
            </w:r>
          </w:p>
        </w:tc>
        <w:tc>
          <w:tcPr>
            <w:tcW w:w="3402" w:type="dxa"/>
            <w:vAlign w:val="center"/>
          </w:tcPr>
          <w:p w:rsidR="00891D39" w:rsidRPr="00CB6272" w:rsidRDefault="00891D39" w:rsidP="00891D3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DCB</w:t>
            </w:r>
          </w:p>
        </w:tc>
        <w:tc>
          <w:tcPr>
            <w:tcW w:w="1560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CAS na DCB 2005</w:t>
            </w:r>
          </w:p>
        </w:tc>
        <w:tc>
          <w:tcPr>
            <w:tcW w:w="1559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CAS na DCB 2005 corrigido</w:t>
            </w:r>
          </w:p>
        </w:tc>
        <w:tc>
          <w:tcPr>
            <w:tcW w:w="4961" w:type="dxa"/>
            <w:vAlign w:val="center"/>
          </w:tcPr>
          <w:p w:rsidR="00891D39" w:rsidRPr="00CB6272" w:rsidRDefault="00891D39" w:rsidP="00EF40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Comentário</w:t>
            </w:r>
          </w:p>
        </w:tc>
        <w:tc>
          <w:tcPr>
            <w:tcW w:w="2552" w:type="dxa"/>
            <w:vAlign w:val="center"/>
          </w:tcPr>
          <w:p w:rsidR="00891D39" w:rsidRPr="00CB6272" w:rsidRDefault="00891D39" w:rsidP="00EF40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891D39" w:rsidRPr="00CB6272" w:rsidTr="00D158E9">
        <w:tc>
          <w:tcPr>
            <w:tcW w:w="1242" w:type="dxa"/>
            <w:vAlign w:val="center"/>
          </w:tcPr>
          <w:p w:rsidR="00891D39" w:rsidRPr="00CB6272" w:rsidRDefault="00891D39" w:rsidP="00EF40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05142</w:t>
            </w:r>
          </w:p>
        </w:tc>
        <w:tc>
          <w:tcPr>
            <w:tcW w:w="3402" w:type="dxa"/>
            <w:vAlign w:val="center"/>
          </w:tcPr>
          <w:p w:rsidR="00891D39" w:rsidRPr="00CB6272" w:rsidRDefault="00891D39" w:rsidP="00891D3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lactofosfato</w:t>
            </w:r>
            <w:proofErr w:type="spellEnd"/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1560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8048-90-6</w:t>
            </w:r>
          </w:p>
        </w:tc>
        <w:tc>
          <w:tcPr>
            <w:tcW w:w="1559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7546-28-3</w:t>
            </w:r>
          </w:p>
        </w:tc>
        <w:tc>
          <w:tcPr>
            <w:tcW w:w="4961" w:type="dxa"/>
            <w:vAlign w:val="center"/>
          </w:tcPr>
          <w:p w:rsidR="00891D39" w:rsidRPr="00CB6272" w:rsidRDefault="00891D39" w:rsidP="00891D3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Scinfinder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- lactic acid, 2-(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phosphonooxy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)-, calcium salt. </w:t>
            </w: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O CAS anterior correspondia a uma mistura (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propanoic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acid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2-hydroxy-,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calcium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salt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mixt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With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2-hydroxypropanoic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acid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calcium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salt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(2:1)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and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calcium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phosphate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(1:2) (</w:t>
            </w: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9cl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552" w:type="dxa"/>
            <w:vAlign w:val="center"/>
          </w:tcPr>
          <w:p w:rsidR="00891D39" w:rsidRPr="00CB6272" w:rsidRDefault="00891D39" w:rsidP="00EF40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Não alterar</w:t>
            </w:r>
          </w:p>
        </w:tc>
      </w:tr>
      <w:tr w:rsidR="00891D39" w:rsidRPr="00CB6272" w:rsidTr="00D158E9">
        <w:tc>
          <w:tcPr>
            <w:tcW w:w="1242" w:type="dxa"/>
            <w:vAlign w:val="center"/>
          </w:tcPr>
          <w:p w:rsidR="00891D39" w:rsidRPr="00CB6272" w:rsidRDefault="00891D39" w:rsidP="00EF40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04038</w:t>
            </w:r>
          </w:p>
        </w:tc>
        <w:tc>
          <w:tcPr>
            <w:tcW w:w="3402" w:type="dxa"/>
            <w:vAlign w:val="center"/>
          </w:tcPr>
          <w:p w:rsidR="00891D39" w:rsidRPr="00CB6272" w:rsidRDefault="00891D39" w:rsidP="00891D3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fexofenadina</w:t>
            </w:r>
            <w:proofErr w:type="spellEnd"/>
          </w:p>
        </w:tc>
        <w:tc>
          <w:tcPr>
            <w:tcW w:w="1560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138452-21- </w:t>
            </w: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8</w:t>
            </w:r>
          </w:p>
        </w:tc>
        <w:tc>
          <w:tcPr>
            <w:tcW w:w="1559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153439-40-8</w:t>
            </w:r>
          </w:p>
        </w:tc>
        <w:tc>
          <w:tcPr>
            <w:tcW w:w="4961" w:type="dxa"/>
            <w:vAlign w:val="center"/>
          </w:tcPr>
          <w:p w:rsidR="00891D39" w:rsidRPr="00CB6272" w:rsidRDefault="00891D39" w:rsidP="00EF40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CAS 138452-21-8 foi </w:t>
            </w: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deletado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891D39" w:rsidRPr="00CB6272" w:rsidRDefault="00891D3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  <w:tr w:rsidR="00891D39" w:rsidRPr="00CB6272" w:rsidTr="00D158E9">
        <w:tc>
          <w:tcPr>
            <w:tcW w:w="1242" w:type="dxa"/>
            <w:vAlign w:val="center"/>
          </w:tcPr>
          <w:p w:rsidR="00891D39" w:rsidRPr="00CB6272" w:rsidRDefault="00891D39" w:rsidP="00EF40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00110</w:t>
            </w:r>
          </w:p>
        </w:tc>
        <w:tc>
          <w:tcPr>
            <w:tcW w:w="3402" w:type="dxa"/>
            <w:vAlign w:val="center"/>
          </w:tcPr>
          <w:p w:rsidR="00891D39" w:rsidRPr="00CB6272" w:rsidRDefault="00891D39" w:rsidP="00891D3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aspartato</w:t>
            </w:r>
            <w:proofErr w:type="spellEnd"/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magnésio</w:t>
            </w:r>
          </w:p>
        </w:tc>
        <w:tc>
          <w:tcPr>
            <w:tcW w:w="1560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18962-61-3</w:t>
            </w:r>
          </w:p>
        </w:tc>
        <w:tc>
          <w:tcPr>
            <w:tcW w:w="1559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1187-91-3</w:t>
            </w:r>
          </w:p>
        </w:tc>
        <w:tc>
          <w:tcPr>
            <w:tcW w:w="4961" w:type="dxa"/>
            <w:vAlign w:val="center"/>
          </w:tcPr>
          <w:p w:rsidR="00891D39" w:rsidRPr="00CB6272" w:rsidRDefault="00891D39" w:rsidP="00891D3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Qual CAS é o correto? O CAS 18962-61-3 corresponde ao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magnesate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(2-), bis [L-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aspartato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(2-)-</w:t>
            </w:r>
            <w:proofErr w:type="spellStart"/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kN</w:t>
            </w:r>
            <w:proofErr w:type="spellEnd"/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kO1]-,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dihydrogen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(T-4)-(9CL). O CAS 1187-91-3 corresponde ao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aspartic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acid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magnesium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salt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(2:1) (</w:t>
            </w: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9CL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552" w:type="dxa"/>
            <w:vAlign w:val="center"/>
          </w:tcPr>
          <w:p w:rsidR="00891D39" w:rsidRPr="00CB6272" w:rsidRDefault="00891D3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  <w:tr w:rsidR="00891D39" w:rsidRPr="00CB6272" w:rsidTr="00D158E9">
        <w:tc>
          <w:tcPr>
            <w:tcW w:w="1242" w:type="dxa"/>
            <w:vAlign w:val="center"/>
          </w:tcPr>
          <w:p w:rsidR="00891D39" w:rsidRPr="00CB6272" w:rsidRDefault="00891D39" w:rsidP="00EF40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00193</w:t>
            </w:r>
          </w:p>
        </w:tc>
        <w:tc>
          <w:tcPr>
            <w:tcW w:w="3402" w:type="dxa"/>
            <w:vAlign w:val="center"/>
          </w:tcPr>
          <w:p w:rsidR="00891D39" w:rsidRPr="00CB6272" w:rsidRDefault="00891D39" w:rsidP="00891D3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flufenamato</w:t>
            </w:r>
            <w:proofErr w:type="spellEnd"/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alumínio</w:t>
            </w:r>
          </w:p>
        </w:tc>
        <w:tc>
          <w:tcPr>
            <w:tcW w:w="1560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16449-54-0</w:t>
            </w:r>
          </w:p>
        </w:tc>
        <w:tc>
          <w:tcPr>
            <w:tcW w:w="1559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61891-34-7</w:t>
            </w:r>
          </w:p>
        </w:tc>
        <w:tc>
          <w:tcPr>
            <w:tcW w:w="4961" w:type="dxa"/>
            <w:vAlign w:val="center"/>
          </w:tcPr>
          <w:p w:rsidR="00891D39" w:rsidRPr="00CB6272" w:rsidRDefault="00891D39" w:rsidP="00E2080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Qual CAS é o correto? O CAS 16449-54-0corresponde ao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aliminium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tris[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2[ [3-(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trifluoromethyl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phenyl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]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aminokN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]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kO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]-(9CL). O CAS 61891-34-7 corresponde ao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benzoic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acid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[2[ [3-(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trifluoromethyl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phenyl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]amino]-,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aluminum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salt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(3:1) (9CL)</w:t>
            </w:r>
          </w:p>
        </w:tc>
        <w:tc>
          <w:tcPr>
            <w:tcW w:w="2552" w:type="dxa"/>
            <w:vAlign w:val="center"/>
          </w:tcPr>
          <w:p w:rsidR="00891D39" w:rsidRPr="00CB6272" w:rsidRDefault="00891D39" w:rsidP="00EF40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  <w:tr w:rsidR="00891D39" w:rsidRPr="00CB6272" w:rsidTr="00D158E9">
        <w:tc>
          <w:tcPr>
            <w:tcW w:w="1242" w:type="dxa"/>
            <w:vAlign w:val="center"/>
          </w:tcPr>
          <w:p w:rsidR="00891D39" w:rsidRPr="00CB6272" w:rsidRDefault="00891D39" w:rsidP="00EF40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03830</w:t>
            </w:r>
          </w:p>
        </w:tc>
        <w:tc>
          <w:tcPr>
            <w:tcW w:w="3402" w:type="dxa"/>
            <w:vAlign w:val="center"/>
          </w:tcPr>
          <w:p w:rsidR="00891D39" w:rsidRPr="00CB6272" w:rsidRDefault="00891D39" w:rsidP="00891D3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felodipino</w:t>
            </w:r>
            <w:proofErr w:type="spellEnd"/>
            <w:proofErr w:type="gramEnd"/>
          </w:p>
        </w:tc>
        <w:tc>
          <w:tcPr>
            <w:tcW w:w="1560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86189-69-7</w:t>
            </w:r>
          </w:p>
        </w:tc>
        <w:tc>
          <w:tcPr>
            <w:tcW w:w="1559" w:type="dxa"/>
            <w:vAlign w:val="center"/>
          </w:tcPr>
          <w:p w:rsidR="00891D39" w:rsidRPr="00CB6272" w:rsidRDefault="00891D39" w:rsidP="00D158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72509-76-3</w:t>
            </w:r>
          </w:p>
        </w:tc>
        <w:tc>
          <w:tcPr>
            <w:tcW w:w="4961" w:type="dxa"/>
            <w:vAlign w:val="center"/>
          </w:tcPr>
          <w:p w:rsidR="00891D39" w:rsidRPr="00CB6272" w:rsidRDefault="00891D39" w:rsidP="00891D3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CAS 86189-69-7 foi </w:t>
            </w: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deletado</w:t>
            </w:r>
            <w:proofErr w:type="gram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891D39" w:rsidRPr="00CB6272" w:rsidRDefault="00891D39" w:rsidP="00EF40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</w:tbl>
    <w:p w:rsidR="00D37909" w:rsidRPr="00CB6272" w:rsidRDefault="00D37909" w:rsidP="00891D39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37909" w:rsidRPr="00CB6272" w:rsidRDefault="00D37909" w:rsidP="00D158E9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B6272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CB6272">
        <w:rPr>
          <w:rFonts w:ascii="Times New Roman" w:hAnsi="Times New Roman" w:cs="Times New Roman"/>
          <w:b/>
          <w:strike/>
          <w:sz w:val="24"/>
          <w:szCs w:val="24"/>
        </w:rPr>
        <w:t>4</w:t>
      </w:r>
      <w:proofErr w:type="gramEnd"/>
    </w:p>
    <w:p w:rsidR="00891D39" w:rsidRPr="00CB6272" w:rsidRDefault="00D37909" w:rsidP="00D158E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CB6272">
        <w:rPr>
          <w:rFonts w:ascii="Times New Roman" w:hAnsi="Times New Roman" w:cs="Times New Roman"/>
          <w:strike/>
          <w:sz w:val="24"/>
          <w:szCs w:val="24"/>
        </w:rPr>
        <w:t>Inclusões de número CAS ou referências bibliográficas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37909" w:rsidRPr="00CB6272" w:rsidTr="00D158E9">
        <w:tc>
          <w:tcPr>
            <w:tcW w:w="2828" w:type="dxa"/>
            <w:vAlign w:val="center"/>
          </w:tcPr>
          <w:p w:rsidR="00D37909" w:rsidRPr="00CB6272" w:rsidRDefault="00D37909" w:rsidP="00D3790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N° DCB 2004</w:t>
            </w:r>
          </w:p>
        </w:tc>
        <w:tc>
          <w:tcPr>
            <w:tcW w:w="2829" w:type="dxa"/>
            <w:vAlign w:val="center"/>
          </w:tcPr>
          <w:p w:rsidR="00D37909" w:rsidRPr="00CB6272" w:rsidRDefault="00D37909" w:rsidP="00D3790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2829" w:type="dxa"/>
            <w:vAlign w:val="center"/>
          </w:tcPr>
          <w:p w:rsidR="00D37909" w:rsidRPr="00CB6272" w:rsidRDefault="00D37909" w:rsidP="00D37909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 bibliográfica</w:t>
            </w:r>
          </w:p>
        </w:tc>
        <w:tc>
          <w:tcPr>
            <w:tcW w:w="2829" w:type="dxa"/>
            <w:vAlign w:val="center"/>
          </w:tcPr>
          <w:p w:rsidR="00D37909" w:rsidRPr="00CB6272" w:rsidRDefault="00D37909" w:rsidP="00D3790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CAS/REF. a ser incluído</w:t>
            </w:r>
          </w:p>
        </w:tc>
        <w:tc>
          <w:tcPr>
            <w:tcW w:w="2829" w:type="dxa"/>
            <w:vAlign w:val="center"/>
          </w:tcPr>
          <w:p w:rsidR="00D37909" w:rsidRPr="00CB6272" w:rsidRDefault="00D37909" w:rsidP="00D3790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SDCB</w:t>
            </w:r>
          </w:p>
        </w:tc>
      </w:tr>
      <w:tr w:rsidR="00D37909" w:rsidRPr="00CB6272" w:rsidTr="00D158E9">
        <w:tc>
          <w:tcPr>
            <w:tcW w:w="2828" w:type="dxa"/>
            <w:vAlign w:val="center"/>
          </w:tcPr>
          <w:p w:rsidR="00D37909" w:rsidRPr="00CB6272" w:rsidRDefault="00D37909" w:rsidP="00D3790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09507</w:t>
            </w:r>
          </w:p>
        </w:tc>
        <w:tc>
          <w:tcPr>
            <w:tcW w:w="2829" w:type="dxa"/>
            <w:vAlign w:val="center"/>
          </w:tcPr>
          <w:p w:rsidR="00D37909" w:rsidRPr="00CB6272" w:rsidRDefault="00D37909" w:rsidP="00D3790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ópio</w:t>
            </w:r>
            <w:proofErr w:type="gramEnd"/>
          </w:p>
        </w:tc>
        <w:tc>
          <w:tcPr>
            <w:tcW w:w="2829" w:type="dxa"/>
            <w:vAlign w:val="center"/>
          </w:tcPr>
          <w:p w:rsidR="00D37909" w:rsidRPr="00CB6272" w:rsidRDefault="00D37909" w:rsidP="00D3790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Scinfider</w:t>
            </w:r>
            <w:proofErr w:type="spellEnd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opium</w:t>
            </w:r>
            <w:proofErr w:type="spellEnd"/>
          </w:p>
        </w:tc>
        <w:tc>
          <w:tcPr>
            <w:tcW w:w="2829" w:type="dxa"/>
            <w:vAlign w:val="center"/>
          </w:tcPr>
          <w:p w:rsidR="00D37909" w:rsidRPr="00CB6272" w:rsidRDefault="00D37909" w:rsidP="00D3790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8008-60-4</w:t>
            </w:r>
          </w:p>
        </w:tc>
        <w:tc>
          <w:tcPr>
            <w:tcW w:w="2829" w:type="dxa"/>
            <w:vAlign w:val="center"/>
          </w:tcPr>
          <w:p w:rsidR="00D37909" w:rsidRPr="00CB6272" w:rsidRDefault="00D37909" w:rsidP="00D3790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B6272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</w:tbl>
    <w:p w:rsidR="00891D39" w:rsidRPr="00CB6272" w:rsidRDefault="00891D39" w:rsidP="00891D39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bookmarkStart w:id="0" w:name="_GoBack"/>
      <w:bookmarkEnd w:id="0"/>
    </w:p>
    <w:sectPr w:rsidR="00891D39" w:rsidRPr="00CB6272" w:rsidSect="005A1DAF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DAF" w:rsidRDefault="005A1DAF" w:rsidP="005A1DAF">
      <w:pPr>
        <w:spacing w:after="0" w:line="240" w:lineRule="auto"/>
      </w:pPr>
      <w:r>
        <w:separator/>
      </w:r>
    </w:p>
  </w:endnote>
  <w:endnote w:type="continuationSeparator" w:id="0">
    <w:p w:rsidR="005A1DAF" w:rsidRDefault="005A1DAF" w:rsidP="005A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DAF" w:rsidRPr="005A1DAF" w:rsidRDefault="005A1DAF" w:rsidP="005A1DA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DAF" w:rsidRDefault="005A1DAF" w:rsidP="005A1DAF">
      <w:pPr>
        <w:spacing w:after="0" w:line="240" w:lineRule="auto"/>
      </w:pPr>
      <w:r>
        <w:separator/>
      </w:r>
    </w:p>
  </w:footnote>
  <w:footnote w:type="continuationSeparator" w:id="0">
    <w:p w:rsidR="005A1DAF" w:rsidRDefault="005A1DAF" w:rsidP="005A1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DAF" w:rsidRDefault="005A1DAF" w:rsidP="005A1DA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6AA85BB" wp14:editId="46D91F17">
          <wp:extent cx="657225" cy="647700"/>
          <wp:effectExtent l="0" t="0" r="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1DAF" w:rsidRDefault="005A1DAF" w:rsidP="005A1DA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5A1DAF" w:rsidRDefault="005A1DAF" w:rsidP="005A1DA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A1DAF" w:rsidRDefault="005A1D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4CB"/>
    <w:rsid w:val="001E708B"/>
    <w:rsid w:val="00213FCC"/>
    <w:rsid w:val="00305A15"/>
    <w:rsid w:val="003F0228"/>
    <w:rsid w:val="005A1DAF"/>
    <w:rsid w:val="006E5E11"/>
    <w:rsid w:val="007441BF"/>
    <w:rsid w:val="00786686"/>
    <w:rsid w:val="00891D39"/>
    <w:rsid w:val="008C298E"/>
    <w:rsid w:val="0099622A"/>
    <w:rsid w:val="00AF3CC7"/>
    <w:rsid w:val="00B30817"/>
    <w:rsid w:val="00C02E82"/>
    <w:rsid w:val="00C144CB"/>
    <w:rsid w:val="00CB6272"/>
    <w:rsid w:val="00D158E9"/>
    <w:rsid w:val="00D37909"/>
    <w:rsid w:val="00D621E1"/>
    <w:rsid w:val="00DA6A69"/>
    <w:rsid w:val="00E20807"/>
    <w:rsid w:val="00E56E73"/>
    <w:rsid w:val="00F75FED"/>
    <w:rsid w:val="00F87F04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F1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1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DAF"/>
  </w:style>
  <w:style w:type="paragraph" w:styleId="Rodap">
    <w:name w:val="footer"/>
    <w:basedOn w:val="Normal"/>
    <w:link w:val="RodapChar"/>
    <w:uiPriority w:val="99"/>
    <w:unhideWhenUsed/>
    <w:rsid w:val="005A1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DAF"/>
  </w:style>
  <w:style w:type="paragraph" w:styleId="Textodebalo">
    <w:name w:val="Balloon Text"/>
    <w:basedOn w:val="Normal"/>
    <w:link w:val="TextodebaloChar"/>
    <w:uiPriority w:val="99"/>
    <w:semiHidden/>
    <w:unhideWhenUsed/>
    <w:rsid w:val="005A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1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F1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7422B1-1A76-4444-88C0-65D9873A235C}"/>
</file>

<file path=customXml/itemProps2.xml><?xml version="1.0" encoding="utf-8"?>
<ds:datastoreItem xmlns:ds="http://schemas.openxmlformats.org/officeDocument/2006/customXml" ds:itemID="{AE021DFC-DF6B-414F-8349-4C921655510E}"/>
</file>

<file path=customXml/itemProps3.xml><?xml version="1.0" encoding="utf-8"?>
<ds:datastoreItem xmlns:ds="http://schemas.openxmlformats.org/officeDocument/2006/customXml" ds:itemID="{B61B8470-035E-4286-ABB1-63D445E641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1233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9</cp:revision>
  <cp:lastPrinted>2016-10-21T20:27:00Z</cp:lastPrinted>
  <dcterms:created xsi:type="dcterms:W3CDTF">2015-09-11T12:48:00Z</dcterms:created>
  <dcterms:modified xsi:type="dcterms:W3CDTF">2016-10-21T20:28:00Z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