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486" w:rsidRPr="00242792" w:rsidRDefault="00261ABD" w:rsidP="00261ABD">
      <w:pPr>
        <w:tabs>
          <w:tab w:val="left" w:pos="2977"/>
        </w:tabs>
        <w:ind w:left="-1134" w:right="-567" w:firstLine="567"/>
        <w:jc w:val="center"/>
        <w:rPr>
          <w:b/>
          <w:bCs/>
          <w:sz w:val="24"/>
          <w:szCs w:val="24"/>
        </w:rPr>
      </w:pPr>
      <w:bookmarkStart w:id="0" w:name="_GoBack"/>
      <w:bookmarkEnd w:id="0"/>
      <w:r w:rsidRPr="00242792">
        <w:rPr>
          <w:b/>
          <w:bCs/>
          <w:sz w:val="24"/>
          <w:szCs w:val="24"/>
        </w:rPr>
        <w:t>RESOLUÇÃO DA DIRETORIA COLEGIADA - RDC Nº 168, DE 7 DE JULHO DE 2004</w:t>
      </w:r>
    </w:p>
    <w:p w:rsidR="00EB096D" w:rsidRPr="00242792" w:rsidRDefault="00EB096D" w:rsidP="00261ABD">
      <w:pPr>
        <w:tabs>
          <w:tab w:val="left" w:pos="2977"/>
        </w:tabs>
        <w:ind w:left="-1134" w:right="-567" w:firstLine="567"/>
        <w:jc w:val="center"/>
        <w:rPr>
          <w:b/>
          <w:bCs/>
          <w:sz w:val="24"/>
          <w:szCs w:val="24"/>
        </w:rPr>
      </w:pPr>
    </w:p>
    <w:p w:rsidR="00EB096D" w:rsidRPr="00242792" w:rsidRDefault="00EB096D" w:rsidP="00EB096D">
      <w:pPr>
        <w:ind w:firstLine="567"/>
        <w:jc w:val="center"/>
        <w:rPr>
          <w:b/>
          <w:color w:val="0000FF"/>
          <w:sz w:val="24"/>
          <w:szCs w:val="24"/>
        </w:rPr>
      </w:pPr>
      <w:r w:rsidRPr="00242792">
        <w:rPr>
          <w:b/>
          <w:color w:val="0000FF"/>
          <w:sz w:val="24"/>
          <w:szCs w:val="24"/>
        </w:rPr>
        <w:t>(Publicada no DOU nº 131, de 9 de julho de 2004)</w:t>
      </w:r>
    </w:p>
    <w:p w:rsidR="000373A5" w:rsidRPr="00242792" w:rsidRDefault="000373A5" w:rsidP="00EB096D">
      <w:pPr>
        <w:ind w:firstLine="567"/>
        <w:jc w:val="center"/>
        <w:rPr>
          <w:b/>
          <w:color w:val="0000FF"/>
          <w:sz w:val="24"/>
          <w:szCs w:val="24"/>
        </w:rPr>
      </w:pPr>
    </w:p>
    <w:p w:rsidR="000373A5" w:rsidRPr="00242792" w:rsidRDefault="000373A5" w:rsidP="00EB096D">
      <w:pPr>
        <w:ind w:firstLine="567"/>
        <w:jc w:val="center"/>
        <w:rPr>
          <w:b/>
          <w:color w:val="0000FF"/>
          <w:sz w:val="24"/>
          <w:szCs w:val="24"/>
        </w:rPr>
      </w:pPr>
      <w:r w:rsidRPr="00242792">
        <w:rPr>
          <w:b/>
          <w:color w:val="0000FF"/>
          <w:sz w:val="24"/>
          <w:szCs w:val="24"/>
        </w:rPr>
        <w:t>(Revogada pela Resolução – RDC nº 195, de 14 de dezembro de 2017)</w:t>
      </w:r>
    </w:p>
    <w:p w:rsidR="00CC7486" w:rsidRPr="00242792" w:rsidRDefault="00CC7486">
      <w:pPr>
        <w:ind w:firstLine="567"/>
        <w:rPr>
          <w:strike/>
          <w:sz w:val="24"/>
          <w:szCs w:val="24"/>
        </w:rPr>
      </w:pPr>
    </w:p>
    <w:p w:rsidR="00CC7486" w:rsidRPr="00242792" w:rsidRDefault="00CC7486" w:rsidP="00261ABD">
      <w:pPr>
        <w:ind w:left="4536"/>
        <w:jc w:val="both"/>
        <w:rPr>
          <w:strike/>
          <w:sz w:val="24"/>
          <w:szCs w:val="24"/>
        </w:rPr>
      </w:pPr>
      <w:r w:rsidRPr="00242792">
        <w:rPr>
          <w:strike/>
          <w:sz w:val="24"/>
          <w:szCs w:val="24"/>
        </w:rPr>
        <w:t>Altera artigo da RDC 335, de 21 de novembro de 2003.</w:t>
      </w:r>
    </w:p>
    <w:p w:rsidR="00CC7486" w:rsidRPr="00242792" w:rsidRDefault="00CC7486">
      <w:pPr>
        <w:rPr>
          <w:strike/>
          <w:sz w:val="24"/>
          <w:szCs w:val="24"/>
        </w:rPr>
      </w:pPr>
    </w:p>
    <w:p w:rsidR="00CC7486" w:rsidRPr="00242792" w:rsidRDefault="00CC7486">
      <w:pPr>
        <w:rPr>
          <w:strike/>
          <w:sz w:val="24"/>
          <w:szCs w:val="24"/>
        </w:rPr>
      </w:pPr>
    </w:p>
    <w:p w:rsidR="00CC7486" w:rsidRPr="00242792" w:rsidRDefault="00CC7486">
      <w:pPr>
        <w:ind w:firstLine="567"/>
        <w:jc w:val="both"/>
        <w:rPr>
          <w:strike/>
          <w:sz w:val="24"/>
          <w:szCs w:val="24"/>
        </w:rPr>
      </w:pPr>
      <w:r w:rsidRPr="00242792">
        <w:rPr>
          <w:b/>
          <w:bCs/>
          <w:strike/>
          <w:sz w:val="24"/>
          <w:szCs w:val="24"/>
        </w:rPr>
        <w:t>A Diretoria Colegiada da Agência Nacional de Vigilância Sanitária</w:t>
      </w:r>
      <w:r w:rsidRPr="00242792">
        <w:rPr>
          <w:strike/>
          <w:sz w:val="24"/>
          <w:szCs w:val="24"/>
        </w:rPr>
        <w:t>,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5 de julho de 2004,</w:t>
      </w:r>
    </w:p>
    <w:p w:rsidR="00CC7486" w:rsidRPr="00242792" w:rsidRDefault="00CC7486">
      <w:pPr>
        <w:ind w:firstLine="567"/>
        <w:jc w:val="both"/>
        <w:rPr>
          <w:strike/>
          <w:sz w:val="24"/>
          <w:szCs w:val="24"/>
        </w:rPr>
      </w:pPr>
    </w:p>
    <w:p w:rsidR="00CC7486" w:rsidRPr="00242792" w:rsidRDefault="00CC7486">
      <w:pPr>
        <w:ind w:firstLine="567"/>
        <w:jc w:val="both"/>
        <w:rPr>
          <w:strike/>
          <w:sz w:val="24"/>
          <w:szCs w:val="24"/>
        </w:rPr>
      </w:pPr>
      <w:r w:rsidRPr="00242792">
        <w:rPr>
          <w:strike/>
          <w:sz w:val="24"/>
          <w:szCs w:val="24"/>
        </w:rPr>
        <w:t>considerando o disposto na Lei n.º 9.782, de 26 de janeiro de 1999, que determina a regulamentação, o controle e a fiscalização dos produtos e serviços que envolvam risco à saúde pública;</w:t>
      </w:r>
    </w:p>
    <w:p w:rsidR="00CC7486" w:rsidRPr="00242792" w:rsidRDefault="00CC7486">
      <w:pPr>
        <w:ind w:firstLine="567"/>
        <w:jc w:val="both"/>
        <w:rPr>
          <w:strike/>
          <w:sz w:val="24"/>
          <w:szCs w:val="24"/>
        </w:rPr>
      </w:pPr>
    </w:p>
    <w:p w:rsidR="00CC7486" w:rsidRPr="00242792" w:rsidRDefault="00CC7486">
      <w:pPr>
        <w:ind w:firstLine="567"/>
        <w:jc w:val="both"/>
        <w:rPr>
          <w:strike/>
          <w:sz w:val="24"/>
          <w:szCs w:val="24"/>
        </w:rPr>
      </w:pPr>
      <w:r w:rsidRPr="00242792">
        <w:rPr>
          <w:strike/>
          <w:sz w:val="24"/>
          <w:szCs w:val="24"/>
        </w:rPr>
        <w:t>considerando as disposições da Lei Federal n.º 10.167, de 27 de dezembro de 2000;</w:t>
      </w:r>
    </w:p>
    <w:p w:rsidR="00CC7486" w:rsidRPr="00242792" w:rsidRDefault="00CC7486">
      <w:pPr>
        <w:ind w:firstLine="567"/>
        <w:jc w:val="both"/>
        <w:rPr>
          <w:strike/>
          <w:sz w:val="24"/>
          <w:szCs w:val="24"/>
        </w:rPr>
      </w:pPr>
    </w:p>
    <w:p w:rsidR="00CC7486" w:rsidRPr="00242792" w:rsidRDefault="00CC7486">
      <w:pPr>
        <w:ind w:firstLine="567"/>
        <w:jc w:val="both"/>
        <w:rPr>
          <w:strike/>
          <w:sz w:val="24"/>
          <w:szCs w:val="24"/>
        </w:rPr>
      </w:pPr>
      <w:r w:rsidRPr="00242792">
        <w:rPr>
          <w:strike/>
          <w:sz w:val="24"/>
          <w:szCs w:val="24"/>
        </w:rPr>
        <w:t>considerando as disposições da Medida Provisória n.º 2.134-30, de 24 de maio de 2001;</w:t>
      </w:r>
    </w:p>
    <w:p w:rsidR="00CC7486" w:rsidRPr="00242792" w:rsidRDefault="00CC7486">
      <w:pPr>
        <w:ind w:firstLine="567"/>
        <w:jc w:val="both"/>
        <w:rPr>
          <w:strike/>
          <w:sz w:val="24"/>
          <w:szCs w:val="24"/>
        </w:rPr>
      </w:pPr>
    </w:p>
    <w:p w:rsidR="00CC7486" w:rsidRPr="00242792" w:rsidRDefault="00CC7486">
      <w:pPr>
        <w:ind w:firstLine="567"/>
        <w:jc w:val="both"/>
        <w:rPr>
          <w:strike/>
          <w:sz w:val="24"/>
          <w:szCs w:val="24"/>
        </w:rPr>
      </w:pPr>
      <w:r w:rsidRPr="00242792">
        <w:rPr>
          <w:strike/>
          <w:sz w:val="24"/>
          <w:szCs w:val="24"/>
        </w:rPr>
        <w:t>considerando as disposições da Lei n.º 10.702, de 14 de julho de 2003;</w:t>
      </w:r>
    </w:p>
    <w:p w:rsidR="00CC7486" w:rsidRPr="00242792" w:rsidRDefault="00CC7486">
      <w:pPr>
        <w:ind w:firstLine="567"/>
        <w:jc w:val="both"/>
        <w:rPr>
          <w:strike/>
          <w:sz w:val="24"/>
          <w:szCs w:val="24"/>
        </w:rPr>
      </w:pPr>
    </w:p>
    <w:p w:rsidR="00CC7486" w:rsidRPr="00242792" w:rsidRDefault="00CC7486">
      <w:pPr>
        <w:ind w:firstLine="567"/>
        <w:jc w:val="both"/>
        <w:rPr>
          <w:strike/>
          <w:sz w:val="24"/>
          <w:szCs w:val="24"/>
        </w:rPr>
      </w:pPr>
      <w:r w:rsidRPr="00242792">
        <w:rPr>
          <w:strike/>
          <w:sz w:val="24"/>
          <w:szCs w:val="24"/>
        </w:rPr>
        <w:t xml:space="preserve">considerando que a </w:t>
      </w:r>
      <w:r w:rsidRPr="00242792">
        <w:rPr>
          <w:strike/>
          <w:sz w:val="24"/>
          <w:szCs w:val="24"/>
          <w:u w:val="single"/>
        </w:rPr>
        <w:t>Resolução 335, de 21 de novembro de 2003</w:t>
      </w:r>
      <w:r w:rsidRPr="00242792">
        <w:rPr>
          <w:strike/>
          <w:sz w:val="24"/>
          <w:szCs w:val="24"/>
        </w:rPr>
        <w:t>, não determinou prazo final para retirada dos materiais publicitários de tabaco expostos nos pontos de venda, ainda sem as imagens de alerta do Ministério da Saúde;</w:t>
      </w:r>
    </w:p>
    <w:p w:rsidR="00CC7486" w:rsidRPr="00242792" w:rsidRDefault="00CC7486">
      <w:pPr>
        <w:ind w:firstLine="567"/>
        <w:jc w:val="both"/>
        <w:rPr>
          <w:strike/>
          <w:sz w:val="24"/>
          <w:szCs w:val="24"/>
        </w:rPr>
      </w:pPr>
    </w:p>
    <w:p w:rsidR="00CC7486" w:rsidRPr="00242792" w:rsidRDefault="00CC7486">
      <w:pPr>
        <w:ind w:firstLine="567"/>
        <w:jc w:val="both"/>
        <w:rPr>
          <w:strike/>
          <w:sz w:val="24"/>
          <w:szCs w:val="24"/>
        </w:rPr>
      </w:pPr>
      <w:r w:rsidRPr="00242792">
        <w:rPr>
          <w:strike/>
          <w:sz w:val="24"/>
          <w:szCs w:val="24"/>
        </w:rPr>
        <w:t>adotou a seguinte Resolução de Diretoria Colegiada aplicável a todos os materiais de propaganda dos produtos fumígenos derivados do tabaco, e eu, Diretor Presidente-Presidente, determino a sua publicação:</w:t>
      </w:r>
    </w:p>
    <w:p w:rsidR="00CC7486" w:rsidRPr="00242792" w:rsidRDefault="00CC7486">
      <w:pPr>
        <w:ind w:firstLine="567"/>
        <w:jc w:val="both"/>
        <w:rPr>
          <w:strike/>
          <w:sz w:val="24"/>
          <w:szCs w:val="24"/>
        </w:rPr>
      </w:pPr>
    </w:p>
    <w:p w:rsidR="00CC7486" w:rsidRPr="00242792" w:rsidRDefault="00CC7486">
      <w:pPr>
        <w:ind w:firstLine="567"/>
        <w:jc w:val="both"/>
        <w:rPr>
          <w:strike/>
          <w:sz w:val="24"/>
          <w:szCs w:val="24"/>
        </w:rPr>
      </w:pPr>
      <w:r w:rsidRPr="00242792">
        <w:rPr>
          <w:strike/>
          <w:sz w:val="24"/>
          <w:szCs w:val="24"/>
        </w:rPr>
        <w:t>Art. 1º O art. 11 da Resolução RDC nº 335, de 21 de novembro de 2003, passa a vigorar com as seguintes alterações:</w:t>
      </w:r>
    </w:p>
    <w:p w:rsidR="00CC7486" w:rsidRPr="00242792" w:rsidRDefault="00CC7486">
      <w:pPr>
        <w:ind w:firstLine="567"/>
        <w:jc w:val="both"/>
        <w:rPr>
          <w:strike/>
          <w:sz w:val="24"/>
          <w:szCs w:val="24"/>
        </w:rPr>
      </w:pPr>
    </w:p>
    <w:p w:rsidR="00CC7486" w:rsidRDefault="00CC7486" w:rsidP="005C3263">
      <w:pPr>
        <w:ind w:firstLine="567"/>
        <w:jc w:val="both"/>
        <w:rPr>
          <w:strike/>
          <w:sz w:val="24"/>
          <w:szCs w:val="24"/>
        </w:rPr>
      </w:pPr>
      <w:r w:rsidRPr="00242792">
        <w:rPr>
          <w:strike/>
          <w:sz w:val="24"/>
          <w:szCs w:val="24"/>
        </w:rPr>
        <w:t>“Art. 11. Fica estabelecido o prazo de 9 meses, a partir da Publicação da RDC 335 de 21 de novembro de 2003, para que as empresas fabricantes e importadoras disponibilizem ao comércio varejista embalagens de produtos derivados de tabaco que estejam cumprindo devidamente as determinações desta resolução. Findo o referido prazo, somente poderão ser disponibilizadas ao comércio varejista embalagens que estejam de acordo com a presente resolução.</w:t>
      </w:r>
    </w:p>
    <w:p w:rsidR="00D44229" w:rsidRDefault="00D44229" w:rsidP="005C3263">
      <w:pPr>
        <w:ind w:firstLine="567"/>
        <w:jc w:val="both"/>
        <w:rPr>
          <w:strike/>
          <w:sz w:val="24"/>
          <w:szCs w:val="24"/>
        </w:rPr>
      </w:pPr>
    </w:p>
    <w:p w:rsidR="00D44229" w:rsidRPr="00242792" w:rsidRDefault="00D44229" w:rsidP="005C3263">
      <w:pPr>
        <w:ind w:firstLine="567"/>
        <w:jc w:val="both"/>
        <w:rPr>
          <w:strike/>
          <w:sz w:val="24"/>
          <w:szCs w:val="24"/>
        </w:rPr>
      </w:pPr>
    </w:p>
    <w:p w:rsidR="00CC7486" w:rsidRPr="00242792" w:rsidRDefault="00CC7486">
      <w:pPr>
        <w:ind w:left="1190"/>
        <w:jc w:val="both"/>
        <w:rPr>
          <w:strike/>
          <w:sz w:val="24"/>
          <w:szCs w:val="24"/>
        </w:rPr>
      </w:pPr>
    </w:p>
    <w:p w:rsidR="00CC7486" w:rsidRPr="00242792" w:rsidRDefault="00CC7486" w:rsidP="00EB7FE4">
      <w:pPr>
        <w:pStyle w:val="Corpodetexto2"/>
        <w:ind w:left="0" w:firstLine="567"/>
        <w:rPr>
          <w:rFonts w:ascii="Times New Roman" w:hAnsi="Times New Roman" w:cs="Times New Roman"/>
          <w:strike/>
          <w:sz w:val="24"/>
          <w:szCs w:val="24"/>
        </w:rPr>
      </w:pPr>
      <w:r w:rsidRPr="00242792">
        <w:rPr>
          <w:rFonts w:ascii="Times New Roman" w:hAnsi="Times New Roman" w:cs="Times New Roman"/>
          <w:strike/>
          <w:sz w:val="24"/>
          <w:szCs w:val="24"/>
        </w:rPr>
        <w:lastRenderedPageBreak/>
        <w:t>§1º. Os produtos fabricados ou importados anteriormente ao prazo estabelecido no caput do artigo ou seja, cujas embalagens estejam de acordo com a Resolução RDC nº 104 de 31 de maio de 2001, poderão ser comercializados até 18 meses após a publicação da RDC 335 de 21 de novembro de 2003. O referido prazo também se aplica aos materiais de propaganda, de forma que, a partir do dia 25 de maio de 2005, todos os materiais publicitários relativos aos produtos derivados do tabaco constantes nos pontos de venda deverão cumprir integralmente as determinações contidas nesta Resolução.</w:t>
      </w:r>
    </w:p>
    <w:p w:rsidR="00CC7486" w:rsidRPr="00242792" w:rsidRDefault="00CC7486">
      <w:pPr>
        <w:ind w:left="1190"/>
        <w:jc w:val="both"/>
        <w:rPr>
          <w:strike/>
          <w:sz w:val="24"/>
          <w:szCs w:val="24"/>
        </w:rPr>
      </w:pPr>
    </w:p>
    <w:p w:rsidR="00CC7486" w:rsidRPr="00242792" w:rsidRDefault="00CC7486">
      <w:pPr>
        <w:ind w:firstLine="567"/>
        <w:jc w:val="both"/>
        <w:rPr>
          <w:strike/>
          <w:sz w:val="24"/>
          <w:szCs w:val="24"/>
        </w:rPr>
      </w:pPr>
      <w:r w:rsidRPr="00242792">
        <w:rPr>
          <w:strike/>
          <w:sz w:val="24"/>
          <w:szCs w:val="24"/>
        </w:rPr>
        <w:t>§ 2º. Os prazos acima dispostos aplicam-se a todos os produtos derivados do tabaco fumígenos, sem exceção, incluindo charutos, cigarrilhas, cigarros de bali, cigarros tipo kretek, e outros.</w:t>
      </w:r>
    </w:p>
    <w:p w:rsidR="00CC7486" w:rsidRPr="00242792" w:rsidRDefault="00CC7486">
      <w:pPr>
        <w:ind w:firstLine="567"/>
        <w:jc w:val="both"/>
        <w:rPr>
          <w:strike/>
          <w:sz w:val="24"/>
          <w:szCs w:val="24"/>
        </w:rPr>
      </w:pPr>
    </w:p>
    <w:p w:rsidR="00CC7486" w:rsidRPr="00242792" w:rsidRDefault="00CC7486">
      <w:pPr>
        <w:ind w:firstLine="567"/>
        <w:jc w:val="both"/>
        <w:rPr>
          <w:strike/>
          <w:sz w:val="24"/>
          <w:szCs w:val="24"/>
        </w:rPr>
      </w:pPr>
      <w:r w:rsidRPr="00242792">
        <w:rPr>
          <w:strike/>
          <w:sz w:val="24"/>
          <w:szCs w:val="24"/>
        </w:rPr>
        <w:t>Art. 2º Esta Resolução entra em vigor na data de sua publicação.</w:t>
      </w:r>
    </w:p>
    <w:p w:rsidR="00CC7486" w:rsidRPr="00242792" w:rsidRDefault="00CC7486">
      <w:pPr>
        <w:ind w:firstLine="567"/>
        <w:jc w:val="both"/>
        <w:rPr>
          <w:strike/>
          <w:sz w:val="24"/>
          <w:szCs w:val="24"/>
        </w:rPr>
      </w:pPr>
    </w:p>
    <w:p w:rsidR="00CC7486" w:rsidRPr="00242792" w:rsidRDefault="00CC7486">
      <w:pPr>
        <w:ind w:firstLine="567"/>
        <w:jc w:val="both"/>
        <w:rPr>
          <w:strike/>
          <w:sz w:val="24"/>
          <w:szCs w:val="24"/>
        </w:rPr>
      </w:pPr>
    </w:p>
    <w:p w:rsidR="00CC7486" w:rsidRPr="00242792" w:rsidRDefault="00CC7486">
      <w:pPr>
        <w:ind w:firstLine="567"/>
        <w:jc w:val="both"/>
        <w:rPr>
          <w:strike/>
          <w:sz w:val="24"/>
          <w:szCs w:val="24"/>
        </w:rPr>
      </w:pPr>
    </w:p>
    <w:p w:rsidR="00CC7486" w:rsidRPr="00242792" w:rsidRDefault="00CC7486">
      <w:pPr>
        <w:jc w:val="center"/>
        <w:rPr>
          <w:b/>
          <w:i/>
          <w:iCs/>
          <w:strike/>
          <w:sz w:val="24"/>
          <w:szCs w:val="24"/>
        </w:rPr>
      </w:pPr>
      <w:r w:rsidRPr="00242792">
        <w:rPr>
          <w:rStyle w:val="nfase"/>
          <w:b/>
          <w:i w:val="0"/>
          <w:iCs w:val="0"/>
          <w:strike/>
          <w:sz w:val="24"/>
          <w:szCs w:val="24"/>
        </w:rPr>
        <w:t>CLÁUDIO MAIEROVITCH PESSANHA HENRIQUES</w:t>
      </w:r>
    </w:p>
    <w:sectPr w:rsidR="00CC7486" w:rsidRPr="00242792" w:rsidSect="00261ABD">
      <w:headerReference w:type="default" r:id="rId6"/>
      <w:footerReference w:type="default" r:id="rId7"/>
      <w:pgSz w:w="11907" w:h="16840" w:code="9"/>
      <w:pgMar w:top="1417" w:right="1701" w:bottom="1417" w:left="1701"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952" w:rsidRDefault="00585952" w:rsidP="005F45E3">
      <w:r>
        <w:separator/>
      </w:r>
    </w:p>
  </w:endnote>
  <w:endnote w:type="continuationSeparator" w:id="0">
    <w:p w:rsidR="00585952" w:rsidRDefault="00585952" w:rsidP="005F4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altName w:val="Arial"/>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96D" w:rsidRPr="006826DF" w:rsidRDefault="00EB096D" w:rsidP="00EB096D">
    <w:pPr>
      <w:tabs>
        <w:tab w:val="center" w:pos="4252"/>
        <w:tab w:val="right" w:pos="8504"/>
      </w:tabs>
      <w:jc w:val="center"/>
      <w:rPr>
        <w:rFonts w:ascii="Calibri" w:hAnsi="Calibri"/>
        <w:sz w:val="22"/>
        <w:szCs w:val="22"/>
        <w:lang w:eastAsia="en-US"/>
      </w:rPr>
    </w:pPr>
    <w:r w:rsidRPr="006826DF">
      <w:rPr>
        <w:rFonts w:ascii="Calibri" w:hAnsi="Calibri"/>
        <w:color w:val="943634"/>
        <w:sz w:val="22"/>
        <w:szCs w:val="22"/>
        <w:lang w:eastAsia="en-US"/>
      </w:rPr>
      <w:t>Este texto não substitui o(s) publicado(s) em Diário Oficial da União.</w:t>
    </w:r>
  </w:p>
  <w:p w:rsidR="00EB096D" w:rsidRDefault="00EB096D" w:rsidP="00EB096D">
    <w:pPr>
      <w:pStyle w:val="Rodap"/>
    </w:pPr>
  </w:p>
  <w:p w:rsidR="00EB096D" w:rsidRDefault="00EB096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952" w:rsidRDefault="00585952" w:rsidP="005F45E3">
      <w:r>
        <w:separator/>
      </w:r>
    </w:p>
  </w:footnote>
  <w:footnote w:type="continuationSeparator" w:id="0">
    <w:p w:rsidR="00585952" w:rsidRDefault="00585952" w:rsidP="005F4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96D" w:rsidRPr="006826DF" w:rsidRDefault="00EB096D" w:rsidP="00EB096D">
    <w:pPr>
      <w:tabs>
        <w:tab w:val="center" w:pos="4252"/>
        <w:tab w:val="right" w:pos="8504"/>
      </w:tabs>
      <w:jc w:val="center"/>
      <w:rPr>
        <w:rFonts w:ascii="Calibri" w:hAnsi="Calibri"/>
        <w:sz w:val="22"/>
        <w:szCs w:val="22"/>
        <w:lang w:eastAsia="en-US"/>
      </w:rPr>
    </w:pPr>
    <w:r w:rsidRPr="00EB096D">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i1026" type="#_x0000_t75" alt="Brasão da República" style="width:51.75pt;height:51pt;visibility:visible">
          <v:imagedata r:id="rId1" o:title=""/>
        </v:shape>
      </w:pict>
    </w:r>
  </w:p>
  <w:p w:rsidR="00EB096D" w:rsidRPr="006826DF" w:rsidRDefault="00EB096D" w:rsidP="00EB096D">
    <w:pPr>
      <w:tabs>
        <w:tab w:val="center" w:pos="4252"/>
        <w:tab w:val="right" w:pos="8504"/>
      </w:tabs>
      <w:jc w:val="center"/>
      <w:rPr>
        <w:rFonts w:ascii="Calibri" w:hAnsi="Calibri"/>
        <w:b/>
        <w:sz w:val="24"/>
        <w:szCs w:val="22"/>
        <w:lang w:eastAsia="en-US"/>
      </w:rPr>
    </w:pPr>
    <w:r w:rsidRPr="006826DF">
      <w:rPr>
        <w:rFonts w:ascii="Calibri" w:hAnsi="Calibri"/>
        <w:b/>
        <w:sz w:val="24"/>
        <w:szCs w:val="22"/>
        <w:lang w:eastAsia="en-US"/>
      </w:rPr>
      <w:t>Ministério da Saúde - MS</w:t>
    </w:r>
  </w:p>
  <w:p w:rsidR="00EB096D" w:rsidRPr="006826DF" w:rsidRDefault="00EB096D" w:rsidP="00EB096D">
    <w:pPr>
      <w:tabs>
        <w:tab w:val="center" w:pos="4252"/>
        <w:tab w:val="right" w:pos="8504"/>
      </w:tabs>
      <w:jc w:val="center"/>
      <w:rPr>
        <w:rFonts w:ascii="Calibri" w:hAnsi="Calibri"/>
        <w:b/>
        <w:sz w:val="24"/>
        <w:szCs w:val="22"/>
        <w:lang w:eastAsia="en-US"/>
      </w:rPr>
    </w:pPr>
    <w:r w:rsidRPr="006826DF">
      <w:rPr>
        <w:rFonts w:ascii="Calibri" w:hAnsi="Calibri"/>
        <w:b/>
        <w:sz w:val="24"/>
        <w:szCs w:val="22"/>
        <w:lang w:eastAsia="en-US"/>
      </w:rPr>
      <w:t>Agência Nacional de Vigilância Sanitária - ANVISA</w:t>
    </w:r>
  </w:p>
  <w:p w:rsidR="00EB096D" w:rsidRPr="00EB096D" w:rsidRDefault="00EB096D" w:rsidP="00EB096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C7486"/>
    <w:rsid w:val="000373A5"/>
    <w:rsid w:val="00242792"/>
    <w:rsid w:val="00261ABD"/>
    <w:rsid w:val="00585952"/>
    <w:rsid w:val="005C3263"/>
    <w:rsid w:val="005F45E3"/>
    <w:rsid w:val="006826DF"/>
    <w:rsid w:val="00987CC8"/>
    <w:rsid w:val="00CC7486"/>
    <w:rsid w:val="00D44229"/>
    <w:rsid w:val="00D84851"/>
    <w:rsid w:val="00EB096D"/>
    <w:rsid w:val="00EB7F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Strong" w:uiPriority="22" w:qFormat="1"/>
    <w:lsdException w:name="Emphasis" w:qFormat="1"/>
    <w:lsdException w:name="Normal (Web)" w:semiHidden="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jc w:val="center"/>
      <w:outlineLvl w:val="0"/>
    </w:pPr>
    <w:rPr>
      <w:rFonts w:ascii="Arial" w:hAnsi="Arial" w:cs="Arial"/>
      <w:sz w:val="24"/>
      <w:szCs w:val="24"/>
    </w:rPr>
  </w:style>
  <w:style w:type="paragraph" w:styleId="Ttulo2">
    <w:name w:val="heading 2"/>
    <w:basedOn w:val="Normal"/>
    <w:next w:val="Normal"/>
    <w:link w:val="Ttulo2Char"/>
    <w:uiPriority w:val="99"/>
    <w:qFormat/>
    <w:pPr>
      <w:keepNext/>
      <w:outlineLvl w:val="1"/>
    </w:pPr>
    <w:rPr>
      <w:rFonts w:ascii="Arial" w:hAnsi="Arial" w:cs="Arial"/>
      <w:b/>
      <w:bCs/>
    </w:rPr>
  </w:style>
  <w:style w:type="paragraph" w:styleId="Ttulo3">
    <w:name w:val="heading 3"/>
    <w:basedOn w:val="Normal"/>
    <w:next w:val="Normal"/>
    <w:link w:val="Ttulo3Char"/>
    <w:uiPriority w:val="99"/>
    <w:qFormat/>
    <w:pPr>
      <w:keepNext/>
      <w:ind w:firstLine="567"/>
      <w:outlineLvl w:val="2"/>
    </w:pPr>
    <w:rPr>
      <w:rFonts w:ascii="Arial" w:hAnsi="Arial" w:cs="Arial"/>
      <w:b/>
      <w:bCs/>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paragraph" w:styleId="NormalWeb">
    <w:name w:val="Normal (Web)"/>
    <w:basedOn w:val="Normal"/>
    <w:uiPriority w:val="99"/>
    <w:pPr>
      <w:spacing w:before="100" w:beforeAutospacing="1" w:after="100" w:afterAutospacing="1"/>
    </w:pPr>
    <w:rPr>
      <w:rFonts w:ascii="Arial Unicode MS" w:hAnsi="Arial Unicode MS" w:cs="Arial Unicode MS"/>
      <w:sz w:val="24"/>
      <w:szCs w:val="24"/>
    </w:rPr>
  </w:style>
  <w:style w:type="character" w:styleId="nfase">
    <w:name w:val="Emphasis"/>
    <w:basedOn w:val="Fontepargpadro"/>
    <w:uiPriority w:val="99"/>
    <w:qFormat/>
    <w:rPr>
      <w:rFonts w:cs="Times New Roman"/>
      <w:i/>
      <w:iCs/>
    </w:rPr>
  </w:style>
  <w:style w:type="paragraph" w:styleId="Corpodetexto">
    <w:name w:val="Body Text"/>
    <w:basedOn w:val="Normal"/>
    <w:link w:val="CorpodetextoChar"/>
    <w:uiPriority w:val="99"/>
    <w:pPr>
      <w:jc w:val="both"/>
    </w:pPr>
    <w:rPr>
      <w:rFonts w:ascii="Arial" w:hAnsi="Arial" w:cs="Arial"/>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Corpodetexto2">
    <w:name w:val="Body Text 2"/>
    <w:basedOn w:val="Normal"/>
    <w:link w:val="Corpodetexto2Char"/>
    <w:uiPriority w:val="99"/>
    <w:pPr>
      <w:ind w:left="1190"/>
      <w:jc w:val="both"/>
    </w:pPr>
    <w:rPr>
      <w:rFonts w:ascii="Arial" w:hAnsi="Arial" w:cs="Arial"/>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abealho">
    <w:name w:val="header"/>
    <w:basedOn w:val="Normal"/>
    <w:link w:val="CabealhoChar"/>
    <w:uiPriority w:val="99"/>
    <w:rsid w:val="005F45E3"/>
    <w:pPr>
      <w:tabs>
        <w:tab w:val="center" w:pos="4252"/>
        <w:tab w:val="right" w:pos="8504"/>
      </w:tabs>
    </w:pPr>
  </w:style>
  <w:style w:type="character" w:customStyle="1" w:styleId="CabealhoChar">
    <w:name w:val="Cabeçalho Char"/>
    <w:basedOn w:val="Fontepargpadro"/>
    <w:link w:val="Cabealho"/>
    <w:uiPriority w:val="99"/>
    <w:locked/>
    <w:rsid w:val="005F45E3"/>
    <w:rPr>
      <w:rFonts w:ascii="Times New Roman" w:hAnsi="Times New Roman" w:cs="Times New Roman"/>
      <w:sz w:val="20"/>
      <w:szCs w:val="20"/>
    </w:rPr>
  </w:style>
  <w:style w:type="paragraph" w:styleId="Rodap">
    <w:name w:val="footer"/>
    <w:basedOn w:val="Normal"/>
    <w:link w:val="RodapChar"/>
    <w:uiPriority w:val="99"/>
    <w:rsid w:val="005F45E3"/>
    <w:pPr>
      <w:tabs>
        <w:tab w:val="center" w:pos="4252"/>
        <w:tab w:val="right" w:pos="8504"/>
      </w:tabs>
    </w:pPr>
  </w:style>
  <w:style w:type="character" w:customStyle="1" w:styleId="RodapChar">
    <w:name w:val="Rodapé Char"/>
    <w:basedOn w:val="Fontepargpadro"/>
    <w:link w:val="Rodap"/>
    <w:uiPriority w:val="99"/>
    <w:locked/>
    <w:rsid w:val="005F45E3"/>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2502</Characters>
  <Application>Microsoft Office Word</Application>
  <DocSecurity>0</DocSecurity>
  <Lines>20</Lines>
  <Paragraphs>5</Paragraphs>
  <ScaleCrop>false</ScaleCrop>
  <Company>anvisa</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da Diretoria Colegiada RDC n</dc:title>
  <dc:subject/>
  <dc:creator>Claudio.Hermann</dc:creator>
  <cp:keywords/>
  <dc:description/>
  <cp:lastModifiedBy>Julia de Souza Ferreira</cp:lastModifiedBy>
  <cp:revision>2</cp:revision>
  <cp:lastPrinted>2004-07-07T19:15:00Z</cp:lastPrinted>
  <dcterms:created xsi:type="dcterms:W3CDTF">2018-11-27T16:35:00Z</dcterms:created>
  <dcterms:modified xsi:type="dcterms:W3CDTF">2018-11-27T16:35:00Z</dcterms:modified>
</cp:coreProperties>
</file>