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35E" w:rsidRPr="002523EA" w:rsidRDefault="0084635E" w:rsidP="000E1C86">
      <w:pPr>
        <w:pStyle w:val="Ttulo1"/>
        <w:ind w:left="-709" w:right="-852"/>
        <w:divId w:val="471337482"/>
        <w:rPr>
          <w:rFonts w:ascii="Times New Roman" w:hAnsi="Times New Roman" w:cs="Times New Roman"/>
          <w:sz w:val="24"/>
          <w:szCs w:val="24"/>
        </w:rPr>
      </w:pPr>
      <w:bookmarkStart w:id="0" w:name="_GoBack"/>
      <w:bookmarkEnd w:id="0"/>
      <w:r w:rsidRPr="002523EA">
        <w:rPr>
          <w:rFonts w:ascii="Times New Roman" w:hAnsi="Times New Roman" w:cs="Times New Roman"/>
          <w:sz w:val="24"/>
          <w:szCs w:val="24"/>
        </w:rPr>
        <w:t xml:space="preserve">Resolução da Diretoria Colegiada – RDC </w:t>
      </w:r>
      <w:r w:rsidR="004833A6" w:rsidRPr="002523EA">
        <w:rPr>
          <w:rFonts w:ascii="Times New Roman" w:hAnsi="Times New Roman" w:cs="Times New Roman"/>
          <w:sz w:val="24"/>
          <w:szCs w:val="24"/>
        </w:rPr>
        <w:t>nº 179, de 3 de outubro de 2006</w:t>
      </w:r>
    </w:p>
    <w:p w:rsidR="000E1C86" w:rsidRPr="002523EA" w:rsidRDefault="000E1C86" w:rsidP="000E1C86">
      <w:pPr>
        <w:jc w:val="center"/>
        <w:divId w:val="471337482"/>
        <w:rPr>
          <w:b/>
          <w:color w:val="0000FF"/>
        </w:rPr>
      </w:pPr>
      <w:r w:rsidRPr="002523EA">
        <w:rPr>
          <w:b/>
          <w:color w:val="0000FF"/>
        </w:rPr>
        <w:t xml:space="preserve">(Publicada no DOU nº </w:t>
      </w:r>
      <w:r w:rsidR="00577520" w:rsidRPr="002523EA">
        <w:rPr>
          <w:b/>
          <w:color w:val="0000FF"/>
        </w:rPr>
        <w:t>191</w:t>
      </w:r>
      <w:r w:rsidRPr="002523EA">
        <w:rPr>
          <w:b/>
          <w:color w:val="0000FF"/>
        </w:rPr>
        <w:t xml:space="preserve">, de </w:t>
      </w:r>
      <w:r w:rsidR="00577520" w:rsidRPr="002523EA">
        <w:rPr>
          <w:b/>
          <w:color w:val="0000FF"/>
        </w:rPr>
        <w:t>4</w:t>
      </w:r>
      <w:r w:rsidRPr="002523EA">
        <w:rPr>
          <w:b/>
          <w:color w:val="0000FF"/>
        </w:rPr>
        <w:t xml:space="preserve"> de </w:t>
      </w:r>
      <w:r w:rsidR="00577520" w:rsidRPr="002523EA">
        <w:rPr>
          <w:b/>
          <w:color w:val="0000FF"/>
        </w:rPr>
        <w:t>outubro</w:t>
      </w:r>
      <w:r w:rsidRPr="002523EA">
        <w:rPr>
          <w:b/>
          <w:color w:val="0000FF"/>
        </w:rPr>
        <w:t xml:space="preserve"> de 2006)</w:t>
      </w:r>
    </w:p>
    <w:p w:rsidR="000E1C86" w:rsidRPr="002523EA" w:rsidRDefault="000E1C86" w:rsidP="000E1C86">
      <w:pPr>
        <w:jc w:val="center"/>
        <w:divId w:val="471337482"/>
        <w:rPr>
          <w:b/>
          <w:color w:val="0000FF"/>
        </w:rPr>
      </w:pPr>
      <w:r w:rsidRPr="002523EA">
        <w:rPr>
          <w:b/>
          <w:color w:val="0000FF"/>
        </w:rPr>
        <w:t xml:space="preserve">(Revogada pela Resolução – RDC nº </w:t>
      </w:r>
      <w:r w:rsidR="00D5016F" w:rsidRPr="002523EA">
        <w:rPr>
          <w:b/>
          <w:color w:val="0000FF"/>
        </w:rPr>
        <w:t>82</w:t>
      </w:r>
      <w:r w:rsidRPr="002523EA">
        <w:rPr>
          <w:b/>
          <w:color w:val="0000FF"/>
        </w:rPr>
        <w:t xml:space="preserve">, de </w:t>
      </w:r>
      <w:r w:rsidR="00D5016F" w:rsidRPr="002523EA">
        <w:rPr>
          <w:b/>
          <w:color w:val="0000FF"/>
        </w:rPr>
        <w:t>3</w:t>
      </w:r>
      <w:r w:rsidRPr="002523EA">
        <w:rPr>
          <w:b/>
          <w:color w:val="0000FF"/>
        </w:rPr>
        <w:t xml:space="preserve"> de </w:t>
      </w:r>
      <w:r w:rsidR="00D5016F" w:rsidRPr="002523EA">
        <w:rPr>
          <w:b/>
          <w:color w:val="0000FF"/>
        </w:rPr>
        <w:t>junho</w:t>
      </w:r>
      <w:r w:rsidRPr="002523EA">
        <w:rPr>
          <w:b/>
          <w:color w:val="0000FF"/>
        </w:rPr>
        <w:t xml:space="preserve"> de </w:t>
      </w:r>
      <w:r w:rsidR="00D5016F" w:rsidRPr="002523EA">
        <w:rPr>
          <w:b/>
          <w:color w:val="0000FF"/>
        </w:rPr>
        <w:t>2016</w:t>
      </w:r>
      <w:r w:rsidRPr="002523EA">
        <w:rPr>
          <w:b/>
          <w:color w:val="0000FF"/>
        </w:rPr>
        <w:t>)</w:t>
      </w:r>
    </w:p>
    <w:p w:rsidR="000E1C86" w:rsidRPr="002523EA" w:rsidRDefault="000E1C86" w:rsidP="0084635E">
      <w:pPr>
        <w:ind w:firstLine="567"/>
        <w:jc w:val="both"/>
        <w:divId w:val="471337482"/>
        <w:rPr>
          <w:b/>
          <w:bCs/>
          <w:strike/>
        </w:rPr>
      </w:pPr>
    </w:p>
    <w:p w:rsidR="0084635E" w:rsidRPr="002523EA" w:rsidRDefault="0084635E" w:rsidP="0084635E">
      <w:pPr>
        <w:ind w:firstLine="567"/>
        <w:jc w:val="both"/>
        <w:divId w:val="471337482"/>
        <w:rPr>
          <w:strike/>
        </w:rPr>
      </w:pPr>
      <w:r w:rsidRPr="002523EA">
        <w:rPr>
          <w:b/>
          <w:bCs/>
          <w:strike/>
        </w:rPr>
        <w:t>A Diretoria Colegiada da Agência Nacional de Vigilância Sanitária</w:t>
      </w:r>
      <w:r w:rsidRPr="002523EA">
        <w:rPr>
          <w:strike/>
        </w:rPr>
        <w:t>,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26 de setembro de 2006, e</w:t>
      </w:r>
    </w:p>
    <w:p w:rsidR="0084635E" w:rsidRPr="002523EA" w:rsidRDefault="0084635E" w:rsidP="0084635E">
      <w:pPr>
        <w:ind w:firstLine="567"/>
        <w:jc w:val="both"/>
        <w:divId w:val="471337482"/>
        <w:rPr>
          <w:strike/>
        </w:rPr>
      </w:pPr>
      <w:r w:rsidRPr="002523EA">
        <w:rPr>
          <w:strike/>
        </w:rPr>
        <w:t>considerando a necessidade e a importância de compatibilizar os regulamentos nacionais com os instrumentos harmonizados no MERCOSUL, em especial a Resolução GMC nº. 25/06;</w:t>
      </w:r>
    </w:p>
    <w:p w:rsidR="0084635E" w:rsidRPr="002523EA" w:rsidRDefault="0084635E" w:rsidP="0084635E">
      <w:pPr>
        <w:ind w:firstLine="567"/>
        <w:jc w:val="both"/>
        <w:divId w:val="471337482"/>
        <w:rPr>
          <w:rFonts w:eastAsia="Arial Unicode MS"/>
          <w:strike/>
        </w:rPr>
      </w:pPr>
      <w:r w:rsidRPr="002523EA">
        <w:rPr>
          <w:strike/>
        </w:rPr>
        <w:t>considerando a necessidade do constante aperfei</w:t>
      </w:r>
      <w:r w:rsidRPr="002523EA">
        <w:rPr>
          <w:rFonts w:eastAsia="Arial Unicode MS"/>
          <w:strike/>
        </w:rPr>
        <w:t>çoamento das ações de controle sanitário na área de saneantes, visando à proteção da saúde da população;</w:t>
      </w:r>
    </w:p>
    <w:p w:rsidR="0084635E" w:rsidRPr="002523EA" w:rsidRDefault="0084635E" w:rsidP="0084635E">
      <w:pPr>
        <w:ind w:firstLine="567"/>
        <w:jc w:val="both"/>
        <w:divId w:val="471337482"/>
        <w:rPr>
          <w:rFonts w:eastAsia="Arial Unicode MS"/>
          <w:strike/>
        </w:rPr>
      </w:pPr>
      <w:r w:rsidRPr="002523EA">
        <w:rPr>
          <w:rFonts w:eastAsia="Arial Unicode MS"/>
          <w:strike/>
        </w:rPr>
        <w:t>considerando a existência de regulamentos específicos sobre produtos saneantes sob controle da vigilância sanitária;</w:t>
      </w:r>
    </w:p>
    <w:p w:rsidR="0084635E" w:rsidRPr="002523EA" w:rsidRDefault="0084635E" w:rsidP="0084635E">
      <w:pPr>
        <w:ind w:firstLine="567"/>
        <w:jc w:val="both"/>
        <w:divId w:val="471337482"/>
        <w:rPr>
          <w:rFonts w:eastAsia="Arial Unicode MS"/>
          <w:strike/>
        </w:rPr>
      </w:pPr>
      <w:r w:rsidRPr="002523EA">
        <w:rPr>
          <w:rFonts w:eastAsia="Arial Unicode MS"/>
          <w:strike/>
        </w:rPr>
        <w:t>considerando o controle e a fiscalização dos produtos e serviços que envolvam risco à saúde pública conforme o disposto na Lei n.º 9.782, de 26 de janeiro de 1999;</w:t>
      </w:r>
    </w:p>
    <w:p w:rsidR="0084635E" w:rsidRPr="002523EA" w:rsidRDefault="0084635E" w:rsidP="0084635E">
      <w:pPr>
        <w:ind w:firstLine="567"/>
        <w:jc w:val="both"/>
        <w:divId w:val="471337482"/>
        <w:rPr>
          <w:rFonts w:eastAsia="Arial Unicode MS"/>
          <w:strike/>
        </w:rPr>
      </w:pPr>
      <w:r w:rsidRPr="002523EA">
        <w:rPr>
          <w:rFonts w:eastAsia="Arial Unicode MS"/>
          <w:strike/>
        </w:rPr>
        <w:t>considerando os produtos saneantes sob o Regulamento Sanitário conforme estabelece a Lei n.º 6360, de 23 de setembro de 1976, Decreto nº. 79.094, de 5 de janeiro de 1977 e suas atualizações;</w:t>
      </w:r>
    </w:p>
    <w:p w:rsidR="0084635E" w:rsidRPr="002523EA" w:rsidRDefault="0084635E" w:rsidP="0084635E">
      <w:pPr>
        <w:ind w:firstLine="567"/>
        <w:jc w:val="both"/>
        <w:divId w:val="471337482"/>
        <w:rPr>
          <w:rFonts w:eastAsia="Arial Unicode MS"/>
          <w:strike/>
          <w:lang w:val="pt-PT"/>
        </w:rPr>
      </w:pPr>
      <w:r w:rsidRPr="002523EA">
        <w:rPr>
          <w:rFonts w:eastAsia="Arial Unicode MS"/>
          <w:strike/>
        </w:rPr>
        <w:t>considerando a</w:t>
      </w:r>
      <w:r w:rsidRPr="002523EA">
        <w:rPr>
          <w:rFonts w:eastAsia="Arial Unicode MS"/>
          <w:strike/>
          <w:lang w:val="pt-PT"/>
        </w:rPr>
        <w:t xml:space="preserve"> Lei nº. 8080/90;</w:t>
      </w:r>
    </w:p>
    <w:p w:rsidR="0084635E" w:rsidRPr="002523EA" w:rsidRDefault="0084635E" w:rsidP="0084635E">
      <w:pPr>
        <w:ind w:firstLine="567"/>
        <w:jc w:val="both"/>
        <w:divId w:val="471337482"/>
        <w:rPr>
          <w:rFonts w:eastAsia="Arial Unicode MS"/>
          <w:strike/>
        </w:rPr>
      </w:pPr>
      <w:r w:rsidRPr="002523EA">
        <w:rPr>
          <w:rFonts w:eastAsia="Arial Unicode MS"/>
          <w:strike/>
        </w:rPr>
        <w:t>considerando a Portaria nº. 593, de 25 de agosto de 2000;</w:t>
      </w:r>
    </w:p>
    <w:p w:rsidR="0084635E" w:rsidRPr="002523EA" w:rsidRDefault="0084635E" w:rsidP="0084635E">
      <w:pPr>
        <w:ind w:firstLine="567"/>
        <w:jc w:val="both"/>
        <w:divId w:val="471337482"/>
        <w:rPr>
          <w:strike/>
        </w:rPr>
      </w:pPr>
      <w:r w:rsidRPr="002523EA">
        <w:rPr>
          <w:strike/>
        </w:rPr>
        <w:t>adota a seguinte Resolução da Diretoria Colegiada e eu, Diretor-Presidente, determino a sua publicação:</w:t>
      </w:r>
    </w:p>
    <w:p w:rsidR="0084635E" w:rsidRPr="002523EA" w:rsidRDefault="0084635E" w:rsidP="0084635E">
      <w:pPr>
        <w:ind w:firstLine="567"/>
        <w:jc w:val="both"/>
        <w:divId w:val="471337482"/>
        <w:rPr>
          <w:rFonts w:eastAsia="Arial Unicode MS"/>
          <w:strike/>
          <w:lang w:val="pt-PT"/>
        </w:rPr>
      </w:pPr>
      <w:r w:rsidRPr="002523EA">
        <w:rPr>
          <w:strike/>
          <w:lang w:val="pt-PT"/>
        </w:rPr>
        <w:t>Art. 1</w:t>
      </w:r>
      <w:r w:rsidRPr="002523EA">
        <w:rPr>
          <w:rFonts w:eastAsia="Arial Unicode MS"/>
          <w:strike/>
          <w:lang w:val="pt-PT"/>
        </w:rPr>
        <w:t xml:space="preserve"> - Aprovar o Regulamento técnico para </w:t>
      </w:r>
      <w:r w:rsidRPr="002523EA">
        <w:rPr>
          <w:strike/>
        </w:rPr>
        <w:t>Produtos Saneantes à Base de Bactérias</w:t>
      </w:r>
      <w:r w:rsidRPr="002523EA">
        <w:rPr>
          <w:rFonts w:eastAsia="Arial Unicode MS"/>
          <w:strike/>
          <w:lang w:val="pt-PT"/>
        </w:rPr>
        <w:t xml:space="preserve"> harmonizado no âmbito do Mercosul através da Resolução GMC nº 25/06, que consta em anexo à presente Resolução;</w:t>
      </w:r>
    </w:p>
    <w:p w:rsidR="0084635E" w:rsidRPr="002523EA" w:rsidRDefault="0084635E" w:rsidP="0084635E">
      <w:pPr>
        <w:ind w:firstLine="567"/>
        <w:jc w:val="both"/>
        <w:divId w:val="471337482"/>
        <w:rPr>
          <w:rFonts w:eastAsia="Arial Unicode MS"/>
          <w:strike/>
          <w:lang w:val="pt-PT"/>
        </w:rPr>
      </w:pPr>
      <w:r w:rsidRPr="002523EA">
        <w:rPr>
          <w:rFonts w:eastAsia="Arial Unicode MS"/>
          <w:strike/>
          <w:lang w:val="pt-PT"/>
        </w:rPr>
        <w:lastRenderedPageBreak/>
        <w:t xml:space="preserve">Art. 2 - </w:t>
      </w:r>
      <w:r w:rsidRPr="002523EA">
        <w:rPr>
          <w:rFonts w:eastAsia="Arial Unicode MS"/>
          <w:strike/>
        </w:rPr>
        <w:t xml:space="preserve">Revoga-se </w:t>
      </w:r>
      <w:r w:rsidRPr="002523EA">
        <w:rPr>
          <w:rFonts w:eastAsia="Arial Unicode MS"/>
          <w:strike/>
          <w:lang w:val="pt-PT"/>
        </w:rPr>
        <w:t>a RDC n</w:t>
      </w:r>
      <w:r w:rsidRPr="002523EA">
        <w:rPr>
          <w:rFonts w:eastAsia="Arial Unicode MS"/>
          <w:strike/>
          <w:vertAlign w:val="superscript"/>
          <w:lang w:val="pt-PT"/>
        </w:rPr>
        <w:t>o</w:t>
      </w:r>
      <w:r w:rsidRPr="002523EA">
        <w:rPr>
          <w:rFonts w:eastAsia="Arial Unicode MS"/>
          <w:strike/>
          <w:lang w:val="pt-PT"/>
        </w:rPr>
        <w:t xml:space="preserve"> 117, de 11 de junho de 2001, da Agência Nacional de Vigilância Sanitária;</w:t>
      </w:r>
    </w:p>
    <w:p w:rsidR="0084635E" w:rsidRPr="002523EA" w:rsidRDefault="0084635E" w:rsidP="0084635E">
      <w:pPr>
        <w:ind w:firstLine="567"/>
        <w:jc w:val="both"/>
        <w:divId w:val="471337482"/>
        <w:rPr>
          <w:rFonts w:eastAsia="Arial Unicode MS"/>
          <w:strike/>
          <w:lang w:val="pt-PT"/>
        </w:rPr>
      </w:pPr>
      <w:r w:rsidRPr="002523EA">
        <w:rPr>
          <w:rFonts w:eastAsia="Arial Unicode MS"/>
          <w:strike/>
          <w:lang w:val="pt-PT"/>
        </w:rPr>
        <w:t xml:space="preserve">Art. 3 - Esta Resolução entra em vigor na data de sua publicação. </w:t>
      </w:r>
    </w:p>
    <w:p w:rsidR="0084635E" w:rsidRPr="002523EA" w:rsidRDefault="0084635E" w:rsidP="0084635E">
      <w:pPr>
        <w:pStyle w:val="Ttulo2"/>
        <w:divId w:val="471337482"/>
        <w:rPr>
          <w:rFonts w:ascii="Times New Roman" w:hAnsi="Times New Roman" w:cs="Times New Roman"/>
          <w:strike/>
          <w:sz w:val="24"/>
          <w:szCs w:val="24"/>
        </w:rPr>
      </w:pPr>
      <w:r w:rsidRPr="002523EA">
        <w:rPr>
          <w:rFonts w:ascii="Times New Roman" w:hAnsi="Times New Roman" w:cs="Times New Roman"/>
          <w:strike/>
          <w:sz w:val="24"/>
          <w:szCs w:val="24"/>
        </w:rPr>
        <w:t>DIRCEU RAPOSO DE MELLO</w:t>
      </w:r>
    </w:p>
    <w:p w:rsidR="0084635E" w:rsidRPr="002523EA" w:rsidRDefault="0084635E" w:rsidP="0084635E">
      <w:pPr>
        <w:pStyle w:val="Ttulo"/>
        <w:spacing w:before="100" w:beforeAutospacing="1" w:after="100" w:afterAutospacing="1"/>
        <w:divId w:val="471337482"/>
        <w:rPr>
          <w:rFonts w:ascii="Times New Roman" w:hAnsi="Times New Roman" w:cs="Times New Roman"/>
          <w:strike/>
          <w:color w:val="000000"/>
        </w:rPr>
      </w:pPr>
      <w:r w:rsidRPr="002523EA">
        <w:rPr>
          <w:rFonts w:ascii="Times New Roman" w:hAnsi="Times New Roman" w:cs="Times New Roman"/>
          <w:strike/>
          <w:color w:val="000000"/>
        </w:rPr>
        <w:t>ANEXO</w:t>
      </w:r>
    </w:p>
    <w:p w:rsidR="0084635E" w:rsidRPr="002523EA" w:rsidRDefault="0084635E" w:rsidP="0084635E">
      <w:pPr>
        <w:jc w:val="center"/>
        <w:divId w:val="471337482"/>
        <w:rPr>
          <w:b/>
          <w:bCs/>
          <w:strike/>
          <w:color w:val="000000"/>
        </w:rPr>
      </w:pPr>
      <w:r w:rsidRPr="002523EA">
        <w:rPr>
          <w:b/>
          <w:bCs/>
          <w:strike/>
          <w:color w:val="000000"/>
        </w:rPr>
        <w:t>REGULAMENTO TÉCNICO PARA PRODUTOS SANEANTES À BASE DE BACTÉRIAS</w:t>
      </w:r>
    </w:p>
    <w:p w:rsidR="0084635E" w:rsidRPr="002523EA" w:rsidRDefault="0084635E" w:rsidP="0084635E">
      <w:pPr>
        <w:jc w:val="both"/>
        <w:divId w:val="471337482"/>
        <w:rPr>
          <w:b/>
          <w:bCs/>
          <w:strike/>
          <w:color w:val="000000"/>
        </w:rPr>
      </w:pPr>
      <w:r w:rsidRPr="002523EA">
        <w:rPr>
          <w:b/>
          <w:bCs/>
          <w:strike/>
          <w:color w:val="000000"/>
        </w:rPr>
        <w:t>1 – OBJETIVO</w:t>
      </w:r>
    </w:p>
    <w:p w:rsidR="0084635E" w:rsidRPr="002523EA" w:rsidRDefault="0084635E" w:rsidP="0084635E">
      <w:pPr>
        <w:jc w:val="both"/>
        <w:divId w:val="471337482"/>
        <w:rPr>
          <w:strike/>
          <w:color w:val="000000"/>
        </w:rPr>
      </w:pPr>
      <w:r w:rsidRPr="002523EA">
        <w:rPr>
          <w:strike/>
          <w:color w:val="000000"/>
        </w:rPr>
        <w:t>O presente Regulamento tem como objetivo estabelecer definições, características gerais, finalidade de uso, microrganismos permitidos, formas de apresentação, embalagens, advertências, cuidados e demais características de rotulagem para os produtos saneantes a base de bactérias.</w:t>
      </w:r>
    </w:p>
    <w:p w:rsidR="0084635E" w:rsidRPr="002523EA" w:rsidRDefault="0084635E" w:rsidP="0084635E">
      <w:pPr>
        <w:jc w:val="both"/>
        <w:divId w:val="471337482"/>
        <w:rPr>
          <w:b/>
          <w:bCs/>
          <w:strike/>
          <w:color w:val="000000"/>
        </w:rPr>
      </w:pPr>
      <w:r w:rsidRPr="002523EA">
        <w:rPr>
          <w:b/>
          <w:bCs/>
          <w:strike/>
          <w:color w:val="000000"/>
        </w:rPr>
        <w:t>2 – ALCANCE</w:t>
      </w:r>
    </w:p>
    <w:p w:rsidR="0084635E" w:rsidRPr="002523EA" w:rsidRDefault="0084635E" w:rsidP="0084635E">
      <w:pPr>
        <w:jc w:val="both"/>
        <w:divId w:val="471337482"/>
        <w:rPr>
          <w:strike/>
          <w:color w:val="000000"/>
        </w:rPr>
      </w:pPr>
      <w:r w:rsidRPr="002523EA">
        <w:rPr>
          <w:strike/>
          <w:color w:val="000000"/>
        </w:rPr>
        <w:t>Este Regulamento compreende os produtos à base de microrganismos viáveis para o tratamento de sistemas sépticos, tubulações sanitárias de desagüe de águas servidas, e para outros locais, com a finalidade de degradar a matéria orgânica e reduzir os odores.</w:t>
      </w:r>
    </w:p>
    <w:p w:rsidR="0084635E" w:rsidRPr="002523EA" w:rsidRDefault="0084635E" w:rsidP="0084635E">
      <w:pPr>
        <w:jc w:val="both"/>
        <w:divId w:val="471337482"/>
        <w:rPr>
          <w:b/>
          <w:bCs/>
          <w:strike/>
          <w:color w:val="000000"/>
        </w:rPr>
      </w:pPr>
      <w:r w:rsidRPr="002523EA">
        <w:rPr>
          <w:b/>
          <w:bCs/>
          <w:strike/>
          <w:color w:val="000000"/>
        </w:rPr>
        <w:t>3 - RESTRIÇÕES DE USO</w:t>
      </w:r>
    </w:p>
    <w:p w:rsidR="0084635E" w:rsidRPr="002523EA" w:rsidRDefault="0084635E" w:rsidP="0084635E">
      <w:pPr>
        <w:jc w:val="both"/>
        <w:divId w:val="471337482"/>
        <w:rPr>
          <w:strike/>
          <w:color w:val="000000"/>
        </w:rPr>
      </w:pPr>
      <w:r w:rsidRPr="002523EA">
        <w:rPr>
          <w:strike/>
          <w:color w:val="000000"/>
        </w:rPr>
        <w:t>Não é permitido o seu uso em hospitais e em outros estabelecimentos relacionados com a saúde.</w:t>
      </w:r>
    </w:p>
    <w:p w:rsidR="0084635E" w:rsidRPr="002523EA" w:rsidRDefault="0084635E" w:rsidP="0084635E">
      <w:pPr>
        <w:jc w:val="both"/>
        <w:divId w:val="471337482"/>
        <w:rPr>
          <w:b/>
          <w:bCs/>
          <w:strike/>
          <w:color w:val="000000"/>
        </w:rPr>
      </w:pPr>
      <w:r w:rsidRPr="002523EA">
        <w:rPr>
          <w:b/>
          <w:bCs/>
          <w:strike/>
          <w:color w:val="000000"/>
        </w:rPr>
        <w:t>4 – DEFINIÇÕES</w:t>
      </w:r>
    </w:p>
    <w:p w:rsidR="0084635E" w:rsidRPr="002523EA" w:rsidRDefault="0084635E" w:rsidP="0084635E">
      <w:pPr>
        <w:jc w:val="both"/>
        <w:divId w:val="471337482"/>
        <w:rPr>
          <w:strike/>
          <w:color w:val="000000"/>
        </w:rPr>
      </w:pPr>
      <w:r w:rsidRPr="002523EA">
        <w:rPr>
          <w:strike/>
          <w:color w:val="000000"/>
        </w:rPr>
        <w:t>Para efeito deste Regulamento, são adotadas as seguintes definições:</w:t>
      </w:r>
    </w:p>
    <w:p w:rsidR="0084635E" w:rsidRPr="002523EA" w:rsidRDefault="0084635E" w:rsidP="0084635E">
      <w:pPr>
        <w:pStyle w:val="Corpodetexto2"/>
        <w:spacing w:after="100" w:line="240" w:lineRule="auto"/>
        <w:divId w:val="471337482"/>
        <w:rPr>
          <w:strike/>
          <w:color w:val="000000"/>
        </w:rPr>
      </w:pPr>
      <w:r w:rsidRPr="002523EA">
        <w:rPr>
          <w:b/>
          <w:bCs/>
          <w:strike/>
          <w:color w:val="000000"/>
        </w:rPr>
        <w:t>4.1- Produtos à base de bactérias:</w:t>
      </w:r>
      <w:r w:rsidRPr="002523EA">
        <w:rPr>
          <w:strike/>
          <w:color w:val="000000"/>
        </w:rPr>
        <w:t xml:space="preserve"> produtos à base de microrganismos viáveis que têm a propriedade de degradar a matéria orgânica e reduzir odores provenientes de sistemas sépticos, tubulações sanitárias de desagüe e outros sistemas semelhantes.</w:t>
      </w:r>
    </w:p>
    <w:p w:rsidR="0084635E" w:rsidRPr="002523EA" w:rsidRDefault="0084635E" w:rsidP="0084635E">
      <w:pPr>
        <w:pStyle w:val="Corpodetexto2"/>
        <w:spacing w:after="100" w:line="240" w:lineRule="auto"/>
        <w:divId w:val="471337482"/>
        <w:rPr>
          <w:strike/>
          <w:color w:val="000000"/>
        </w:rPr>
      </w:pPr>
      <w:r w:rsidRPr="002523EA">
        <w:rPr>
          <w:b/>
          <w:bCs/>
          <w:strike/>
          <w:color w:val="000000"/>
        </w:rPr>
        <w:t>4.2- Microrganismo viável:</w:t>
      </w:r>
      <w:r w:rsidRPr="002523EA">
        <w:rPr>
          <w:strike/>
          <w:color w:val="000000"/>
        </w:rPr>
        <w:t xml:space="preserve"> microrganismo vivo e cultivável nos meios de cultura e nas condições ambientais específicas.</w:t>
      </w:r>
    </w:p>
    <w:p w:rsidR="0084635E" w:rsidRPr="002523EA" w:rsidRDefault="0084635E" w:rsidP="0084635E">
      <w:pPr>
        <w:jc w:val="both"/>
        <w:divId w:val="471337482"/>
        <w:rPr>
          <w:strike/>
          <w:color w:val="000000"/>
        </w:rPr>
      </w:pPr>
      <w:r w:rsidRPr="002523EA">
        <w:rPr>
          <w:b/>
          <w:bCs/>
          <w:strike/>
          <w:color w:val="000000"/>
        </w:rPr>
        <w:lastRenderedPageBreak/>
        <w:t>4.3</w:t>
      </w:r>
      <w:r w:rsidRPr="002523EA">
        <w:rPr>
          <w:strike/>
          <w:color w:val="000000"/>
        </w:rPr>
        <w:t xml:space="preserve">- </w:t>
      </w:r>
      <w:r w:rsidRPr="002523EA">
        <w:rPr>
          <w:b/>
          <w:bCs/>
          <w:strike/>
          <w:color w:val="000000"/>
        </w:rPr>
        <w:t>Produto para uso institucional:</w:t>
      </w:r>
      <w:r w:rsidRPr="002523EA">
        <w:rPr>
          <w:strike/>
          <w:color w:val="000000"/>
        </w:rPr>
        <w:t xml:space="preserve"> produto destinado à venda e utilização sob a responsabilidade de pessoa jurídica, não sendo necessária a aplicação por pessoa/empresa especializada.</w:t>
      </w:r>
    </w:p>
    <w:p w:rsidR="0084635E" w:rsidRPr="002523EA" w:rsidRDefault="0084635E" w:rsidP="0084635E">
      <w:pPr>
        <w:jc w:val="both"/>
        <w:divId w:val="471337482"/>
        <w:rPr>
          <w:strike/>
          <w:color w:val="000000"/>
        </w:rPr>
      </w:pPr>
      <w:r w:rsidRPr="002523EA">
        <w:rPr>
          <w:b/>
          <w:bCs/>
          <w:strike/>
          <w:color w:val="000000"/>
        </w:rPr>
        <w:t>4.4 - Estabelecimento relacionado com a saúde:</w:t>
      </w:r>
      <w:r w:rsidRPr="002523EA">
        <w:rPr>
          <w:strike/>
          <w:color w:val="000000"/>
        </w:rPr>
        <w:t xml:space="preserve"> todo o estabelecimento ou serviço relacionado com assistência à saúde, incluindo hospitais, clínicas, postos e serviços de saúde, consultórios médicos e odontológicos.</w:t>
      </w:r>
    </w:p>
    <w:p w:rsidR="0084635E" w:rsidRPr="002523EA" w:rsidRDefault="0084635E" w:rsidP="0084635E">
      <w:pPr>
        <w:pStyle w:val="Recuodecorpodetexto2"/>
        <w:spacing w:before="100" w:beforeAutospacing="1" w:after="100" w:afterAutospacing="1"/>
        <w:ind w:firstLine="0"/>
        <w:divId w:val="471337482"/>
        <w:rPr>
          <w:rFonts w:ascii="Times New Roman" w:hAnsi="Times New Roman"/>
          <w:strike/>
          <w:color w:val="000000"/>
          <w:szCs w:val="24"/>
        </w:rPr>
      </w:pPr>
      <w:r w:rsidRPr="002523EA">
        <w:rPr>
          <w:rFonts w:ascii="Times New Roman" w:hAnsi="Times New Roman"/>
          <w:b/>
          <w:bCs/>
          <w:strike/>
          <w:color w:val="000000"/>
          <w:szCs w:val="24"/>
        </w:rPr>
        <w:t>4.5 - Águas servidas:</w:t>
      </w:r>
      <w:r w:rsidRPr="002523EA">
        <w:rPr>
          <w:rFonts w:ascii="Times New Roman" w:hAnsi="Times New Roman"/>
          <w:strike/>
          <w:color w:val="000000"/>
          <w:szCs w:val="24"/>
        </w:rPr>
        <w:t xml:space="preserve"> águas provenientes da higiene pessoal e da higienização de utensílios e superfícies em cozinhas domésticas, comerciais e industriais.</w:t>
      </w:r>
    </w:p>
    <w:p w:rsidR="0084635E" w:rsidRPr="002523EA" w:rsidRDefault="0084635E" w:rsidP="0084635E">
      <w:pPr>
        <w:jc w:val="both"/>
        <w:divId w:val="471337482"/>
        <w:rPr>
          <w:b/>
          <w:bCs/>
          <w:strike/>
          <w:color w:val="000000"/>
        </w:rPr>
      </w:pPr>
      <w:r w:rsidRPr="002523EA">
        <w:rPr>
          <w:b/>
          <w:bCs/>
          <w:strike/>
          <w:color w:val="000000"/>
        </w:rPr>
        <w:t>5 - CARACTERÍSTICAS GERAIS</w:t>
      </w:r>
    </w:p>
    <w:p w:rsidR="0084635E" w:rsidRPr="002523EA" w:rsidRDefault="0084635E" w:rsidP="00496770">
      <w:pPr>
        <w:jc w:val="both"/>
        <w:divId w:val="471337482"/>
        <w:rPr>
          <w:strike/>
          <w:color w:val="000000"/>
        </w:rPr>
      </w:pPr>
      <w:r w:rsidRPr="002523EA">
        <w:rPr>
          <w:b/>
          <w:bCs/>
          <w:strike/>
          <w:color w:val="000000"/>
        </w:rPr>
        <w:t>5.1 -</w:t>
      </w:r>
      <w:r w:rsidRPr="002523EA">
        <w:rPr>
          <w:strike/>
          <w:color w:val="000000"/>
        </w:rPr>
        <w:t xml:space="preserve"> Somente são permitidos os microrganismos listados no "Toxic Substances Control Act", microrganismos de existência saprofítica, presentes em ambientes, (excetuando-se a </w:t>
      </w:r>
      <w:r w:rsidRPr="002523EA">
        <w:rPr>
          <w:i/>
          <w:iCs/>
          <w:strike/>
          <w:color w:val="000000"/>
        </w:rPr>
        <w:t>Pseudomonas aeruginosa</w:t>
      </w:r>
      <w:r w:rsidRPr="002523EA">
        <w:rPr>
          <w:strike/>
          <w:color w:val="000000"/>
        </w:rPr>
        <w:t>), que não apresentam resistência aos agentes antimicrobianos fora dos padrões definidos na literatura;</w:t>
      </w:r>
    </w:p>
    <w:p w:rsidR="0084635E" w:rsidRPr="002523EA" w:rsidRDefault="0084635E" w:rsidP="00496770">
      <w:pPr>
        <w:jc w:val="both"/>
        <w:divId w:val="471337482"/>
        <w:rPr>
          <w:strike/>
          <w:color w:val="000000"/>
        </w:rPr>
      </w:pPr>
      <w:r w:rsidRPr="002523EA">
        <w:rPr>
          <w:b/>
          <w:bCs/>
          <w:strike/>
          <w:color w:val="000000"/>
        </w:rPr>
        <w:t>5.1.1 -</w:t>
      </w:r>
      <w:r w:rsidRPr="002523EA">
        <w:rPr>
          <w:strike/>
          <w:color w:val="000000"/>
        </w:rPr>
        <w:t xml:space="preserve"> Não são aceitos, nas formulações, microrganismos geneticamente modificados;</w:t>
      </w:r>
    </w:p>
    <w:p w:rsidR="0084635E" w:rsidRPr="002523EA" w:rsidRDefault="0084635E" w:rsidP="00496770">
      <w:pPr>
        <w:jc w:val="both"/>
        <w:divId w:val="471337482"/>
        <w:rPr>
          <w:strike/>
          <w:color w:val="000000"/>
        </w:rPr>
      </w:pPr>
      <w:r w:rsidRPr="002523EA">
        <w:rPr>
          <w:b/>
          <w:bCs/>
          <w:strike/>
          <w:color w:val="000000"/>
        </w:rPr>
        <w:t>5.1.2 -</w:t>
      </w:r>
      <w:r w:rsidRPr="002523EA">
        <w:rPr>
          <w:strike/>
          <w:color w:val="000000"/>
        </w:rPr>
        <w:t xml:space="preserve"> A empresa fornecedora dos microrganismos deve apresentar certificado ou declaração que assegure a não patogenicidade dos mesmos.</w:t>
      </w:r>
    </w:p>
    <w:p w:rsidR="0084635E" w:rsidRPr="002523EA" w:rsidRDefault="0084635E" w:rsidP="00496770">
      <w:pPr>
        <w:jc w:val="both"/>
        <w:divId w:val="471337482"/>
        <w:rPr>
          <w:strike/>
          <w:color w:val="000000"/>
        </w:rPr>
      </w:pPr>
      <w:r w:rsidRPr="002523EA">
        <w:rPr>
          <w:b/>
          <w:bCs/>
          <w:strike/>
          <w:color w:val="000000"/>
        </w:rPr>
        <w:t>5.2 -</w:t>
      </w:r>
      <w:r w:rsidRPr="002523EA">
        <w:rPr>
          <w:strike/>
          <w:color w:val="000000"/>
        </w:rPr>
        <w:t xml:space="preserve"> Componentes complementares de formulação;</w:t>
      </w:r>
    </w:p>
    <w:p w:rsidR="0084635E" w:rsidRPr="002523EA" w:rsidRDefault="0084635E" w:rsidP="00496770">
      <w:pPr>
        <w:jc w:val="both"/>
        <w:divId w:val="471337482"/>
        <w:rPr>
          <w:strike/>
          <w:color w:val="000000"/>
        </w:rPr>
      </w:pPr>
      <w:r w:rsidRPr="002523EA">
        <w:rPr>
          <w:b/>
          <w:bCs/>
          <w:strike/>
          <w:color w:val="000000"/>
        </w:rPr>
        <w:t>5.2.1 -</w:t>
      </w:r>
      <w:r w:rsidRPr="002523EA">
        <w:rPr>
          <w:strike/>
          <w:color w:val="000000"/>
        </w:rPr>
        <w:t xml:space="preserve"> Somente são permitidos os ingredientes constantes do ANEXO I;</w:t>
      </w:r>
    </w:p>
    <w:p w:rsidR="0084635E" w:rsidRPr="002523EA" w:rsidRDefault="0084635E" w:rsidP="00496770">
      <w:pPr>
        <w:pStyle w:val="Recuodecorpodetexto3"/>
        <w:spacing w:after="100"/>
        <w:ind w:left="0"/>
        <w:jc w:val="both"/>
        <w:divId w:val="471337482"/>
        <w:rPr>
          <w:strike/>
          <w:color w:val="000000"/>
          <w:sz w:val="24"/>
          <w:szCs w:val="24"/>
        </w:rPr>
      </w:pPr>
      <w:r w:rsidRPr="002523EA">
        <w:rPr>
          <w:b/>
          <w:bCs/>
          <w:strike/>
          <w:color w:val="000000"/>
          <w:sz w:val="24"/>
          <w:szCs w:val="24"/>
        </w:rPr>
        <w:t>5.2.2 -</w:t>
      </w:r>
      <w:r w:rsidRPr="002523EA">
        <w:rPr>
          <w:strike/>
          <w:color w:val="000000"/>
          <w:sz w:val="24"/>
          <w:szCs w:val="24"/>
        </w:rPr>
        <w:t xml:space="preserve"> Não é permitida a utilização de aromatizantes, corantes e demais substâncias</w:t>
      </w:r>
      <w:r w:rsidR="00496770" w:rsidRPr="002523EA">
        <w:rPr>
          <w:strike/>
          <w:color w:val="000000"/>
          <w:sz w:val="24"/>
          <w:szCs w:val="24"/>
        </w:rPr>
        <w:t xml:space="preserve"> </w:t>
      </w:r>
      <w:r w:rsidRPr="002523EA">
        <w:rPr>
          <w:strike/>
          <w:color w:val="000000"/>
          <w:sz w:val="24"/>
          <w:szCs w:val="24"/>
        </w:rPr>
        <w:t>que possam levar a confundir o produto com alimentos, cosméticos ou medicamentos;</w:t>
      </w:r>
    </w:p>
    <w:p w:rsidR="0084635E" w:rsidRPr="002523EA" w:rsidRDefault="0084635E" w:rsidP="00496770">
      <w:pPr>
        <w:jc w:val="both"/>
        <w:divId w:val="471337482"/>
        <w:rPr>
          <w:strike/>
          <w:color w:val="000000"/>
        </w:rPr>
      </w:pPr>
      <w:r w:rsidRPr="002523EA">
        <w:rPr>
          <w:b/>
          <w:bCs/>
          <w:strike/>
          <w:color w:val="000000"/>
        </w:rPr>
        <w:t>5.2.3 -</w:t>
      </w:r>
      <w:r w:rsidRPr="002523EA">
        <w:rPr>
          <w:strike/>
          <w:color w:val="000000"/>
        </w:rPr>
        <w:t xml:space="preserve"> Por ocasião do registro devem ser apresentados os seguintes dados técnicos sobre os componentes complementares de formulação, que não estejam mencionados no ANEXO I do presente Regulamento;</w:t>
      </w:r>
    </w:p>
    <w:p w:rsidR="0084635E" w:rsidRPr="002523EA" w:rsidRDefault="0084635E" w:rsidP="00496770">
      <w:pPr>
        <w:jc w:val="both"/>
        <w:divId w:val="471337482"/>
        <w:rPr>
          <w:strike/>
          <w:color w:val="000000"/>
        </w:rPr>
      </w:pPr>
      <w:r w:rsidRPr="002523EA">
        <w:rPr>
          <w:b/>
          <w:bCs/>
          <w:strike/>
          <w:color w:val="000000"/>
        </w:rPr>
        <w:t>5.2.3.1</w:t>
      </w:r>
      <w:r w:rsidRPr="002523EA">
        <w:rPr>
          <w:strike/>
          <w:color w:val="000000"/>
        </w:rPr>
        <w:t>- Identidade - nome técnico ou comum e respectivo número CAS, sinônimo, nome comercial, nome químico e fórmula estrutural (quando for o caso) e propriedades físico-químicas;</w:t>
      </w:r>
    </w:p>
    <w:p w:rsidR="0084635E" w:rsidRPr="002523EA" w:rsidRDefault="0084635E" w:rsidP="00496770">
      <w:pPr>
        <w:jc w:val="both"/>
        <w:divId w:val="471337482"/>
        <w:rPr>
          <w:strike/>
          <w:color w:val="000000"/>
        </w:rPr>
      </w:pPr>
      <w:r w:rsidRPr="002523EA">
        <w:rPr>
          <w:b/>
          <w:bCs/>
          <w:strike/>
          <w:color w:val="000000"/>
        </w:rPr>
        <w:t>5.2.3.2 -</w:t>
      </w:r>
      <w:r w:rsidRPr="002523EA">
        <w:rPr>
          <w:strike/>
          <w:color w:val="000000"/>
        </w:rPr>
        <w:t xml:space="preserve"> Dados do componente quanto aos seus aspectos: toxicológicos, inflamabilidade e prevenção em casos de acidente;</w:t>
      </w:r>
    </w:p>
    <w:p w:rsidR="0084635E" w:rsidRPr="002523EA" w:rsidRDefault="0084635E" w:rsidP="00496770">
      <w:pPr>
        <w:jc w:val="both"/>
        <w:divId w:val="471337482"/>
        <w:rPr>
          <w:strike/>
          <w:color w:val="000000"/>
        </w:rPr>
      </w:pPr>
      <w:r w:rsidRPr="002523EA">
        <w:rPr>
          <w:b/>
          <w:bCs/>
          <w:strike/>
          <w:color w:val="000000"/>
        </w:rPr>
        <w:lastRenderedPageBreak/>
        <w:t>5.2.3.3 -</w:t>
      </w:r>
      <w:r w:rsidRPr="002523EA">
        <w:rPr>
          <w:strike/>
          <w:color w:val="000000"/>
        </w:rPr>
        <w:t xml:space="preserve"> Não são permitidas substâncias carcinogênicas, mutagênicas nem teratogênicas  para a espécie humana.</w:t>
      </w:r>
    </w:p>
    <w:p w:rsidR="0084635E" w:rsidRPr="002523EA" w:rsidRDefault="0084635E" w:rsidP="00496770">
      <w:pPr>
        <w:pStyle w:val="Corpodetexto2"/>
        <w:spacing w:after="100" w:line="240" w:lineRule="auto"/>
        <w:jc w:val="both"/>
        <w:divId w:val="471337482"/>
        <w:rPr>
          <w:strike/>
          <w:color w:val="000000"/>
        </w:rPr>
      </w:pPr>
      <w:r w:rsidRPr="002523EA">
        <w:rPr>
          <w:b/>
          <w:bCs/>
          <w:strike/>
          <w:color w:val="000000"/>
        </w:rPr>
        <w:t>5.3 -</w:t>
      </w:r>
      <w:r w:rsidRPr="002523EA">
        <w:rPr>
          <w:strike/>
          <w:color w:val="000000"/>
        </w:rPr>
        <w:t xml:space="preserve"> As formas de apresentação permitidas dos produtos à base de bactérias são: sólida (comprimidos e granulados), pasta e gel.</w:t>
      </w:r>
    </w:p>
    <w:p w:rsidR="0084635E" w:rsidRPr="002523EA" w:rsidRDefault="0084635E" w:rsidP="0033322F">
      <w:pPr>
        <w:jc w:val="both"/>
        <w:divId w:val="471337482"/>
        <w:rPr>
          <w:strike/>
          <w:color w:val="000000"/>
        </w:rPr>
      </w:pPr>
      <w:r w:rsidRPr="002523EA">
        <w:rPr>
          <w:b/>
          <w:bCs/>
          <w:strike/>
          <w:color w:val="000000"/>
        </w:rPr>
        <w:t>5.4 -</w:t>
      </w:r>
      <w:r w:rsidRPr="002523EA">
        <w:rPr>
          <w:strike/>
          <w:color w:val="000000"/>
        </w:rPr>
        <w:t xml:space="preserve"> As embalagens devem ser resistentes e compatíveis com o produto, devendo minimizar o contato direto do operador com o mesmo.</w:t>
      </w:r>
    </w:p>
    <w:p w:rsidR="0084635E" w:rsidRPr="002523EA" w:rsidRDefault="0084635E" w:rsidP="0033322F">
      <w:pPr>
        <w:jc w:val="both"/>
        <w:divId w:val="471337482"/>
        <w:rPr>
          <w:strike/>
          <w:color w:val="000000"/>
        </w:rPr>
      </w:pPr>
      <w:r w:rsidRPr="002523EA">
        <w:rPr>
          <w:b/>
          <w:bCs/>
          <w:strike/>
          <w:color w:val="000000"/>
        </w:rPr>
        <w:t>5.5 -</w:t>
      </w:r>
      <w:r w:rsidRPr="002523EA">
        <w:rPr>
          <w:strike/>
          <w:color w:val="000000"/>
        </w:rPr>
        <w:t xml:space="preserve"> Para o registro devem ser apresentados os dados e ensaios mencionados no ANEXO II.</w:t>
      </w:r>
    </w:p>
    <w:p w:rsidR="0084635E" w:rsidRPr="002523EA" w:rsidRDefault="0084635E" w:rsidP="0084635E">
      <w:pPr>
        <w:jc w:val="both"/>
        <w:divId w:val="471337482"/>
        <w:rPr>
          <w:b/>
          <w:bCs/>
          <w:strike/>
          <w:color w:val="000000"/>
        </w:rPr>
      </w:pPr>
      <w:r w:rsidRPr="002523EA">
        <w:rPr>
          <w:b/>
          <w:bCs/>
          <w:strike/>
          <w:color w:val="000000"/>
        </w:rPr>
        <w:t>6 – ROTULAGEM</w:t>
      </w:r>
    </w:p>
    <w:p w:rsidR="0084635E" w:rsidRPr="002523EA" w:rsidRDefault="0084635E" w:rsidP="00BC4A2F">
      <w:pPr>
        <w:jc w:val="both"/>
        <w:divId w:val="471337482"/>
        <w:rPr>
          <w:strike/>
          <w:color w:val="000000"/>
        </w:rPr>
      </w:pPr>
      <w:r w:rsidRPr="002523EA">
        <w:rPr>
          <w:b/>
          <w:bCs/>
          <w:strike/>
          <w:color w:val="000000"/>
        </w:rPr>
        <w:t>6.1 -</w:t>
      </w:r>
      <w:r w:rsidRPr="002523EA">
        <w:rPr>
          <w:strike/>
          <w:color w:val="000000"/>
        </w:rPr>
        <w:t xml:space="preserve"> A rotulagem dos produtos à base de bactérias deve seguir as indicações dispostas no ANEXO III, além de atender às demais disposições da legislação vigente;</w:t>
      </w:r>
    </w:p>
    <w:p w:rsidR="0084635E" w:rsidRPr="002523EA" w:rsidRDefault="0084635E" w:rsidP="00BC4A2F">
      <w:pPr>
        <w:pStyle w:val="Recuodecorpodetexto2"/>
        <w:spacing w:before="100" w:beforeAutospacing="1" w:after="100" w:afterAutospacing="1"/>
        <w:ind w:firstLine="0"/>
        <w:divId w:val="471337482"/>
        <w:rPr>
          <w:rFonts w:ascii="Times New Roman" w:hAnsi="Times New Roman"/>
          <w:strike/>
          <w:color w:val="000000"/>
          <w:szCs w:val="24"/>
        </w:rPr>
      </w:pPr>
      <w:r w:rsidRPr="002523EA">
        <w:rPr>
          <w:rFonts w:ascii="Times New Roman" w:hAnsi="Times New Roman"/>
          <w:b/>
          <w:bCs/>
          <w:strike/>
          <w:color w:val="000000"/>
          <w:szCs w:val="24"/>
        </w:rPr>
        <w:t>6.1.1 -</w:t>
      </w:r>
      <w:r w:rsidRPr="002523EA">
        <w:rPr>
          <w:rFonts w:ascii="Times New Roman" w:hAnsi="Times New Roman"/>
          <w:strike/>
          <w:color w:val="000000"/>
          <w:szCs w:val="24"/>
        </w:rPr>
        <w:t xml:space="preserve"> A frase de advertência: "CUIDADO! PERIGOSO SE INGERIDO, CONTÉM MICRORGANISMOS VIVOS" deve ser colocada no painel principal, em destaque (negrito), na cor preta, tendo as letras altura mínima de 0,3 cm. Esta mensagem deve estar inserida em um retângulo, de cor branca, localizado no painel principal e situado a 1/10 da altura acima da margem inferior do rótulo;</w:t>
      </w:r>
    </w:p>
    <w:p w:rsidR="0084635E" w:rsidRPr="002523EA" w:rsidRDefault="0084635E" w:rsidP="00BC4A2F">
      <w:pPr>
        <w:jc w:val="both"/>
        <w:divId w:val="471337482"/>
        <w:rPr>
          <w:strike/>
          <w:color w:val="000000"/>
        </w:rPr>
      </w:pPr>
      <w:r w:rsidRPr="002523EA">
        <w:rPr>
          <w:b/>
          <w:bCs/>
          <w:strike/>
          <w:color w:val="000000"/>
        </w:rPr>
        <w:t>6.1.2 -</w:t>
      </w:r>
      <w:r w:rsidRPr="002523EA">
        <w:rPr>
          <w:strike/>
          <w:color w:val="000000"/>
        </w:rPr>
        <w:t xml:space="preserve"> A frase "ANTES DE USAR LEIA COM ATENÇÃO AS INSTRUÇÕES DO RÓTULO" deve estar inserida imediatamente abaixo da frase de advertência 6.1.1;</w:t>
      </w:r>
    </w:p>
    <w:p w:rsidR="0084635E" w:rsidRPr="002523EA" w:rsidRDefault="0084635E" w:rsidP="00BC4A2F">
      <w:pPr>
        <w:jc w:val="both"/>
        <w:divId w:val="471337482"/>
        <w:rPr>
          <w:strike/>
          <w:color w:val="000000"/>
        </w:rPr>
      </w:pPr>
      <w:r w:rsidRPr="002523EA">
        <w:rPr>
          <w:b/>
          <w:bCs/>
          <w:strike/>
          <w:color w:val="000000"/>
        </w:rPr>
        <w:t>6.1.3 -</w:t>
      </w:r>
      <w:r w:rsidRPr="002523EA">
        <w:rPr>
          <w:strike/>
          <w:color w:val="000000"/>
        </w:rPr>
        <w:t xml:space="preserve"> Para produtos destinados exclusivamente a empresas especializadas deve ser acrescentada a frase "PROIBIDA A VENDA DIRETA AO PÚBLICO”, devendo-se adotar o mesmo critério do item 6.1.1 quanto ao tamanho e destaque da letra.</w:t>
      </w:r>
    </w:p>
    <w:p w:rsidR="0084635E" w:rsidRPr="002523EA" w:rsidRDefault="0084635E" w:rsidP="0084635E">
      <w:pPr>
        <w:jc w:val="center"/>
        <w:divId w:val="471337482"/>
        <w:rPr>
          <w:b/>
          <w:bCs/>
          <w:strike/>
          <w:color w:val="000000"/>
        </w:rPr>
      </w:pPr>
      <w:r w:rsidRPr="002523EA">
        <w:rPr>
          <w:b/>
          <w:bCs/>
          <w:strike/>
          <w:color w:val="000000"/>
        </w:rPr>
        <w:t>ANEXO I</w:t>
      </w:r>
    </w:p>
    <w:p w:rsidR="0084635E" w:rsidRPr="002523EA" w:rsidRDefault="0084635E" w:rsidP="0084635E">
      <w:pPr>
        <w:jc w:val="center"/>
        <w:divId w:val="471337482"/>
        <w:rPr>
          <w:b/>
          <w:bCs/>
          <w:strike/>
        </w:rPr>
      </w:pPr>
      <w:r w:rsidRPr="002523EA">
        <w:rPr>
          <w:b/>
          <w:bCs/>
          <w:strike/>
        </w:rPr>
        <w:t>COMPONENTES COMPLEMENTARES DE FORMULAÇÃO</w:t>
      </w:r>
    </w:p>
    <w:p w:rsidR="0084635E" w:rsidRPr="002523EA" w:rsidRDefault="0084635E" w:rsidP="0084635E">
      <w:pPr>
        <w:jc w:val="both"/>
        <w:divId w:val="471337482"/>
        <w:rPr>
          <w:strike/>
          <w:color w:val="000000"/>
        </w:rPr>
      </w:pPr>
      <w:r w:rsidRPr="002523EA">
        <w:rPr>
          <w:strike/>
          <w:color w:val="000000"/>
        </w:rPr>
        <w:t>Ácido lático</w:t>
      </w:r>
    </w:p>
    <w:p w:rsidR="0084635E" w:rsidRPr="002523EA" w:rsidRDefault="0084635E" w:rsidP="0084635E">
      <w:pPr>
        <w:jc w:val="both"/>
        <w:divId w:val="471337482"/>
        <w:rPr>
          <w:strike/>
          <w:color w:val="000000"/>
        </w:rPr>
      </w:pPr>
      <w:r w:rsidRPr="002523EA">
        <w:rPr>
          <w:strike/>
          <w:color w:val="000000"/>
        </w:rPr>
        <w:t>Álcool linear etoxilado</w:t>
      </w:r>
    </w:p>
    <w:p w:rsidR="0084635E" w:rsidRPr="002523EA" w:rsidRDefault="0084635E" w:rsidP="0084635E">
      <w:pPr>
        <w:jc w:val="both"/>
        <w:divId w:val="471337482"/>
        <w:rPr>
          <w:strike/>
          <w:color w:val="000000"/>
        </w:rPr>
      </w:pPr>
      <w:r w:rsidRPr="002523EA">
        <w:rPr>
          <w:strike/>
          <w:color w:val="000000"/>
        </w:rPr>
        <w:t>Amilase</w:t>
      </w:r>
    </w:p>
    <w:p w:rsidR="0084635E" w:rsidRPr="002523EA" w:rsidRDefault="0084635E" w:rsidP="0084635E">
      <w:pPr>
        <w:jc w:val="both"/>
        <w:divId w:val="471337482"/>
        <w:rPr>
          <w:strike/>
          <w:color w:val="000000"/>
        </w:rPr>
      </w:pPr>
      <w:r w:rsidRPr="002523EA">
        <w:rPr>
          <w:strike/>
          <w:color w:val="000000"/>
        </w:rPr>
        <w:t>Beta gluconase</w:t>
      </w:r>
    </w:p>
    <w:p w:rsidR="0084635E" w:rsidRPr="002523EA" w:rsidRDefault="0084635E" w:rsidP="0084635E">
      <w:pPr>
        <w:jc w:val="both"/>
        <w:divId w:val="471337482"/>
        <w:rPr>
          <w:strike/>
          <w:color w:val="000000"/>
        </w:rPr>
      </w:pPr>
      <w:r w:rsidRPr="002523EA">
        <w:rPr>
          <w:strike/>
          <w:color w:val="000000"/>
        </w:rPr>
        <w:lastRenderedPageBreak/>
        <w:t>Bicarbonato de sódio</w:t>
      </w:r>
    </w:p>
    <w:p w:rsidR="0084635E" w:rsidRPr="002523EA" w:rsidRDefault="0084635E" w:rsidP="0084635E">
      <w:pPr>
        <w:jc w:val="both"/>
        <w:divId w:val="471337482"/>
        <w:rPr>
          <w:strike/>
          <w:color w:val="000000"/>
        </w:rPr>
      </w:pPr>
      <w:r w:rsidRPr="002523EA">
        <w:rPr>
          <w:strike/>
          <w:color w:val="000000"/>
        </w:rPr>
        <w:t>Carbonato de sódio</w:t>
      </w:r>
    </w:p>
    <w:p w:rsidR="0084635E" w:rsidRPr="002523EA" w:rsidRDefault="0084635E" w:rsidP="0084635E">
      <w:pPr>
        <w:jc w:val="both"/>
        <w:divId w:val="471337482"/>
        <w:rPr>
          <w:strike/>
          <w:color w:val="000000"/>
        </w:rPr>
      </w:pPr>
      <w:r w:rsidRPr="002523EA">
        <w:rPr>
          <w:strike/>
          <w:color w:val="000000"/>
        </w:rPr>
        <w:t>Celulase</w:t>
      </w:r>
    </w:p>
    <w:p w:rsidR="0084635E" w:rsidRPr="002523EA" w:rsidRDefault="0084635E" w:rsidP="0084635E">
      <w:pPr>
        <w:jc w:val="both"/>
        <w:divId w:val="471337482"/>
        <w:rPr>
          <w:strike/>
          <w:color w:val="000000"/>
        </w:rPr>
      </w:pPr>
      <w:r w:rsidRPr="002523EA">
        <w:rPr>
          <w:strike/>
          <w:color w:val="000000"/>
        </w:rPr>
        <w:t>Cloretos de sódio, potássio, magnésio, cálcio, amônio e ferroso</w:t>
      </w:r>
    </w:p>
    <w:p w:rsidR="0084635E" w:rsidRPr="002523EA" w:rsidRDefault="0084635E" w:rsidP="0084635E">
      <w:pPr>
        <w:jc w:val="both"/>
        <w:divId w:val="471337482"/>
        <w:rPr>
          <w:strike/>
          <w:color w:val="000000"/>
        </w:rPr>
      </w:pPr>
      <w:r w:rsidRPr="002523EA">
        <w:rPr>
          <w:strike/>
          <w:color w:val="000000"/>
        </w:rPr>
        <w:t>Éter monoetílico do dipropilenoglicol</w:t>
      </w:r>
    </w:p>
    <w:p w:rsidR="0084635E" w:rsidRPr="002523EA" w:rsidRDefault="0084635E" w:rsidP="0084635E">
      <w:pPr>
        <w:jc w:val="both"/>
        <w:divId w:val="471337482"/>
        <w:rPr>
          <w:strike/>
          <w:color w:val="000000"/>
        </w:rPr>
      </w:pPr>
      <w:r w:rsidRPr="002523EA">
        <w:rPr>
          <w:strike/>
          <w:color w:val="000000"/>
        </w:rPr>
        <w:t>Éteres hexílicos, octílicos e decílicos</w:t>
      </w:r>
    </w:p>
    <w:p w:rsidR="0084635E" w:rsidRPr="002523EA" w:rsidRDefault="0084635E" w:rsidP="0084635E">
      <w:pPr>
        <w:jc w:val="both"/>
        <w:divId w:val="471337482"/>
        <w:rPr>
          <w:strike/>
          <w:color w:val="000000"/>
        </w:rPr>
      </w:pPr>
      <w:r w:rsidRPr="002523EA">
        <w:rPr>
          <w:strike/>
          <w:color w:val="000000"/>
        </w:rPr>
        <w:t>Fosfato dissódico</w:t>
      </w:r>
    </w:p>
    <w:p w:rsidR="0084635E" w:rsidRPr="002523EA" w:rsidRDefault="0084635E" w:rsidP="0084635E">
      <w:pPr>
        <w:jc w:val="both"/>
        <w:divId w:val="471337482"/>
        <w:rPr>
          <w:strike/>
          <w:color w:val="000000"/>
        </w:rPr>
      </w:pPr>
      <w:r w:rsidRPr="002523EA">
        <w:rPr>
          <w:strike/>
          <w:color w:val="000000"/>
        </w:rPr>
        <w:t>Fosfato mono e dibásico de potássio</w:t>
      </w:r>
    </w:p>
    <w:p w:rsidR="0084635E" w:rsidRPr="002523EA" w:rsidRDefault="0084635E" w:rsidP="0084635E">
      <w:pPr>
        <w:jc w:val="both"/>
        <w:divId w:val="471337482"/>
        <w:rPr>
          <w:strike/>
          <w:color w:val="000000"/>
        </w:rPr>
      </w:pPr>
      <w:r w:rsidRPr="002523EA">
        <w:rPr>
          <w:strike/>
          <w:color w:val="000000"/>
        </w:rPr>
        <w:t>Fosfato monossódico</w:t>
      </w:r>
    </w:p>
    <w:p w:rsidR="0084635E" w:rsidRPr="002523EA" w:rsidRDefault="0084635E" w:rsidP="0084635E">
      <w:pPr>
        <w:jc w:val="both"/>
        <w:divId w:val="471337482"/>
        <w:rPr>
          <w:strike/>
          <w:color w:val="000000"/>
        </w:rPr>
      </w:pPr>
      <w:r w:rsidRPr="002523EA">
        <w:rPr>
          <w:strike/>
          <w:color w:val="000000"/>
        </w:rPr>
        <w:t>Fosfato tricálcico</w:t>
      </w:r>
    </w:p>
    <w:p w:rsidR="0084635E" w:rsidRPr="002523EA" w:rsidRDefault="0084635E" w:rsidP="0084635E">
      <w:pPr>
        <w:jc w:val="both"/>
        <w:divId w:val="471337482"/>
        <w:rPr>
          <w:strike/>
          <w:color w:val="000000"/>
        </w:rPr>
      </w:pPr>
      <w:r w:rsidRPr="002523EA">
        <w:rPr>
          <w:strike/>
          <w:color w:val="000000"/>
        </w:rPr>
        <w:t>Glicose</w:t>
      </w:r>
    </w:p>
    <w:p w:rsidR="0084635E" w:rsidRPr="002523EA" w:rsidRDefault="0084635E" w:rsidP="0084635E">
      <w:pPr>
        <w:jc w:val="both"/>
        <w:divId w:val="471337482"/>
        <w:rPr>
          <w:strike/>
          <w:color w:val="000000"/>
        </w:rPr>
      </w:pPr>
      <w:r w:rsidRPr="002523EA">
        <w:rPr>
          <w:strike/>
          <w:color w:val="000000"/>
        </w:rPr>
        <w:t>Hemicelulose</w:t>
      </w:r>
    </w:p>
    <w:p w:rsidR="0084635E" w:rsidRPr="002523EA" w:rsidRDefault="0084635E" w:rsidP="0084635E">
      <w:pPr>
        <w:jc w:val="both"/>
        <w:divId w:val="471337482"/>
        <w:rPr>
          <w:strike/>
          <w:color w:val="000000"/>
        </w:rPr>
      </w:pPr>
      <w:r w:rsidRPr="002523EA">
        <w:rPr>
          <w:strike/>
          <w:color w:val="000000"/>
        </w:rPr>
        <w:t>Hidrolisado de proteínas</w:t>
      </w:r>
    </w:p>
    <w:p w:rsidR="0084635E" w:rsidRPr="002523EA" w:rsidRDefault="0084635E" w:rsidP="0084635E">
      <w:pPr>
        <w:jc w:val="both"/>
        <w:divId w:val="471337482"/>
        <w:rPr>
          <w:strike/>
          <w:color w:val="000000"/>
        </w:rPr>
      </w:pPr>
      <w:r w:rsidRPr="002523EA">
        <w:rPr>
          <w:strike/>
          <w:color w:val="000000"/>
        </w:rPr>
        <w:t>Hidroxietilcelulose</w:t>
      </w:r>
    </w:p>
    <w:p w:rsidR="0084635E" w:rsidRPr="002523EA" w:rsidRDefault="0084635E" w:rsidP="0084635E">
      <w:pPr>
        <w:jc w:val="both"/>
        <w:divId w:val="471337482"/>
        <w:rPr>
          <w:strike/>
          <w:color w:val="000000"/>
        </w:rPr>
      </w:pPr>
      <w:r w:rsidRPr="002523EA">
        <w:rPr>
          <w:strike/>
          <w:color w:val="000000"/>
        </w:rPr>
        <w:t>Lipase</w:t>
      </w:r>
    </w:p>
    <w:p w:rsidR="0084635E" w:rsidRPr="002523EA" w:rsidRDefault="0084635E" w:rsidP="0084635E">
      <w:pPr>
        <w:jc w:val="both"/>
        <w:divId w:val="471337482"/>
        <w:rPr>
          <w:strike/>
          <w:color w:val="000000"/>
        </w:rPr>
      </w:pPr>
      <w:r w:rsidRPr="002523EA">
        <w:rPr>
          <w:strike/>
          <w:color w:val="000000"/>
        </w:rPr>
        <w:t>Molibdato de sódio</w:t>
      </w:r>
    </w:p>
    <w:p w:rsidR="0084635E" w:rsidRPr="002523EA" w:rsidRDefault="0084635E" w:rsidP="0084635E">
      <w:pPr>
        <w:jc w:val="both"/>
        <w:divId w:val="471337482"/>
        <w:rPr>
          <w:strike/>
          <w:color w:val="000000"/>
        </w:rPr>
      </w:pPr>
      <w:r w:rsidRPr="002523EA">
        <w:rPr>
          <w:strike/>
          <w:color w:val="000000"/>
        </w:rPr>
        <w:t>Monoetanolamina</w:t>
      </w:r>
    </w:p>
    <w:p w:rsidR="0084635E" w:rsidRPr="002523EA" w:rsidRDefault="0084635E" w:rsidP="0084635E">
      <w:pPr>
        <w:jc w:val="both"/>
        <w:divId w:val="471337482"/>
        <w:rPr>
          <w:strike/>
          <w:color w:val="000000"/>
        </w:rPr>
      </w:pPr>
      <w:r w:rsidRPr="002523EA">
        <w:rPr>
          <w:strike/>
          <w:color w:val="000000"/>
        </w:rPr>
        <w:t>Monoleato de sorbitan</w:t>
      </w:r>
    </w:p>
    <w:p w:rsidR="0084635E" w:rsidRPr="002523EA" w:rsidRDefault="0084635E" w:rsidP="0084635E">
      <w:pPr>
        <w:jc w:val="both"/>
        <w:divId w:val="471337482"/>
        <w:rPr>
          <w:strike/>
          <w:color w:val="000000"/>
        </w:rPr>
      </w:pPr>
      <w:r w:rsidRPr="002523EA">
        <w:rPr>
          <w:strike/>
          <w:color w:val="000000"/>
        </w:rPr>
        <w:t>Pectinase</w:t>
      </w:r>
    </w:p>
    <w:p w:rsidR="0084635E" w:rsidRPr="002523EA" w:rsidRDefault="0084635E" w:rsidP="0084635E">
      <w:pPr>
        <w:jc w:val="both"/>
        <w:divId w:val="471337482"/>
        <w:rPr>
          <w:strike/>
          <w:color w:val="000000"/>
        </w:rPr>
      </w:pPr>
      <w:r w:rsidRPr="002523EA">
        <w:rPr>
          <w:strike/>
          <w:color w:val="000000"/>
        </w:rPr>
        <w:t>Protease</w:t>
      </w:r>
    </w:p>
    <w:p w:rsidR="0084635E" w:rsidRPr="002523EA" w:rsidRDefault="0084635E" w:rsidP="0084635E">
      <w:pPr>
        <w:jc w:val="both"/>
        <w:divId w:val="471337482"/>
        <w:rPr>
          <w:strike/>
          <w:color w:val="000000"/>
        </w:rPr>
      </w:pPr>
      <w:r w:rsidRPr="002523EA">
        <w:rPr>
          <w:strike/>
          <w:color w:val="000000"/>
        </w:rPr>
        <w:t>Sulfato de magnésio</w:t>
      </w:r>
    </w:p>
    <w:p w:rsidR="0084635E" w:rsidRPr="002523EA" w:rsidRDefault="0084635E" w:rsidP="0084635E">
      <w:pPr>
        <w:divId w:val="471337482"/>
        <w:rPr>
          <w:strike/>
          <w:color w:val="000000"/>
        </w:rPr>
      </w:pPr>
      <w:r w:rsidRPr="002523EA">
        <w:rPr>
          <w:strike/>
          <w:color w:val="000000"/>
        </w:rPr>
        <w:t>Tensoativos aniônicos e não iônicos</w:t>
      </w:r>
    </w:p>
    <w:p w:rsidR="0084635E" w:rsidRPr="002523EA" w:rsidRDefault="0084635E" w:rsidP="0084635E">
      <w:pPr>
        <w:jc w:val="center"/>
        <w:divId w:val="471337482"/>
        <w:rPr>
          <w:b/>
          <w:bCs/>
          <w:strike/>
          <w:color w:val="000000"/>
        </w:rPr>
      </w:pPr>
      <w:r w:rsidRPr="002523EA">
        <w:rPr>
          <w:b/>
          <w:bCs/>
          <w:strike/>
          <w:color w:val="000000"/>
        </w:rPr>
        <w:lastRenderedPageBreak/>
        <w:t>ANEXO II</w:t>
      </w:r>
    </w:p>
    <w:p w:rsidR="0084635E" w:rsidRPr="002523EA" w:rsidRDefault="0084635E" w:rsidP="0084635E">
      <w:pPr>
        <w:jc w:val="center"/>
        <w:divId w:val="471337482"/>
        <w:rPr>
          <w:b/>
          <w:bCs/>
          <w:caps/>
          <w:strike/>
          <w:color w:val="000000"/>
        </w:rPr>
      </w:pPr>
      <w:r w:rsidRPr="002523EA">
        <w:rPr>
          <w:b/>
          <w:bCs/>
          <w:caps/>
          <w:strike/>
          <w:color w:val="000000"/>
        </w:rPr>
        <w:t>Informações necessárias para o registro de Produtos SANEANTES à Base de Bactérias</w:t>
      </w:r>
    </w:p>
    <w:p w:rsidR="0084635E" w:rsidRPr="002523EA" w:rsidRDefault="0084635E" w:rsidP="0084635E">
      <w:pPr>
        <w:ind w:left="-11"/>
        <w:jc w:val="both"/>
        <w:divId w:val="471337482"/>
        <w:rPr>
          <w:b/>
          <w:bCs/>
          <w:strike/>
          <w:color w:val="000000"/>
        </w:rPr>
      </w:pPr>
      <w:r w:rsidRPr="002523EA">
        <w:rPr>
          <w:b/>
          <w:bCs/>
          <w:strike/>
          <w:color w:val="000000"/>
        </w:rPr>
        <w:t>A- Informações Gerais:</w:t>
      </w:r>
    </w:p>
    <w:p w:rsidR="0084635E" w:rsidRPr="002523EA" w:rsidRDefault="0084635E" w:rsidP="0084635E">
      <w:pPr>
        <w:jc w:val="both"/>
        <w:divId w:val="471337482"/>
        <w:rPr>
          <w:strike/>
          <w:color w:val="000000"/>
        </w:rPr>
      </w:pPr>
      <w:r w:rsidRPr="002523EA">
        <w:rPr>
          <w:strike/>
          <w:color w:val="000000"/>
        </w:rPr>
        <w:t>1-Razão Social da empresa solicitante;</w:t>
      </w:r>
    </w:p>
    <w:p w:rsidR="0084635E" w:rsidRPr="002523EA" w:rsidRDefault="0084635E" w:rsidP="0084635E">
      <w:pPr>
        <w:jc w:val="both"/>
        <w:divId w:val="471337482"/>
        <w:rPr>
          <w:strike/>
          <w:color w:val="000000"/>
        </w:rPr>
      </w:pPr>
      <w:r w:rsidRPr="002523EA">
        <w:rPr>
          <w:strike/>
          <w:color w:val="000000"/>
        </w:rPr>
        <w:t>2- Endereço completo da empresa solicitante;</w:t>
      </w:r>
    </w:p>
    <w:p w:rsidR="0084635E" w:rsidRPr="002523EA" w:rsidRDefault="0084635E" w:rsidP="0084635E">
      <w:pPr>
        <w:ind w:left="284" w:hanging="284"/>
        <w:jc w:val="both"/>
        <w:divId w:val="471337482"/>
        <w:rPr>
          <w:strike/>
          <w:color w:val="000000"/>
        </w:rPr>
      </w:pPr>
      <w:r w:rsidRPr="002523EA">
        <w:rPr>
          <w:strike/>
          <w:color w:val="000000"/>
        </w:rPr>
        <w:t>3- Cópia da habilitação/autorização de funcionamento da empresa, emitida pela Autoridade Sanitária Competente;</w:t>
      </w:r>
    </w:p>
    <w:p w:rsidR="0084635E" w:rsidRPr="002523EA" w:rsidRDefault="0084635E" w:rsidP="0084635E">
      <w:pPr>
        <w:jc w:val="both"/>
        <w:divId w:val="471337482"/>
        <w:rPr>
          <w:strike/>
          <w:color w:val="000000"/>
        </w:rPr>
      </w:pPr>
      <w:r w:rsidRPr="002523EA">
        <w:rPr>
          <w:strike/>
          <w:color w:val="000000"/>
        </w:rPr>
        <w:t>4- Nome e assinatura do responsável legal perante a Autoridade Sanitária Competente;</w:t>
      </w:r>
    </w:p>
    <w:p w:rsidR="0084635E" w:rsidRPr="002523EA" w:rsidRDefault="0084635E" w:rsidP="0084635E">
      <w:pPr>
        <w:jc w:val="both"/>
        <w:divId w:val="471337482"/>
        <w:rPr>
          <w:strike/>
          <w:color w:val="000000"/>
        </w:rPr>
      </w:pPr>
      <w:r w:rsidRPr="002523EA">
        <w:rPr>
          <w:strike/>
          <w:color w:val="000000"/>
        </w:rPr>
        <w:t>5- Dados e assinatura do responsável técnico;</w:t>
      </w:r>
    </w:p>
    <w:p w:rsidR="0084635E" w:rsidRPr="002523EA" w:rsidRDefault="0084635E" w:rsidP="0084635E">
      <w:pPr>
        <w:jc w:val="both"/>
        <w:divId w:val="471337482"/>
        <w:rPr>
          <w:strike/>
          <w:color w:val="000000"/>
        </w:rPr>
      </w:pPr>
      <w:r w:rsidRPr="002523EA">
        <w:rPr>
          <w:strike/>
          <w:color w:val="000000"/>
        </w:rPr>
        <w:t xml:space="preserve">6- Texto de rotulagem; </w:t>
      </w:r>
    </w:p>
    <w:p w:rsidR="0084635E" w:rsidRPr="002523EA" w:rsidRDefault="0084635E" w:rsidP="0084635E">
      <w:pPr>
        <w:jc w:val="both"/>
        <w:divId w:val="471337482"/>
        <w:rPr>
          <w:strike/>
          <w:color w:val="000000"/>
        </w:rPr>
      </w:pPr>
      <w:r w:rsidRPr="002523EA">
        <w:rPr>
          <w:strike/>
          <w:color w:val="000000"/>
        </w:rPr>
        <w:t xml:space="preserve">7- No caso de produtos importados além dos itens acima incluir: </w:t>
      </w:r>
    </w:p>
    <w:p w:rsidR="0084635E" w:rsidRPr="002523EA" w:rsidRDefault="0084635E" w:rsidP="001552E7">
      <w:pPr>
        <w:jc w:val="both"/>
        <w:divId w:val="471337482"/>
        <w:rPr>
          <w:strike/>
          <w:color w:val="000000"/>
        </w:rPr>
      </w:pPr>
      <w:r w:rsidRPr="002523EA">
        <w:rPr>
          <w:strike/>
          <w:color w:val="000000"/>
        </w:rPr>
        <w:t>7.a - Cópia do Certificado de Venda Livre emitido pela Autoridade Sanitária Competente do país de origem devidamente legalizada;</w:t>
      </w:r>
    </w:p>
    <w:p w:rsidR="0084635E" w:rsidRPr="002523EA" w:rsidRDefault="0084635E" w:rsidP="001552E7">
      <w:pPr>
        <w:jc w:val="both"/>
        <w:divId w:val="471337482"/>
        <w:rPr>
          <w:strike/>
          <w:color w:val="000000"/>
        </w:rPr>
      </w:pPr>
      <w:r w:rsidRPr="002523EA">
        <w:rPr>
          <w:strike/>
          <w:color w:val="000000"/>
        </w:rPr>
        <w:t xml:space="preserve">7.b - Cópia do Certificado de Registro emitido pela Autoridade Sanitária Competente do país de origem, devidamente legalizada, quando for o caso; </w:t>
      </w:r>
    </w:p>
    <w:p w:rsidR="0084635E" w:rsidRPr="002523EA" w:rsidRDefault="0084635E" w:rsidP="001552E7">
      <w:pPr>
        <w:jc w:val="both"/>
        <w:divId w:val="471337482"/>
        <w:rPr>
          <w:strike/>
          <w:color w:val="000000"/>
        </w:rPr>
      </w:pPr>
      <w:r w:rsidRPr="002523EA">
        <w:rPr>
          <w:strike/>
          <w:color w:val="000000"/>
        </w:rPr>
        <w:t xml:space="preserve">7.c - Rotulagem original e traduzida, quando for o caso; </w:t>
      </w:r>
    </w:p>
    <w:p w:rsidR="0084635E" w:rsidRPr="002523EA" w:rsidRDefault="0084635E" w:rsidP="001552E7">
      <w:pPr>
        <w:jc w:val="both"/>
        <w:divId w:val="471337482"/>
        <w:rPr>
          <w:strike/>
          <w:color w:val="000000"/>
        </w:rPr>
      </w:pPr>
      <w:r w:rsidRPr="002523EA">
        <w:rPr>
          <w:strike/>
          <w:color w:val="000000"/>
        </w:rPr>
        <w:t>7.d - Cópia do documento que contenha a fórmula quali-quantitativa emitida pelo fabricante no país de origem.</w:t>
      </w:r>
    </w:p>
    <w:p w:rsidR="0084635E" w:rsidRPr="002523EA" w:rsidRDefault="0084635E" w:rsidP="0084635E">
      <w:pPr>
        <w:jc w:val="both"/>
        <w:divId w:val="471337482"/>
        <w:rPr>
          <w:b/>
          <w:bCs/>
          <w:strike/>
          <w:color w:val="000000"/>
        </w:rPr>
      </w:pPr>
      <w:r w:rsidRPr="002523EA">
        <w:rPr>
          <w:b/>
          <w:bCs/>
          <w:strike/>
          <w:color w:val="000000"/>
        </w:rPr>
        <w:t>B - Relatório Técnico contendo:</w:t>
      </w:r>
    </w:p>
    <w:p w:rsidR="0084635E" w:rsidRPr="002523EA" w:rsidRDefault="0084635E" w:rsidP="0084635E">
      <w:pPr>
        <w:ind w:left="-11"/>
        <w:jc w:val="both"/>
        <w:divId w:val="471337482"/>
        <w:rPr>
          <w:strike/>
          <w:color w:val="000000"/>
        </w:rPr>
      </w:pPr>
      <w:r w:rsidRPr="002523EA">
        <w:rPr>
          <w:strike/>
          <w:color w:val="000000"/>
        </w:rPr>
        <w:t>1- Denominação do produto.</w:t>
      </w:r>
    </w:p>
    <w:p w:rsidR="0084635E" w:rsidRPr="002523EA" w:rsidRDefault="0084635E" w:rsidP="0084635E">
      <w:pPr>
        <w:ind w:left="-11"/>
        <w:jc w:val="both"/>
        <w:divId w:val="471337482"/>
        <w:rPr>
          <w:strike/>
          <w:color w:val="000000"/>
        </w:rPr>
      </w:pPr>
      <w:r w:rsidRPr="002523EA">
        <w:rPr>
          <w:strike/>
          <w:color w:val="000000"/>
        </w:rPr>
        <w:t xml:space="preserve">2- Nome ou marca do produto. </w:t>
      </w:r>
    </w:p>
    <w:p w:rsidR="00C615ED" w:rsidRPr="002523EA" w:rsidRDefault="00C615ED" w:rsidP="0084635E">
      <w:pPr>
        <w:ind w:left="-11"/>
        <w:jc w:val="both"/>
        <w:divId w:val="471337482"/>
        <w:rPr>
          <w:strike/>
          <w:color w:val="000000"/>
        </w:rPr>
      </w:pPr>
    </w:p>
    <w:p w:rsidR="0084635E" w:rsidRPr="002523EA" w:rsidRDefault="0084635E" w:rsidP="0084635E">
      <w:pPr>
        <w:ind w:left="-11"/>
        <w:jc w:val="both"/>
        <w:divId w:val="471337482"/>
        <w:rPr>
          <w:strike/>
          <w:color w:val="000000"/>
        </w:rPr>
      </w:pPr>
      <w:r w:rsidRPr="002523EA">
        <w:rPr>
          <w:strike/>
          <w:color w:val="000000"/>
        </w:rPr>
        <w:t xml:space="preserve">3-  Composição quali-quantitativa do produto, especificando os microrganismos pelo nome científico e as cepas microbianas, origem das mesmas, Nº de microrganismos viáveis expresso em unidades formadoras de colônia por mililitro ou por grama (ufc/ml) ou (ufc/g) e os demais componentes expressos por seus nomes técnicos ou nomes comuns, quando for o caso, e em unidades do sistema métrico decimal. </w:t>
      </w:r>
    </w:p>
    <w:p w:rsidR="0084635E" w:rsidRPr="002523EA" w:rsidRDefault="0084635E" w:rsidP="0084635E">
      <w:pPr>
        <w:ind w:left="-11"/>
        <w:jc w:val="both"/>
        <w:divId w:val="471337482"/>
        <w:rPr>
          <w:strike/>
          <w:color w:val="000000"/>
        </w:rPr>
      </w:pPr>
      <w:r w:rsidRPr="002523EA">
        <w:rPr>
          <w:strike/>
          <w:color w:val="000000"/>
        </w:rPr>
        <w:t xml:space="preserve">4- Dados físico-químicos do produto (cor, estado, miscibilidade, pH, densidade específica, viscosidade, solubilidade em água e outros dados quando for o caso). </w:t>
      </w:r>
    </w:p>
    <w:p w:rsidR="0084635E" w:rsidRPr="002523EA" w:rsidRDefault="0084635E" w:rsidP="0084635E">
      <w:pPr>
        <w:ind w:left="-11"/>
        <w:jc w:val="both"/>
        <w:divId w:val="471337482"/>
        <w:rPr>
          <w:strike/>
          <w:color w:val="000000"/>
        </w:rPr>
      </w:pPr>
      <w:r w:rsidRPr="002523EA">
        <w:rPr>
          <w:strike/>
          <w:color w:val="000000"/>
        </w:rPr>
        <w:t>5- Descrição da embalagem primária e secundária, quando houver.</w:t>
      </w:r>
    </w:p>
    <w:p w:rsidR="0084635E" w:rsidRPr="002523EA" w:rsidRDefault="0084635E" w:rsidP="0084635E">
      <w:pPr>
        <w:ind w:left="-11"/>
        <w:jc w:val="both"/>
        <w:divId w:val="471337482"/>
        <w:rPr>
          <w:strike/>
          <w:color w:val="000000"/>
        </w:rPr>
      </w:pPr>
      <w:r w:rsidRPr="002523EA">
        <w:rPr>
          <w:strike/>
          <w:color w:val="000000"/>
        </w:rPr>
        <w:t xml:space="preserve">6- Descrição do sistema de identificação do lote ou partida. </w:t>
      </w:r>
    </w:p>
    <w:p w:rsidR="0084635E" w:rsidRPr="002523EA" w:rsidRDefault="0084635E" w:rsidP="0084635E">
      <w:pPr>
        <w:ind w:left="-11"/>
        <w:jc w:val="both"/>
        <w:divId w:val="471337482"/>
        <w:rPr>
          <w:strike/>
          <w:color w:val="000000"/>
        </w:rPr>
      </w:pPr>
      <w:r w:rsidRPr="002523EA">
        <w:rPr>
          <w:strike/>
          <w:color w:val="000000"/>
        </w:rPr>
        <w:t xml:space="preserve">7- Forma de apresentação. </w:t>
      </w:r>
    </w:p>
    <w:p w:rsidR="0084635E" w:rsidRPr="002523EA" w:rsidRDefault="0084635E" w:rsidP="0084635E">
      <w:pPr>
        <w:ind w:left="-11"/>
        <w:jc w:val="both"/>
        <w:divId w:val="471337482"/>
        <w:rPr>
          <w:strike/>
          <w:color w:val="000000"/>
        </w:rPr>
      </w:pPr>
      <w:r w:rsidRPr="002523EA">
        <w:rPr>
          <w:strike/>
          <w:color w:val="000000"/>
        </w:rPr>
        <w:t>8- Dados dos ensaios microbiológicos indicando:</w:t>
      </w:r>
    </w:p>
    <w:p w:rsidR="0084635E" w:rsidRPr="002523EA" w:rsidRDefault="0084635E" w:rsidP="00EB7A36">
      <w:pPr>
        <w:jc w:val="both"/>
        <w:divId w:val="471337482"/>
        <w:rPr>
          <w:strike/>
          <w:color w:val="000000"/>
        </w:rPr>
      </w:pPr>
      <w:r w:rsidRPr="002523EA">
        <w:rPr>
          <w:strike/>
          <w:color w:val="000000"/>
        </w:rPr>
        <w:t xml:space="preserve">8.a - contagem de microrganismos viáveis para cada cepa microbiana em ufc/ml ou ufc/g; </w:t>
      </w:r>
    </w:p>
    <w:p w:rsidR="0084635E" w:rsidRPr="002523EA" w:rsidRDefault="0084635E" w:rsidP="00EB7A36">
      <w:pPr>
        <w:jc w:val="both"/>
        <w:divId w:val="471337482"/>
        <w:rPr>
          <w:strike/>
          <w:color w:val="000000"/>
        </w:rPr>
      </w:pPr>
      <w:r w:rsidRPr="002523EA">
        <w:rPr>
          <w:strike/>
          <w:color w:val="000000"/>
        </w:rPr>
        <w:t xml:space="preserve">8.b - ausência de microrganismos patogênicos dos gêneros Salmonella, Shigella e </w:t>
      </w:r>
      <w:r w:rsidRPr="002523EA">
        <w:rPr>
          <w:i/>
          <w:iCs/>
          <w:strike/>
          <w:color w:val="000000"/>
        </w:rPr>
        <w:t>Escherichia coli</w:t>
      </w:r>
      <w:r w:rsidRPr="002523EA">
        <w:rPr>
          <w:strike/>
          <w:color w:val="000000"/>
        </w:rPr>
        <w:t xml:space="preserve">; </w:t>
      </w:r>
    </w:p>
    <w:p w:rsidR="0084635E" w:rsidRPr="002523EA" w:rsidRDefault="0084635E" w:rsidP="00EB7A36">
      <w:pPr>
        <w:jc w:val="both"/>
        <w:divId w:val="471337482"/>
        <w:rPr>
          <w:strike/>
          <w:color w:val="000000"/>
        </w:rPr>
      </w:pPr>
      <w:r w:rsidRPr="002523EA">
        <w:rPr>
          <w:strike/>
          <w:color w:val="000000"/>
        </w:rPr>
        <w:t xml:space="preserve">8.c - ausência de </w:t>
      </w:r>
      <w:r w:rsidRPr="002523EA">
        <w:rPr>
          <w:i/>
          <w:iCs/>
          <w:strike/>
          <w:color w:val="000000"/>
        </w:rPr>
        <w:t>Pseudomonas aeruginosa</w:t>
      </w:r>
      <w:r w:rsidRPr="002523EA">
        <w:rPr>
          <w:strike/>
          <w:color w:val="000000"/>
        </w:rPr>
        <w:t xml:space="preserve">; </w:t>
      </w:r>
    </w:p>
    <w:p w:rsidR="0084635E" w:rsidRPr="002523EA" w:rsidRDefault="0084635E" w:rsidP="00EB7A36">
      <w:pPr>
        <w:jc w:val="both"/>
        <w:divId w:val="471337482"/>
        <w:rPr>
          <w:strike/>
          <w:color w:val="000000"/>
        </w:rPr>
      </w:pPr>
      <w:r w:rsidRPr="002523EA">
        <w:rPr>
          <w:strike/>
          <w:color w:val="000000"/>
        </w:rPr>
        <w:t xml:space="preserve">8.d - ausência de microorganismos saprófitas principalmente </w:t>
      </w:r>
      <w:r w:rsidRPr="002523EA">
        <w:rPr>
          <w:i/>
          <w:iCs/>
          <w:strike/>
          <w:color w:val="000000"/>
        </w:rPr>
        <w:t>Stenotrophomonas maltophilia</w:t>
      </w:r>
      <w:r w:rsidRPr="002523EA">
        <w:rPr>
          <w:strike/>
          <w:color w:val="000000"/>
        </w:rPr>
        <w:t xml:space="preserve"> com resistência fora dos padrões definidos na literatura através da apresentação dos dados de testes "in vitro" de susceptibilidade aos antimicrobianos recomendados; </w:t>
      </w:r>
    </w:p>
    <w:p w:rsidR="0084635E" w:rsidRPr="002523EA" w:rsidRDefault="0084635E" w:rsidP="00EB7A36">
      <w:pPr>
        <w:jc w:val="both"/>
        <w:divId w:val="471337482"/>
        <w:rPr>
          <w:strike/>
          <w:color w:val="000000"/>
        </w:rPr>
      </w:pPr>
      <w:r w:rsidRPr="002523EA">
        <w:rPr>
          <w:strike/>
          <w:color w:val="000000"/>
        </w:rPr>
        <w:t xml:space="preserve">8.e - dados de identificação bioquímica dos microrganismos utilizados; </w:t>
      </w:r>
    </w:p>
    <w:p w:rsidR="0084635E" w:rsidRPr="002523EA" w:rsidRDefault="0084635E" w:rsidP="00EB7A36">
      <w:pPr>
        <w:jc w:val="both"/>
        <w:divId w:val="471337482"/>
        <w:rPr>
          <w:strike/>
          <w:color w:val="000000"/>
        </w:rPr>
      </w:pPr>
      <w:r w:rsidRPr="002523EA">
        <w:rPr>
          <w:strike/>
          <w:color w:val="000000"/>
        </w:rPr>
        <w:t>8.f - contagem total de microrganismos viáveis em ufc/ml ou ufc/g.</w:t>
      </w:r>
    </w:p>
    <w:p w:rsidR="0084635E" w:rsidRPr="002523EA" w:rsidRDefault="0084635E" w:rsidP="00EB7A36">
      <w:pPr>
        <w:ind w:left="-11"/>
        <w:jc w:val="both"/>
        <w:divId w:val="471337482"/>
        <w:rPr>
          <w:strike/>
          <w:color w:val="000000"/>
        </w:rPr>
      </w:pPr>
      <w:r w:rsidRPr="002523EA">
        <w:rPr>
          <w:strike/>
          <w:color w:val="000000"/>
        </w:rPr>
        <w:t xml:space="preserve">9- Dados dos ensaios de estabilidade incluindo a contagem total de microrganismos viáveis do produto preparado e no final do prazo de validade pretendido. </w:t>
      </w:r>
    </w:p>
    <w:p w:rsidR="0084635E" w:rsidRPr="002523EA" w:rsidRDefault="0084635E" w:rsidP="0084635E">
      <w:pPr>
        <w:ind w:left="-11"/>
        <w:jc w:val="both"/>
        <w:divId w:val="471337482"/>
        <w:rPr>
          <w:strike/>
          <w:color w:val="000000"/>
        </w:rPr>
      </w:pPr>
      <w:r w:rsidRPr="002523EA">
        <w:rPr>
          <w:strike/>
          <w:color w:val="000000"/>
        </w:rPr>
        <w:t>10- Prazo de validade.</w:t>
      </w:r>
    </w:p>
    <w:p w:rsidR="0084635E" w:rsidRPr="002523EA" w:rsidRDefault="0084635E" w:rsidP="0084635E">
      <w:pPr>
        <w:ind w:left="-11"/>
        <w:jc w:val="both"/>
        <w:divId w:val="471337482"/>
        <w:rPr>
          <w:strike/>
          <w:color w:val="000000"/>
        </w:rPr>
      </w:pPr>
      <w:r w:rsidRPr="002523EA">
        <w:rPr>
          <w:strike/>
          <w:color w:val="000000"/>
        </w:rPr>
        <w:t>11- Informações sobre as incompatibilidades, quando for o caso.</w:t>
      </w:r>
    </w:p>
    <w:p w:rsidR="0084635E" w:rsidRPr="002523EA" w:rsidRDefault="0084635E" w:rsidP="0084635E">
      <w:pPr>
        <w:ind w:left="-11"/>
        <w:jc w:val="both"/>
        <w:divId w:val="471337482"/>
        <w:rPr>
          <w:strike/>
          <w:color w:val="000000"/>
        </w:rPr>
      </w:pPr>
      <w:r w:rsidRPr="002523EA">
        <w:rPr>
          <w:strike/>
          <w:color w:val="000000"/>
        </w:rPr>
        <w:t>12- Dados de eficácia utilizando métodos reconhecidos pela comunidade científica.</w:t>
      </w:r>
    </w:p>
    <w:p w:rsidR="0084635E" w:rsidRPr="002523EA" w:rsidRDefault="0084635E" w:rsidP="0084635E">
      <w:pPr>
        <w:ind w:left="426" w:hanging="437"/>
        <w:jc w:val="both"/>
        <w:divId w:val="471337482"/>
        <w:rPr>
          <w:strike/>
          <w:color w:val="000000"/>
        </w:rPr>
      </w:pPr>
      <w:r w:rsidRPr="002523EA">
        <w:rPr>
          <w:strike/>
          <w:color w:val="000000"/>
        </w:rPr>
        <w:t>13- Métodos de desativação e descarte do produto e da embalagem visando evitar riscos à saúde humana e ao meio ambiente.</w:t>
      </w:r>
    </w:p>
    <w:p w:rsidR="0084635E" w:rsidRPr="002523EA" w:rsidRDefault="0084635E" w:rsidP="0084635E">
      <w:pPr>
        <w:ind w:left="-11"/>
        <w:jc w:val="both"/>
        <w:divId w:val="471337482"/>
        <w:rPr>
          <w:strike/>
          <w:color w:val="000000"/>
        </w:rPr>
      </w:pPr>
      <w:r w:rsidRPr="002523EA">
        <w:rPr>
          <w:strike/>
          <w:color w:val="000000"/>
        </w:rPr>
        <w:t>14- Dados sobre a conservação do produto.</w:t>
      </w:r>
    </w:p>
    <w:p w:rsidR="0084635E" w:rsidRPr="002523EA" w:rsidRDefault="0084635E" w:rsidP="0084635E">
      <w:pPr>
        <w:jc w:val="center"/>
        <w:divId w:val="471337482"/>
        <w:rPr>
          <w:b/>
          <w:bCs/>
          <w:strike/>
          <w:color w:val="000000"/>
        </w:rPr>
      </w:pPr>
      <w:r w:rsidRPr="002523EA">
        <w:rPr>
          <w:b/>
          <w:bCs/>
          <w:strike/>
          <w:color w:val="000000"/>
        </w:rPr>
        <w:t>ANEXO III</w:t>
      </w:r>
    </w:p>
    <w:p w:rsidR="0084635E" w:rsidRPr="002523EA" w:rsidRDefault="0084635E" w:rsidP="0084635E">
      <w:pPr>
        <w:jc w:val="center"/>
        <w:divId w:val="471337482"/>
        <w:rPr>
          <w:b/>
          <w:bCs/>
          <w:strike/>
          <w:color w:val="000000"/>
        </w:rPr>
      </w:pPr>
      <w:r w:rsidRPr="002523EA">
        <w:rPr>
          <w:b/>
          <w:bCs/>
          <w:strike/>
          <w:color w:val="000000"/>
        </w:rPr>
        <w:t>ROTULAGEM DE PRODUTOS SANEANTES À BASE DE BACTÉRIAS</w:t>
      </w:r>
    </w:p>
    <w:p w:rsidR="0084635E" w:rsidRPr="002523EA" w:rsidRDefault="0084635E" w:rsidP="0084635E">
      <w:pPr>
        <w:divId w:val="471337482"/>
        <w:rPr>
          <w:b/>
          <w:bCs/>
          <w:strike/>
          <w:color w:val="000000"/>
        </w:rPr>
      </w:pPr>
      <w:r w:rsidRPr="002523EA">
        <w:rPr>
          <w:b/>
          <w:bCs/>
          <w:strike/>
          <w:color w:val="000000"/>
        </w:rPr>
        <w:t>PAINEL PRINCIPAL</w:t>
      </w:r>
    </w:p>
    <w:p w:rsidR="0084635E" w:rsidRPr="002523EA" w:rsidRDefault="0084635E" w:rsidP="0084635E">
      <w:pPr>
        <w:jc w:val="both"/>
        <w:divId w:val="471337482"/>
        <w:rPr>
          <w:strike/>
          <w:color w:val="000000"/>
        </w:rPr>
      </w:pPr>
      <w:r w:rsidRPr="002523EA">
        <w:rPr>
          <w:strike/>
          <w:color w:val="000000"/>
        </w:rPr>
        <w:t>Denominação do produto;</w:t>
      </w:r>
    </w:p>
    <w:p w:rsidR="0084635E" w:rsidRPr="002523EA" w:rsidRDefault="0084635E" w:rsidP="0084635E">
      <w:pPr>
        <w:jc w:val="both"/>
        <w:divId w:val="471337482"/>
        <w:rPr>
          <w:strike/>
          <w:color w:val="000000"/>
        </w:rPr>
      </w:pPr>
      <w:r w:rsidRPr="002523EA">
        <w:rPr>
          <w:strike/>
          <w:color w:val="000000"/>
        </w:rPr>
        <w:t>Nome e marca do produto;</w:t>
      </w:r>
    </w:p>
    <w:p w:rsidR="0084635E" w:rsidRPr="002523EA" w:rsidRDefault="0084635E" w:rsidP="0084635E">
      <w:pPr>
        <w:jc w:val="both"/>
        <w:divId w:val="471337482"/>
        <w:rPr>
          <w:strike/>
          <w:color w:val="000000"/>
        </w:rPr>
      </w:pPr>
      <w:r w:rsidRPr="002523EA">
        <w:rPr>
          <w:strike/>
          <w:color w:val="000000"/>
        </w:rPr>
        <w:t>Conteúdo;</w:t>
      </w:r>
    </w:p>
    <w:p w:rsidR="0084635E" w:rsidRPr="002523EA" w:rsidRDefault="0084635E" w:rsidP="0084635E">
      <w:pPr>
        <w:jc w:val="both"/>
        <w:divId w:val="471337482"/>
        <w:rPr>
          <w:strike/>
          <w:color w:val="000000"/>
        </w:rPr>
      </w:pPr>
      <w:r w:rsidRPr="002523EA">
        <w:rPr>
          <w:strike/>
          <w:color w:val="000000"/>
        </w:rPr>
        <w:t>Deverá conter as seguintes frases:</w:t>
      </w:r>
    </w:p>
    <w:p w:rsidR="0084635E" w:rsidRPr="002523EA" w:rsidRDefault="0084635E" w:rsidP="0084635E">
      <w:pPr>
        <w:jc w:val="both"/>
        <w:divId w:val="471337482"/>
        <w:rPr>
          <w:strike/>
          <w:color w:val="000000"/>
        </w:rPr>
      </w:pPr>
      <w:r w:rsidRPr="002523EA">
        <w:rPr>
          <w:strike/>
          <w:color w:val="000000"/>
        </w:rPr>
        <w:t xml:space="preserve"> “CUIDADO! PERIGOSO SE INGERIDO, CONTÉM MICRORGANISMOS VIVOS”, (conforme item 6.1.1);</w:t>
      </w:r>
    </w:p>
    <w:p w:rsidR="0084635E" w:rsidRPr="002523EA" w:rsidRDefault="0084635E" w:rsidP="0084635E">
      <w:pPr>
        <w:jc w:val="both"/>
        <w:divId w:val="471337482"/>
        <w:rPr>
          <w:strike/>
          <w:color w:val="000000"/>
        </w:rPr>
      </w:pPr>
      <w:r w:rsidRPr="002523EA">
        <w:rPr>
          <w:strike/>
          <w:color w:val="000000"/>
        </w:rPr>
        <w:t>”ANTES DE USAR LEIA AS INSTRUÇÕES DO RÓTULO”, (conforme item 6.1.2);</w:t>
      </w:r>
    </w:p>
    <w:p w:rsidR="0084635E" w:rsidRPr="002523EA" w:rsidRDefault="0084635E" w:rsidP="0084635E">
      <w:pPr>
        <w:jc w:val="both"/>
        <w:divId w:val="471337482"/>
        <w:rPr>
          <w:strike/>
          <w:color w:val="000000"/>
        </w:rPr>
      </w:pPr>
      <w:r w:rsidRPr="002523EA">
        <w:rPr>
          <w:strike/>
          <w:color w:val="000000"/>
        </w:rPr>
        <w:t>”PROIBIDA A VENDA DIRETA AO PÚBLICO”,(conforme item 6.1.3, quando for o caso).</w:t>
      </w:r>
    </w:p>
    <w:p w:rsidR="0084635E" w:rsidRPr="002523EA" w:rsidRDefault="0084635E" w:rsidP="0084635E">
      <w:pPr>
        <w:jc w:val="both"/>
        <w:divId w:val="471337482"/>
        <w:rPr>
          <w:b/>
          <w:bCs/>
          <w:strike/>
          <w:color w:val="000000"/>
        </w:rPr>
      </w:pPr>
      <w:r w:rsidRPr="002523EA">
        <w:rPr>
          <w:b/>
          <w:bCs/>
          <w:strike/>
          <w:color w:val="000000"/>
        </w:rPr>
        <w:t>PAINEL PRINCIPAL OU SECUNDÁRIO</w:t>
      </w:r>
    </w:p>
    <w:p w:rsidR="0084635E" w:rsidRPr="002523EA" w:rsidRDefault="0084635E" w:rsidP="0084635E">
      <w:pPr>
        <w:jc w:val="both"/>
        <w:divId w:val="471337482"/>
        <w:rPr>
          <w:strike/>
          <w:color w:val="000000"/>
        </w:rPr>
      </w:pPr>
      <w:r w:rsidRPr="002523EA">
        <w:rPr>
          <w:strike/>
          <w:color w:val="000000"/>
        </w:rPr>
        <w:t xml:space="preserve">Frases gerais: </w:t>
      </w:r>
    </w:p>
    <w:p w:rsidR="0084635E" w:rsidRPr="002523EA" w:rsidRDefault="0084635E" w:rsidP="0084635E">
      <w:pPr>
        <w:ind w:left="-11"/>
        <w:jc w:val="both"/>
        <w:divId w:val="471337482"/>
        <w:rPr>
          <w:strike/>
          <w:color w:val="000000"/>
        </w:rPr>
      </w:pPr>
      <w:r w:rsidRPr="002523EA">
        <w:rPr>
          <w:strike/>
          <w:color w:val="000000"/>
        </w:rPr>
        <w:t xml:space="preserve">Não aplicar sobre alimentos, utensílios de cozinha, aquários e superfícies onde haja manipulação de alimentos; </w:t>
      </w:r>
    </w:p>
    <w:p w:rsidR="0084635E" w:rsidRPr="002523EA" w:rsidRDefault="0084635E" w:rsidP="0084635E">
      <w:pPr>
        <w:ind w:left="-11"/>
        <w:jc w:val="both"/>
        <w:divId w:val="471337482"/>
        <w:rPr>
          <w:strike/>
          <w:color w:val="000000"/>
        </w:rPr>
      </w:pPr>
      <w:r w:rsidRPr="002523EA">
        <w:rPr>
          <w:strike/>
          <w:color w:val="000000"/>
        </w:rPr>
        <w:t>Não reutilizar as embalagens vazias;</w:t>
      </w:r>
    </w:p>
    <w:p w:rsidR="0084635E" w:rsidRPr="002523EA" w:rsidRDefault="0084635E" w:rsidP="0084635E">
      <w:pPr>
        <w:jc w:val="both"/>
        <w:divId w:val="471337482"/>
        <w:rPr>
          <w:strike/>
          <w:color w:val="000000"/>
        </w:rPr>
      </w:pPr>
      <w:r w:rsidRPr="002523EA">
        <w:rPr>
          <w:strike/>
          <w:color w:val="000000"/>
        </w:rPr>
        <w:t>Manter o produto na embalagem original;</w:t>
      </w:r>
    </w:p>
    <w:p w:rsidR="0084635E" w:rsidRPr="002523EA" w:rsidRDefault="0084635E" w:rsidP="0084635E">
      <w:pPr>
        <w:pStyle w:val="Corpodetexto3"/>
        <w:spacing w:after="100"/>
        <w:divId w:val="471337482"/>
        <w:rPr>
          <w:strike/>
          <w:color w:val="000000"/>
          <w:sz w:val="24"/>
          <w:szCs w:val="24"/>
        </w:rPr>
      </w:pPr>
      <w:r w:rsidRPr="002523EA">
        <w:rPr>
          <w:strike/>
          <w:color w:val="000000"/>
          <w:sz w:val="24"/>
          <w:szCs w:val="24"/>
        </w:rPr>
        <w:t xml:space="preserve">Usar luvas para a aplicação do produto; </w:t>
      </w:r>
    </w:p>
    <w:p w:rsidR="0084635E" w:rsidRPr="002523EA" w:rsidRDefault="0084635E" w:rsidP="0084635E">
      <w:pPr>
        <w:pStyle w:val="Corpodetexto3"/>
        <w:spacing w:after="100"/>
        <w:divId w:val="471337482"/>
        <w:rPr>
          <w:strike/>
          <w:color w:val="000000"/>
          <w:sz w:val="24"/>
          <w:szCs w:val="24"/>
        </w:rPr>
      </w:pPr>
      <w:r w:rsidRPr="002523EA">
        <w:rPr>
          <w:strike/>
          <w:color w:val="000000"/>
          <w:sz w:val="24"/>
          <w:szCs w:val="24"/>
        </w:rPr>
        <w:t>Em caso de contato direto com o produto, lavar a parte atingida com água e sabão;</w:t>
      </w:r>
    </w:p>
    <w:p w:rsidR="0084635E" w:rsidRPr="002523EA" w:rsidRDefault="0084635E" w:rsidP="00EB7A36">
      <w:pPr>
        <w:pStyle w:val="Corpodetexto3"/>
        <w:spacing w:after="100"/>
        <w:jc w:val="both"/>
        <w:divId w:val="471337482"/>
        <w:rPr>
          <w:strike/>
          <w:color w:val="000000"/>
          <w:sz w:val="24"/>
          <w:szCs w:val="24"/>
        </w:rPr>
      </w:pPr>
      <w:r w:rsidRPr="002523EA">
        <w:rPr>
          <w:strike/>
          <w:color w:val="000000"/>
          <w:sz w:val="24"/>
          <w:szCs w:val="24"/>
        </w:rPr>
        <w:t>Em caso de contato com os olhos, lavar com água corrente em abundância e procurar o Centro de Intoxicação ou Serviço de Saúde mais próximo, levando a embalagem ou o rótulo do produto;</w:t>
      </w:r>
    </w:p>
    <w:p w:rsidR="0084635E" w:rsidRPr="002523EA" w:rsidRDefault="0084635E" w:rsidP="0084635E">
      <w:pPr>
        <w:pStyle w:val="Corpodetexto3"/>
        <w:spacing w:after="100"/>
        <w:divId w:val="471337482"/>
        <w:rPr>
          <w:strike/>
          <w:color w:val="000000"/>
          <w:sz w:val="24"/>
          <w:szCs w:val="24"/>
        </w:rPr>
      </w:pPr>
      <w:r w:rsidRPr="002523EA">
        <w:rPr>
          <w:strike/>
          <w:color w:val="000000"/>
          <w:sz w:val="24"/>
          <w:szCs w:val="24"/>
        </w:rPr>
        <w:t>Manter o produto fora do alcance de crianças e animais domésticos (em negrito e em caixa alta);</w:t>
      </w:r>
    </w:p>
    <w:p w:rsidR="0084635E" w:rsidRPr="002523EA" w:rsidRDefault="0084635E" w:rsidP="0084635E">
      <w:pPr>
        <w:pStyle w:val="Corpodetexto3"/>
        <w:spacing w:after="100"/>
        <w:divId w:val="471337482"/>
        <w:rPr>
          <w:strike/>
          <w:color w:val="000000"/>
          <w:sz w:val="24"/>
          <w:szCs w:val="24"/>
        </w:rPr>
      </w:pPr>
      <w:r w:rsidRPr="002523EA">
        <w:rPr>
          <w:strike/>
          <w:color w:val="000000"/>
          <w:sz w:val="24"/>
          <w:szCs w:val="24"/>
        </w:rPr>
        <w:t>Em caso de aspiração ou inalação, remover a pessoa para local arejado, (quando for o caso);</w:t>
      </w:r>
    </w:p>
    <w:p w:rsidR="0084635E" w:rsidRPr="002523EA" w:rsidRDefault="0084635E" w:rsidP="0084635E">
      <w:pPr>
        <w:jc w:val="both"/>
        <w:divId w:val="471337482"/>
        <w:rPr>
          <w:strike/>
          <w:color w:val="000000"/>
        </w:rPr>
      </w:pPr>
      <w:r w:rsidRPr="002523EA">
        <w:rPr>
          <w:strike/>
          <w:color w:val="000000"/>
        </w:rPr>
        <w:t>Modo de aplicação, conservação e de uso;</w:t>
      </w:r>
    </w:p>
    <w:p w:rsidR="0084635E" w:rsidRPr="002523EA" w:rsidRDefault="0084635E" w:rsidP="0084635E">
      <w:pPr>
        <w:jc w:val="both"/>
        <w:divId w:val="471337482"/>
        <w:rPr>
          <w:strike/>
          <w:color w:val="000000"/>
        </w:rPr>
      </w:pPr>
      <w:r w:rsidRPr="002523EA">
        <w:rPr>
          <w:strike/>
          <w:color w:val="000000"/>
        </w:rPr>
        <w:t>Data de fabricação, prazo de validade e número do lote, impressos de modo indelével e direto na embalagem;</w:t>
      </w:r>
    </w:p>
    <w:p w:rsidR="0084635E" w:rsidRPr="002523EA" w:rsidRDefault="0084635E" w:rsidP="0084635E">
      <w:pPr>
        <w:jc w:val="both"/>
        <w:divId w:val="471337482"/>
        <w:rPr>
          <w:strike/>
          <w:color w:val="000000"/>
        </w:rPr>
      </w:pPr>
      <w:r w:rsidRPr="002523EA">
        <w:rPr>
          <w:strike/>
          <w:color w:val="000000"/>
        </w:rPr>
        <w:t>Número de registro concedido pela Autoridade Sanitária Competente;</w:t>
      </w:r>
    </w:p>
    <w:p w:rsidR="0084635E" w:rsidRPr="002523EA" w:rsidRDefault="0084635E" w:rsidP="0084635E">
      <w:pPr>
        <w:jc w:val="both"/>
        <w:divId w:val="471337482"/>
        <w:rPr>
          <w:strike/>
          <w:color w:val="000000"/>
        </w:rPr>
      </w:pPr>
      <w:r w:rsidRPr="002523EA">
        <w:rPr>
          <w:strike/>
          <w:color w:val="000000"/>
        </w:rPr>
        <w:t xml:space="preserve">Composição: mencionar os microrganismos pelo nome científico e os demais componentes de interesse toxicológico pelo nome técnico; </w:t>
      </w:r>
    </w:p>
    <w:p w:rsidR="0084635E" w:rsidRPr="002523EA" w:rsidRDefault="0084635E" w:rsidP="0084635E">
      <w:pPr>
        <w:jc w:val="both"/>
        <w:divId w:val="471337482"/>
        <w:rPr>
          <w:strike/>
          <w:color w:val="000000"/>
        </w:rPr>
      </w:pPr>
      <w:r w:rsidRPr="002523EA">
        <w:rPr>
          <w:strike/>
          <w:color w:val="000000"/>
        </w:rPr>
        <w:t>Responsável Técnico: a menção ou não no rótulo do produto do nome do responsável técnico perante o Estado Parte receptor deverá respeitar as exigências legais previstas no mencionado Estado Parte;</w:t>
      </w:r>
    </w:p>
    <w:p w:rsidR="0084635E" w:rsidRPr="002523EA" w:rsidRDefault="0084635E" w:rsidP="0084635E">
      <w:pPr>
        <w:jc w:val="both"/>
        <w:divId w:val="471337482"/>
        <w:rPr>
          <w:strike/>
          <w:color w:val="000000"/>
        </w:rPr>
      </w:pPr>
      <w:r w:rsidRPr="002523EA">
        <w:rPr>
          <w:strike/>
          <w:color w:val="000000"/>
        </w:rPr>
        <w:t>Número de telefone da empresa para atendimento ao consumidor;</w:t>
      </w:r>
    </w:p>
    <w:p w:rsidR="0084635E" w:rsidRPr="002523EA" w:rsidRDefault="0084635E" w:rsidP="0084635E">
      <w:pPr>
        <w:jc w:val="both"/>
        <w:divId w:val="471337482"/>
        <w:rPr>
          <w:strike/>
          <w:color w:val="000000"/>
        </w:rPr>
      </w:pPr>
      <w:r w:rsidRPr="002523EA">
        <w:rPr>
          <w:strike/>
          <w:color w:val="000000"/>
        </w:rPr>
        <w:t>Número de telefone do Centro de Intoxicações;</w:t>
      </w:r>
    </w:p>
    <w:p w:rsidR="0084635E" w:rsidRPr="002523EA" w:rsidRDefault="0084635E" w:rsidP="0084635E">
      <w:pPr>
        <w:jc w:val="both"/>
        <w:divId w:val="471337482"/>
        <w:rPr>
          <w:strike/>
          <w:color w:val="000000"/>
        </w:rPr>
      </w:pPr>
      <w:r w:rsidRPr="002523EA">
        <w:rPr>
          <w:strike/>
          <w:color w:val="000000"/>
        </w:rPr>
        <w:t>Informações gerais da empresa titular do registro;</w:t>
      </w:r>
    </w:p>
    <w:p w:rsidR="0084635E" w:rsidRPr="002523EA" w:rsidRDefault="0084635E" w:rsidP="0084635E">
      <w:pPr>
        <w:jc w:val="both"/>
        <w:divId w:val="471337482"/>
        <w:rPr>
          <w:strike/>
          <w:color w:val="000000"/>
        </w:rPr>
      </w:pPr>
      <w:r w:rsidRPr="002523EA">
        <w:rPr>
          <w:strike/>
          <w:color w:val="000000"/>
        </w:rPr>
        <w:t>País de origem;</w:t>
      </w:r>
    </w:p>
    <w:p w:rsidR="0084635E" w:rsidRPr="002523EA" w:rsidRDefault="0084635E" w:rsidP="0084635E">
      <w:pPr>
        <w:jc w:val="both"/>
        <w:divId w:val="471337482"/>
        <w:rPr>
          <w:strike/>
          <w:color w:val="000000"/>
        </w:rPr>
      </w:pPr>
      <w:r w:rsidRPr="002523EA">
        <w:rPr>
          <w:strike/>
          <w:color w:val="000000"/>
        </w:rPr>
        <w:t>Se importado, nome do fabricante e país de origem;</w:t>
      </w:r>
    </w:p>
    <w:p w:rsidR="0084635E" w:rsidRPr="002523EA" w:rsidRDefault="0084635E" w:rsidP="0084635E">
      <w:pPr>
        <w:jc w:val="both"/>
        <w:divId w:val="471337482"/>
        <w:rPr>
          <w:strike/>
          <w:color w:val="000000"/>
        </w:rPr>
      </w:pPr>
      <w:r w:rsidRPr="002523EA">
        <w:rPr>
          <w:strike/>
          <w:color w:val="000000"/>
        </w:rPr>
        <w:t xml:space="preserve">Informações sobre o descarte do produto e da embalagem; </w:t>
      </w:r>
    </w:p>
    <w:p w:rsidR="0084635E" w:rsidRPr="002523EA" w:rsidRDefault="0084635E" w:rsidP="0084635E">
      <w:pPr>
        <w:jc w:val="both"/>
        <w:divId w:val="471337482"/>
        <w:rPr>
          <w:strike/>
          <w:color w:val="000000"/>
        </w:rPr>
      </w:pPr>
      <w:r w:rsidRPr="002523EA">
        <w:rPr>
          <w:strike/>
          <w:color w:val="000000"/>
        </w:rPr>
        <w:t xml:space="preserve">Informações sobre os procedimentos a serem adotados no caso de derramamento acidental do produto; </w:t>
      </w:r>
    </w:p>
    <w:p w:rsidR="0084635E" w:rsidRPr="002523EA" w:rsidRDefault="0084635E" w:rsidP="0084635E">
      <w:pPr>
        <w:jc w:val="both"/>
        <w:divId w:val="471337482"/>
        <w:rPr>
          <w:strike/>
          <w:color w:val="000000"/>
        </w:rPr>
      </w:pPr>
      <w:r w:rsidRPr="002523EA">
        <w:rPr>
          <w:strike/>
          <w:color w:val="000000"/>
        </w:rPr>
        <w:t>Informações sobre as incompatibilidades e restrições de uso do produto, quando for o caso.</w:t>
      </w:r>
    </w:p>
    <w:sectPr w:rsidR="0084635E" w:rsidRPr="002523EA">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1783" w:rsidRDefault="00551783" w:rsidP="004833A6">
      <w:pPr>
        <w:spacing w:before="0" w:after="0"/>
      </w:pPr>
      <w:r>
        <w:separator/>
      </w:r>
    </w:p>
  </w:endnote>
  <w:endnote w:type="continuationSeparator" w:id="0">
    <w:p w:rsidR="00551783" w:rsidRDefault="00551783" w:rsidP="004833A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w:altName w:val="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33A6" w:rsidRDefault="004833A6" w:rsidP="004833A6">
    <w:pPr>
      <w:tabs>
        <w:tab w:val="center" w:pos="4252"/>
        <w:tab w:val="right" w:pos="8504"/>
      </w:tabs>
      <w:spacing w:before="0" w:beforeAutospacing="0" w:after="0" w:afterAutospacing="0"/>
      <w:jc w:val="center"/>
      <w:rPr>
        <w:rFonts w:asciiTheme="minorHAnsi" w:hAnsiTheme="minorHAnsi"/>
        <w:color w:val="943634" w:themeColor="accent2" w:themeShade="BF"/>
        <w:sz w:val="22"/>
        <w:szCs w:val="22"/>
        <w:lang w:eastAsia="en-US"/>
      </w:rPr>
    </w:pPr>
  </w:p>
  <w:p w:rsidR="004833A6" w:rsidRPr="00376E90" w:rsidRDefault="004833A6" w:rsidP="004833A6">
    <w:pPr>
      <w:tabs>
        <w:tab w:val="center" w:pos="4252"/>
        <w:tab w:val="right" w:pos="8504"/>
      </w:tabs>
      <w:spacing w:before="0" w:beforeAutospacing="0" w:after="0" w:afterAutospacing="0"/>
      <w:jc w:val="center"/>
      <w:rPr>
        <w:rFonts w:asciiTheme="minorHAnsi" w:hAnsiTheme="minorHAnsi"/>
        <w:color w:val="943634" w:themeColor="accent2" w:themeShade="BF"/>
        <w:sz w:val="22"/>
        <w:szCs w:val="22"/>
        <w:lang w:eastAsia="en-US"/>
      </w:rPr>
    </w:pPr>
    <w:r w:rsidRPr="00376E90">
      <w:rPr>
        <w:rFonts w:asciiTheme="minorHAnsi" w:hAnsiTheme="minorHAnsi"/>
        <w:color w:val="943634" w:themeColor="accent2" w:themeShade="BF"/>
        <w:sz w:val="22"/>
        <w:szCs w:val="22"/>
        <w:lang w:eastAsia="en-US"/>
      </w:rPr>
      <w:t>Este texto não substitui o(s) publicado(s) em Diário Oficial da União.</w:t>
    </w:r>
  </w:p>
  <w:p w:rsidR="004833A6" w:rsidRDefault="004833A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1783" w:rsidRDefault="00551783" w:rsidP="004833A6">
      <w:pPr>
        <w:spacing w:before="0" w:after="0"/>
      </w:pPr>
      <w:r>
        <w:separator/>
      </w:r>
    </w:p>
  </w:footnote>
  <w:footnote w:type="continuationSeparator" w:id="0">
    <w:p w:rsidR="00551783" w:rsidRDefault="00551783" w:rsidP="004833A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33A6" w:rsidRPr="00376E90" w:rsidRDefault="00551783" w:rsidP="004833A6">
    <w:pPr>
      <w:tabs>
        <w:tab w:val="center" w:pos="4252"/>
        <w:tab w:val="right" w:pos="8504"/>
      </w:tabs>
      <w:spacing w:before="0" w:beforeAutospacing="0" w:after="0" w:afterAutospacing="0"/>
      <w:jc w:val="center"/>
      <w:rPr>
        <w:rFonts w:asciiTheme="minorHAnsi" w:hAnsiTheme="minorHAnsi"/>
        <w:sz w:val="22"/>
        <w:szCs w:val="22"/>
        <w:lang w:eastAsia="en-US"/>
      </w:rPr>
    </w:pPr>
    <w:r w:rsidRPr="00551783">
      <w:rPr>
        <w:rFonts w:asciiTheme="minorHAnsi" w:hAnsiTheme="minorHAnsi"/>
        <w:noProof/>
        <w:sz w:val="22"/>
        <w:szCs w:val="22"/>
      </w:rPr>
      <w:drawing>
        <wp:inline distT="0" distB="0" distL="0" distR="0">
          <wp:extent cx="657225" cy="647700"/>
          <wp:effectExtent l="0" t="0" r="0" b="0"/>
          <wp:docPr id="2" name="Imagem 1"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4833A6" w:rsidRPr="00376E90" w:rsidRDefault="004833A6" w:rsidP="004833A6">
    <w:pPr>
      <w:tabs>
        <w:tab w:val="center" w:pos="4252"/>
        <w:tab w:val="right" w:pos="8504"/>
      </w:tabs>
      <w:spacing w:before="0" w:beforeAutospacing="0" w:after="0" w:afterAutospacing="0"/>
      <w:jc w:val="center"/>
      <w:rPr>
        <w:rFonts w:asciiTheme="minorHAnsi" w:hAnsiTheme="minorHAnsi"/>
        <w:b/>
        <w:szCs w:val="22"/>
        <w:lang w:eastAsia="en-US"/>
      </w:rPr>
    </w:pPr>
    <w:r w:rsidRPr="00376E90">
      <w:rPr>
        <w:rFonts w:asciiTheme="minorHAnsi" w:hAnsiTheme="minorHAnsi"/>
        <w:b/>
        <w:szCs w:val="22"/>
        <w:lang w:eastAsia="en-US"/>
      </w:rPr>
      <w:t>Ministério da Saúde - MS</w:t>
    </w:r>
  </w:p>
  <w:p w:rsidR="004833A6" w:rsidRDefault="004833A6" w:rsidP="004833A6">
    <w:pPr>
      <w:tabs>
        <w:tab w:val="center" w:pos="4252"/>
        <w:tab w:val="right" w:pos="8504"/>
      </w:tabs>
      <w:spacing w:before="0" w:beforeAutospacing="0" w:after="0" w:afterAutospacing="0"/>
      <w:jc w:val="center"/>
      <w:rPr>
        <w:rFonts w:asciiTheme="minorHAnsi" w:hAnsiTheme="minorHAnsi"/>
        <w:b/>
        <w:szCs w:val="22"/>
        <w:lang w:eastAsia="en-US"/>
      </w:rPr>
    </w:pPr>
    <w:r w:rsidRPr="00376E90">
      <w:rPr>
        <w:rFonts w:asciiTheme="minorHAnsi" w:hAnsiTheme="minorHAnsi"/>
        <w:b/>
        <w:szCs w:val="22"/>
        <w:lang w:eastAsia="en-US"/>
      </w:rPr>
      <w:t xml:space="preserve">Agência Nacional de Vigilância Sanitária </w:t>
    </w:r>
    <w:r>
      <w:rPr>
        <w:rFonts w:asciiTheme="minorHAnsi" w:hAnsiTheme="minorHAnsi"/>
        <w:b/>
        <w:szCs w:val="22"/>
        <w:lang w:eastAsia="en-US"/>
      </w:rPr>
      <w:t>–</w:t>
    </w:r>
    <w:r w:rsidRPr="00376E90">
      <w:rPr>
        <w:rFonts w:asciiTheme="minorHAnsi" w:hAnsiTheme="minorHAnsi"/>
        <w:b/>
        <w:szCs w:val="22"/>
        <w:lang w:eastAsia="en-US"/>
      </w:rPr>
      <w:t xml:space="preserve"> ANVISA</w:t>
    </w:r>
  </w:p>
  <w:p w:rsidR="004833A6" w:rsidRDefault="004833A6" w:rsidP="004833A6">
    <w:pPr>
      <w:tabs>
        <w:tab w:val="center" w:pos="4252"/>
        <w:tab w:val="right" w:pos="8504"/>
      </w:tabs>
      <w:spacing w:before="0" w:beforeAutospacing="0" w:after="0" w:afterAutospacing="0"/>
      <w:jc w:val="center"/>
      <w:rPr>
        <w:rFonts w:asciiTheme="minorHAnsi" w:hAnsiTheme="minorHAnsi"/>
        <w:b/>
        <w:szCs w:val="22"/>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65970"/>
    <w:rsid w:val="00074AC0"/>
    <w:rsid w:val="00082C3B"/>
    <w:rsid w:val="000834AC"/>
    <w:rsid w:val="000C2183"/>
    <w:rsid w:val="000E1C86"/>
    <w:rsid w:val="000F7751"/>
    <w:rsid w:val="0014231D"/>
    <w:rsid w:val="001552E7"/>
    <w:rsid w:val="00157DC5"/>
    <w:rsid w:val="002410D5"/>
    <w:rsid w:val="002523EA"/>
    <w:rsid w:val="002A6BAF"/>
    <w:rsid w:val="0033322F"/>
    <w:rsid w:val="00376E90"/>
    <w:rsid w:val="003A234F"/>
    <w:rsid w:val="004833A6"/>
    <w:rsid w:val="00496770"/>
    <w:rsid w:val="00505962"/>
    <w:rsid w:val="00524060"/>
    <w:rsid w:val="00551783"/>
    <w:rsid w:val="00577520"/>
    <w:rsid w:val="005D13BD"/>
    <w:rsid w:val="00652E8A"/>
    <w:rsid w:val="007471C7"/>
    <w:rsid w:val="00771958"/>
    <w:rsid w:val="0084635E"/>
    <w:rsid w:val="008B7BC0"/>
    <w:rsid w:val="008D770F"/>
    <w:rsid w:val="009D4C4B"/>
    <w:rsid w:val="009F4005"/>
    <w:rsid w:val="00A53197"/>
    <w:rsid w:val="00AF43E7"/>
    <w:rsid w:val="00BC4A2F"/>
    <w:rsid w:val="00C615ED"/>
    <w:rsid w:val="00C95A0B"/>
    <w:rsid w:val="00D5016F"/>
    <w:rsid w:val="00D57B34"/>
    <w:rsid w:val="00DF7C19"/>
    <w:rsid w:val="00E30878"/>
    <w:rsid w:val="00EB7A36"/>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oa heading" w:semiHidden="1" w:unhideWhenUsed="1"/>
    <w:lsdException w:name="List Number" w:semiHidden="1" w:unhideWhenUsed="1"/>
    <w:lsdException w:name="List 2" w:semiHidden="1" w:unhideWhenUsed="1"/>
    <w:lsdException w:name="Title" w:qFormat="1"/>
    <w:lsdException w:name="Default Paragraph Font" w:semiHidden="1" w:uiPriority="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orpodetexto2">
    <w:name w:val="Body Text 2"/>
    <w:basedOn w:val="Normal"/>
    <w:link w:val="Corpodetexto2Char"/>
    <w:uiPriority w:val="99"/>
    <w:semiHidden/>
    <w:unhideWhenUsed/>
    <w:rsid w:val="0084635E"/>
    <w:pPr>
      <w:spacing w:after="120" w:line="480" w:lineRule="auto"/>
    </w:pPr>
  </w:style>
  <w:style w:type="character" w:customStyle="1" w:styleId="Corpodetexto2Char">
    <w:name w:val="Corpo de texto 2 Char"/>
    <w:basedOn w:val="Fontepargpadro"/>
    <w:link w:val="Corpodetexto2"/>
    <w:uiPriority w:val="99"/>
    <w:semiHidden/>
    <w:locked/>
    <w:rsid w:val="0084635E"/>
    <w:rPr>
      <w:rFonts w:eastAsiaTheme="minorEastAsia" w:cs="Times New Roman"/>
      <w:sz w:val="24"/>
      <w:szCs w:val="24"/>
    </w:rPr>
  </w:style>
  <w:style w:type="paragraph" w:styleId="Recuodecorpodetexto3">
    <w:name w:val="Body Text Indent 3"/>
    <w:basedOn w:val="Normal"/>
    <w:link w:val="Recuodecorpodetexto3Char"/>
    <w:uiPriority w:val="99"/>
    <w:semiHidden/>
    <w:unhideWhenUsed/>
    <w:rsid w:val="0084635E"/>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84635E"/>
    <w:rPr>
      <w:rFonts w:eastAsiaTheme="minorEastAsia" w:cs="Times New Roman"/>
      <w:sz w:val="16"/>
      <w:szCs w:val="16"/>
    </w:rPr>
  </w:style>
  <w:style w:type="paragraph" w:styleId="Corpodetexto3">
    <w:name w:val="Body Text 3"/>
    <w:basedOn w:val="Normal"/>
    <w:link w:val="Corpodetexto3Char"/>
    <w:uiPriority w:val="99"/>
    <w:semiHidden/>
    <w:unhideWhenUsed/>
    <w:rsid w:val="0084635E"/>
    <w:pPr>
      <w:spacing w:after="120"/>
    </w:pPr>
    <w:rPr>
      <w:sz w:val="16"/>
      <w:szCs w:val="16"/>
    </w:rPr>
  </w:style>
  <w:style w:type="character" w:customStyle="1" w:styleId="Corpodetexto3Char">
    <w:name w:val="Corpo de texto 3 Char"/>
    <w:basedOn w:val="Fontepargpadro"/>
    <w:link w:val="Corpodetexto3"/>
    <w:uiPriority w:val="99"/>
    <w:semiHidden/>
    <w:locked/>
    <w:rsid w:val="0084635E"/>
    <w:rPr>
      <w:rFonts w:eastAsiaTheme="minorEastAsia" w:cs="Times New Roman"/>
      <w:sz w:val="16"/>
      <w:szCs w:val="16"/>
    </w:rPr>
  </w:style>
  <w:style w:type="paragraph" w:styleId="Ttulo">
    <w:name w:val="Title"/>
    <w:basedOn w:val="Normal"/>
    <w:link w:val="TtuloChar"/>
    <w:uiPriority w:val="99"/>
    <w:qFormat/>
    <w:rsid w:val="0084635E"/>
    <w:pPr>
      <w:spacing w:before="0" w:beforeAutospacing="0" w:after="0" w:afterAutospacing="0"/>
      <w:jc w:val="center"/>
    </w:pPr>
    <w:rPr>
      <w:rFonts w:ascii="Arial" w:hAnsi="Arial" w:cs="Arial"/>
      <w:b/>
      <w:bCs/>
      <w:lang w:eastAsia="en-US"/>
    </w:rPr>
  </w:style>
  <w:style w:type="character" w:customStyle="1" w:styleId="TtuloChar">
    <w:name w:val="Título Char"/>
    <w:basedOn w:val="Fontepargpadro"/>
    <w:link w:val="Ttulo"/>
    <w:uiPriority w:val="99"/>
    <w:locked/>
    <w:rsid w:val="0084635E"/>
    <w:rPr>
      <w:rFonts w:ascii="Arial" w:eastAsiaTheme="minorEastAsia" w:hAnsi="Arial" w:cs="Arial"/>
      <w:b/>
      <w:bCs/>
      <w:sz w:val="24"/>
      <w:szCs w:val="24"/>
      <w:lang w:val="x-none" w:eastAsia="en-US"/>
    </w:rPr>
  </w:style>
  <w:style w:type="paragraph" w:styleId="Cabealho">
    <w:name w:val="header"/>
    <w:basedOn w:val="Normal"/>
    <w:link w:val="CabealhoChar"/>
    <w:uiPriority w:val="99"/>
    <w:rsid w:val="004833A6"/>
    <w:pPr>
      <w:tabs>
        <w:tab w:val="center" w:pos="4252"/>
        <w:tab w:val="right" w:pos="8504"/>
      </w:tabs>
      <w:spacing w:before="0" w:after="0"/>
    </w:pPr>
  </w:style>
  <w:style w:type="character" w:customStyle="1" w:styleId="CabealhoChar">
    <w:name w:val="Cabeçalho Char"/>
    <w:basedOn w:val="Fontepargpadro"/>
    <w:link w:val="Cabealho"/>
    <w:uiPriority w:val="99"/>
    <w:locked/>
    <w:rsid w:val="004833A6"/>
    <w:rPr>
      <w:rFonts w:eastAsiaTheme="minorEastAsia" w:cs="Times New Roman"/>
      <w:sz w:val="24"/>
      <w:szCs w:val="24"/>
    </w:rPr>
  </w:style>
  <w:style w:type="paragraph" w:styleId="Rodap">
    <w:name w:val="footer"/>
    <w:basedOn w:val="Normal"/>
    <w:link w:val="RodapChar"/>
    <w:uiPriority w:val="99"/>
    <w:rsid w:val="004833A6"/>
    <w:pPr>
      <w:tabs>
        <w:tab w:val="center" w:pos="4252"/>
        <w:tab w:val="right" w:pos="8504"/>
      </w:tabs>
      <w:spacing w:before="0" w:after="0"/>
    </w:pPr>
  </w:style>
  <w:style w:type="character" w:customStyle="1" w:styleId="RodapChar">
    <w:name w:val="Rodapé Char"/>
    <w:basedOn w:val="Fontepargpadro"/>
    <w:link w:val="Rodap"/>
    <w:uiPriority w:val="99"/>
    <w:locked/>
    <w:rsid w:val="004833A6"/>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337484">
      <w:marLeft w:val="150"/>
      <w:marRight w:val="150"/>
      <w:marTop w:val="150"/>
      <w:marBottom w:val="0"/>
      <w:divBdr>
        <w:top w:val="none" w:sz="0" w:space="0" w:color="auto"/>
        <w:left w:val="none" w:sz="0" w:space="0" w:color="auto"/>
        <w:bottom w:val="none" w:sz="0" w:space="0" w:color="auto"/>
        <w:right w:val="none" w:sz="0" w:space="0" w:color="auto"/>
      </w:divBdr>
      <w:divsChild>
        <w:div w:id="471337483">
          <w:marLeft w:val="0"/>
          <w:marRight w:val="0"/>
          <w:marTop w:val="0"/>
          <w:marBottom w:val="0"/>
          <w:divBdr>
            <w:top w:val="none" w:sz="0" w:space="0" w:color="auto"/>
            <w:left w:val="none" w:sz="0" w:space="0" w:color="auto"/>
            <w:bottom w:val="none" w:sz="0" w:space="0" w:color="auto"/>
            <w:right w:val="none" w:sz="0" w:space="0" w:color="auto"/>
          </w:divBdr>
          <w:divsChild>
            <w:div w:id="471337482">
              <w:marLeft w:val="0"/>
              <w:marRight w:val="0"/>
              <w:marTop w:val="75"/>
              <w:marBottom w:val="300"/>
              <w:divBdr>
                <w:top w:val="none" w:sz="0" w:space="0" w:color="auto"/>
                <w:left w:val="none" w:sz="0" w:space="0" w:color="auto"/>
                <w:bottom w:val="none" w:sz="0" w:space="0" w:color="auto"/>
                <w:right w:val="none" w:sz="0" w:space="0" w:color="auto"/>
              </w:divBdr>
            </w:div>
            <w:div w:id="471337485">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1903</Words>
  <Characters>10281</Characters>
  <Application>Microsoft Office Word</Application>
  <DocSecurity>0</DocSecurity>
  <Lines>85</Lines>
  <Paragraphs>24</Paragraphs>
  <ScaleCrop>false</ScaleCrop>
  <Company>ANVISA</Company>
  <LinksUpToDate>false</LinksUpToDate>
  <CharactersWithSpaces>12160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2012-05-16T13:46:00Z</cp:lastPrinted>
  <dcterms:created xsi:type="dcterms:W3CDTF">2018-11-27T16:38:00Z</dcterms:created>
  <dcterms:modified xsi:type="dcterms:W3CDTF">2018-11-27T16:38:00Z</dcterms:modified>
</cp:coreProperties>
</file>