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A86" w:rsidRPr="00BD1A86" w:rsidRDefault="00FA1E9B" w:rsidP="00BD1A86">
      <w:pPr>
        <w:pStyle w:val="Default"/>
        <w:spacing w:after="200"/>
        <w:ind w:left="-567" w:right="-568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  <w:r w:rsidRPr="00BD1A86">
        <w:rPr>
          <w:rFonts w:ascii="Times New Roman" w:hAnsi="Times New Roman" w:cs="Times New Roman"/>
          <w:b/>
          <w:bCs/>
          <w:sz w:val="23"/>
          <w:szCs w:val="23"/>
        </w:rPr>
        <w:t>RESOLUÇÃO</w:t>
      </w:r>
      <w:r w:rsidR="00BD1A86">
        <w:rPr>
          <w:rFonts w:ascii="Times New Roman" w:hAnsi="Times New Roman" w:cs="Times New Roman"/>
          <w:b/>
          <w:bCs/>
          <w:sz w:val="23"/>
          <w:szCs w:val="23"/>
        </w:rPr>
        <w:t xml:space="preserve"> DA DIRETORIA COLEGIADA – RDC Nº</w:t>
      </w:r>
      <w:r w:rsidRPr="00BD1A86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FC20FE">
        <w:rPr>
          <w:rFonts w:ascii="Times New Roman" w:hAnsi="Times New Roman" w:cs="Times New Roman"/>
          <w:b/>
          <w:bCs/>
          <w:sz w:val="23"/>
          <w:szCs w:val="23"/>
        </w:rPr>
        <w:t>195</w:t>
      </w:r>
      <w:r w:rsidRPr="00BD1A86">
        <w:rPr>
          <w:rFonts w:ascii="Times New Roman" w:hAnsi="Times New Roman" w:cs="Times New Roman"/>
          <w:b/>
          <w:bCs/>
          <w:sz w:val="23"/>
          <w:szCs w:val="23"/>
        </w:rPr>
        <w:t xml:space="preserve">, DE </w:t>
      </w:r>
      <w:r w:rsidR="00A3697A" w:rsidRPr="00BD1A86">
        <w:rPr>
          <w:rFonts w:ascii="Times New Roman" w:hAnsi="Times New Roman" w:cs="Times New Roman"/>
          <w:b/>
          <w:bCs/>
          <w:sz w:val="23"/>
          <w:szCs w:val="23"/>
        </w:rPr>
        <w:t>1</w:t>
      </w:r>
      <w:r w:rsidR="00FC20FE">
        <w:rPr>
          <w:rFonts w:ascii="Times New Roman" w:hAnsi="Times New Roman" w:cs="Times New Roman"/>
          <w:b/>
          <w:bCs/>
          <w:sz w:val="23"/>
          <w:szCs w:val="23"/>
        </w:rPr>
        <w:t>4</w:t>
      </w:r>
      <w:r w:rsidR="00A3697A" w:rsidRPr="00BD1A86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BD1A86">
        <w:rPr>
          <w:rFonts w:ascii="Times New Roman" w:hAnsi="Times New Roman" w:cs="Times New Roman"/>
          <w:b/>
          <w:bCs/>
          <w:sz w:val="23"/>
          <w:szCs w:val="23"/>
        </w:rPr>
        <w:t xml:space="preserve">DE </w:t>
      </w:r>
      <w:r w:rsidR="001037AA" w:rsidRPr="00BD1A86">
        <w:rPr>
          <w:rFonts w:ascii="Times New Roman" w:hAnsi="Times New Roman" w:cs="Times New Roman"/>
          <w:b/>
          <w:bCs/>
          <w:sz w:val="23"/>
          <w:szCs w:val="23"/>
        </w:rPr>
        <w:t>DEZEMBRO</w:t>
      </w:r>
      <w:r w:rsidRPr="00BD1A86">
        <w:rPr>
          <w:rFonts w:ascii="Times New Roman" w:hAnsi="Times New Roman" w:cs="Times New Roman"/>
          <w:b/>
          <w:bCs/>
          <w:sz w:val="23"/>
          <w:szCs w:val="23"/>
        </w:rPr>
        <w:t xml:space="preserve"> DE 201</w:t>
      </w:r>
      <w:r w:rsidR="000F7209" w:rsidRPr="00BD1A86">
        <w:rPr>
          <w:rFonts w:ascii="Times New Roman" w:hAnsi="Times New Roman" w:cs="Times New Roman"/>
          <w:b/>
          <w:bCs/>
          <w:sz w:val="23"/>
          <w:szCs w:val="23"/>
        </w:rPr>
        <w:t>7</w:t>
      </w:r>
    </w:p>
    <w:p w:rsidR="00BD1A86" w:rsidRDefault="00FC20FE" w:rsidP="00BD1A86">
      <w:pPr>
        <w:pStyle w:val="Default"/>
        <w:spacing w:after="200"/>
        <w:jc w:val="center"/>
        <w:rPr>
          <w:rFonts w:ascii="Times New Roman" w:hAnsi="Times New Roman" w:cs="Times New Roman"/>
          <w:b/>
          <w:bCs/>
          <w:color w:val="0000FF"/>
        </w:rPr>
      </w:pPr>
      <w:r>
        <w:rPr>
          <w:rFonts w:ascii="Times New Roman" w:hAnsi="Times New Roman" w:cs="Times New Roman"/>
          <w:b/>
          <w:bCs/>
          <w:color w:val="0000FF"/>
        </w:rPr>
        <w:t>(Publicada no DOU nº 240</w:t>
      </w:r>
      <w:r w:rsidR="00BD1A86" w:rsidRPr="00BD1A86">
        <w:rPr>
          <w:rFonts w:ascii="Times New Roman" w:hAnsi="Times New Roman" w:cs="Times New Roman"/>
          <w:b/>
          <w:bCs/>
          <w:color w:val="0000FF"/>
        </w:rPr>
        <w:t>, de 1</w:t>
      </w:r>
      <w:r>
        <w:rPr>
          <w:rFonts w:ascii="Times New Roman" w:hAnsi="Times New Roman" w:cs="Times New Roman"/>
          <w:b/>
          <w:bCs/>
          <w:color w:val="0000FF"/>
        </w:rPr>
        <w:t>5</w:t>
      </w:r>
      <w:r w:rsidR="00BD1A86" w:rsidRPr="00BD1A86">
        <w:rPr>
          <w:rFonts w:ascii="Times New Roman" w:hAnsi="Times New Roman" w:cs="Times New Roman"/>
          <w:b/>
          <w:bCs/>
          <w:color w:val="0000FF"/>
        </w:rPr>
        <w:t xml:space="preserve"> de dezembro de 2017)</w:t>
      </w:r>
    </w:p>
    <w:p w:rsidR="00F0230F" w:rsidRDefault="00FC20FE" w:rsidP="00FC20FE">
      <w:pPr>
        <w:spacing w:after="200" w:line="240" w:lineRule="auto"/>
        <w:ind w:left="3969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Dispõe sobre embalagens e advertências sanitárias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para 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do tabaco.</w:t>
      </w:r>
    </w:p>
    <w:p w:rsidR="00F0230F" w:rsidRPr="00F0230F" w:rsidRDefault="00F0230F" w:rsidP="00F0230F">
      <w:pPr>
        <w:pStyle w:val="Default"/>
        <w:spacing w:after="200"/>
        <w:rPr>
          <w:rFonts w:ascii="Times New Roman" w:hAnsi="Times New Roman" w:cs="Times New Roman"/>
          <w:bCs/>
          <w:i/>
          <w:color w:val="0000FF"/>
        </w:rPr>
      </w:pPr>
      <w:r w:rsidRPr="00F0230F">
        <w:rPr>
          <w:rFonts w:ascii="Times New Roman" w:hAnsi="Times New Roman" w:cs="Times New Roman"/>
          <w:bCs/>
          <w:i/>
          <w:color w:val="0000FF"/>
        </w:rPr>
        <w:t>Observação: Vide Resolução – RDC nº 213, de 23 de janeiro de 2018.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FC20FE">
        <w:rPr>
          <w:rFonts w:ascii="Times New Roman" w:hAnsi="Times New Roman" w:cs="Times New Roman"/>
          <w:sz w:val="24"/>
          <w:szCs w:val="24"/>
        </w:rPr>
        <w:t>A Diretoria Colegiada da Agência Nacional de Vigilância Sanitária,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no uso das atribuições que lhe conferem o art. 15, III e IV aliado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ao art. 7º, III, e IV, da Lei nº 9.782, de 26 de janeiro de 1999, o art. 53, V,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§§ 1º e 3º do Regimento Interno aprovado nos termos do Anexo I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Resolução da Diretoria Colegiada - RDC nº 61, de 3 de fevereiro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2016, resolve adotar a seguinte Resolução da Diretoria Colegiada, conforme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deliberado em reunião realizada em 31 de outubro de 2017, e eu,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Diretor-Presidente, determino a sua publicação.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CAPÍTULO I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DAS DISPOSIÇÕES INICIAIS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1º Ficam estabelecidos os requisitos para as embalagens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todos os 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 comercializados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país.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2º As embalagens primárias e secundárias dos produtos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 deverão conter todas as advertências sanitárias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sobre os riscos decorrentes do uso desses produtos, estabelecidas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pela Lei nº 9.294/96 e pelo Decreto nº 2.018/96, e suas alterações, conforme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disposto nesta Resolução.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Art. 3º Esta Resolução se aplica a todos os 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derivados do tabaco comercializados em território nacional, de fabricação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nacional e importados.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4º Para efeitos desta Resolução entende-se por: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I. advertência sanitária frontal: conjunto gráfico contendo mensagem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advertências sanitárias escritas, acompanhada do Selo Disque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Saúde do Ministério da Saúde, impresso na face frontal externa das embalagens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de 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tabaco, conforme disposto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no anexo II desta Resolução;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II. advertência sanitária lateral: conjunto gráfico contendo mensagens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advertências sanitárias escritas, impresso em uma das faces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laterais externas das embalagens de 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tabaco, conforme disposto no anexo III desta Resolução;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III. advertência sanitária padrão: conjunto gráfico contendo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mensagens de advertências sanitárias escritas, acompanhadas de imagem,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impresso na face posterior externa das embalagens de produtos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tabaco, conforme disposto no anexo I desta Resolução;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lastRenderedPageBreak/>
        <w:t>IV. embalagem: invólucro, recipiente ou qualquer forma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acondicionamento destinada a conter os 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do tabaco, possuindo a seguinte classificação: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a) embalagem primária: embalagem que acondiciona o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 do tabaco, destinada ao consumidor final;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b) embalagem secundária: embalagem externa do produto e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acondiciona mais de uma embalagem primária, destinada ou não ao consumidor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final;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c) embalagem terciária: embalagem externa do produto,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acondiciona mais de uma embalagem, não destinada ao consumidor final.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V. embalagem padrão: embalagem primária ou secundária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 contendo 06 (seis) faces;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VI. produto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>: produto manufaturado, derivado ou não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do tabaco, que contenha folhas ou extratos de folhas ou outras partes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plantas em sua composição;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VII. produto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 do tabaco: qualquer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manufaturado que contenha tabaco em sua composição;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VIII. identidade visual: conjunto de elementos gráficos que representam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visualmente e de forma sistematizada o produto, como imagens,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textos, tipografias, padrões cromáticos e a disposição de elementos;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IX. nome do produto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>: nome, acompanhado ou não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qualquer descritor, como palavra, número ou cor da embalagem, aposto 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embalagem do produto, que será reconhecido como forma de distinguir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produto de outros da mesma natureza;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X. face ou vista frontal: a maior face externa da embalagem,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onde está contido o nome do produto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>;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XI. face ou vista posterior: a maior face externa da embalagem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oposta à face ou vista frontal.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CAPÍTULO II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DAS EMBALAGENS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Seção I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Das Disposições Gerais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5º As embalagens primárias e secundárias de todos os produtos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 destinados à comercialização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mercado nacional devem apresentar, obrigatoriamente, as seguintes informações: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I. nome do produto;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lastRenderedPageBreak/>
        <w:t>II. dados do fabricante: nome do fabricante, CNPJ, contato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fabricante, origem do produto;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III. dados do importador, quando aplicável: nome do importador,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CNPJ, contato do importador, origem do produto;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IV. tipo do produto;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V. data de fabricação;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VI. número do lote;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VII. quantidade de produto na embalagem;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VIII. ingredientes: tipo de tabaco ou, quando for utilizado mais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um tipo de tabaco, o termo "mistura de tabacos", e todas as categorias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dos aditivos utilizados na fabricação do produto.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Parágrafo único. Os incisos II a VIII devem estar obrigatoriamente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no idioma português, podendo ser acompanhadas de informações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em outro idioma.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6º É vedada a utilização de dispositivos sonoros, palavras,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símbolos, desenhos ou imagens nas embalagens primárias e secundárias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dos 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 que possam: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I. induzir diretamente o consumo;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II. sugerir o consumo exagerado ou irresponsável;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III. induzir o consumo em locais ou situações perigosas ou ilegais;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IV. sugerir ou induzir bem-estar ou saúde;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V. criar falsa impressão de que uma marca seja menos prejudicial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à saúde do que outra;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VI. atribuir aos produtos propriedades calmantes ou estimulantes,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que reduzam a fadiga ou tensão ou produzam efeito similar;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VII. insinuar o aumento de virilidade masculina ou feminina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associar ideia ou imagem de maior êxito na sexualidade das pessoas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fumantes;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VIII. associar o uso do produto a atividades culturais ou esportivas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ou a celebrações cívicas ou religiosas;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IX. conduzir a conclusões errôneas quanto às características e 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composição do produto e quanto aos riscos à saúde inerentes ao seu uso.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Seção II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Das advertências sanitárias e mensagens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lastRenderedPageBreak/>
        <w:t>Art. 7º As embalagens primárias e secundárias de todos os produtos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 devem conter advertências sanitárias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sobre os malefícios decorrentes do uso desses produtos e a mensagem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proibição da venda a menor de dezoito anos, conforme disposto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nesta Resolução.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§</w:t>
      </w:r>
      <w:r w:rsidRPr="00FC20FE">
        <w:rPr>
          <w:rFonts w:ascii="Times New Roman" w:hAnsi="Times New Roman" w:cs="Times New Roman"/>
          <w:sz w:val="24"/>
          <w:szCs w:val="24"/>
        </w:rPr>
        <w:t>1º Todas as advertências sanitárias e a mensagem de proibição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da venda a menor de dezoito anos devem ser impressas na parte externa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da embalagem, em alta resolução, de forma legível e ostensivamente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destacadas, conforme os modelos dos Anexos desta Resolução, disponíveis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no portal eletrônico da Anvisa, sem alteração da proporcionalidade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entre os seus elementos, bem como dos seus parâmetros gráficos.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§2º Excepcionalmente, para os 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do tabaco que não sejam cigarro, a impressão das advertências sanitárias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 da mensagem de proibição da venda a menor de 18 anos poderá 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substituída por adesivo, desde que sejam observadas todas as determinações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contidas nesta Resolução.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§3º A aplicação de adesivo, conforme previsto no §2º deste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artigo, não pode ser inserida na parte externa do invólucro que envolve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embalagem, devendo-se ainda garantir a integridade das cores e do material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com o qual o adesivo for confeccionado, de modo a impedir que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adesivo seja retirado parcial ou totalmente.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8º Nas embalagens padrão em que a face superior possuir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área maior do que as demais faces, a face superior será considerada como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 face frontal.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9º A advertência sanitária padrão deve ocupar, obrigatoriamente,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100% (cem por cento) da área da face posterior externa, e 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impressa conforme modelos do Anexo I desta Resolução, disponibilizados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no portal eletrônico da Anvisa.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 1º Se a face posterior externa da embalagem tiver proporções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diferentes dos modelos do Anexo I desta Resolução, a advertência sanitária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padrão deverá ser ampliada ou reduzida até ocupar a maior área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possível da face, sem alteração da proporcionalidade entre os seus elementos,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bem como dos seus parâmetros gráficos.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§2º Nos casos de necessidade de redução, as advertências sanitárias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padrão somente podem ser reduzidas até atingir a proporção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65% (sessenta e cinco por cento) do tamanho dos modelos do Anexo 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desta Resolução, a fim de manter sua legibilidade.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§3º A área da face posterior externa que não for ocupada pela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advertência sanitária padrão deverá ser preenchida com a cor PANTONE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448C ou sua correspondente na escala CMYK, ficando proibida qualquer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outra impressão ou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adesivagem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nesta área.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§4º As advertências sanitárias padrão devem ser sequencialmente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usadas de forma simultânea ou rotativa e, nesta última hipótese,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devem variar no máximo a cada 05 (cinco) meses.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§5º A empresa fabricante ou importadora deve manter registros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dos processos de embalagem e distribuição, que comprovem a opção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pela simultaneidade ou rotatividade das advertências sanitárias.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B15FB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lastRenderedPageBreak/>
        <w:t>Art. 10 A advertência sanitária frontal deve ocupar, no mínimo,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30% (trinta por cento) da altura da parte inferior da face frontal externa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toda extensão da largura desta face, contendo 03 (três) elementos: 02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(duas) frases "ESTE PRODUTO CAUSA CÂNCER" e "PARE DE FUMAR"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com letras pretas (escala PANTONE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Black C ou correspondente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na escala CMYK), em negrito, caixa alta, fonte Arial, espaçamento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simples e o Selo Disque Saúde do Ministério da Saúde, todos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impressos em fundo amarelo (escala PANTONE 116C ou sua correspondente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na escala CMYK), conforme modelo do Anexo II desta Resolução,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disponibilizado no portal eletrônico da Anvisa.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§1º No caso de embalagens com dimensões que necessitem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 altura da advertência frontal seja menor do que o modelo do Anexo 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desta Resolução, os 03 (três) elementos deverão ser aumentados sem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alterar a proporção entre si e a disposição entre estes elementos deverá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ser alterada para ocupar o tamanho máximo da área da advertência frontal,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forma a garantir a sua legibilidade.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§2º A advertência frontal não poderá ocupar menos que 30%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(trinta por cento) da altura da área da face frontal,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do tamanho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da embalagem.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11 A advertência sanitária lateral deve ocupar, obrigatoriamente,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75% (setenta e cinco por cento) da área de uma das maiores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laterais, deve conter 02 (dois) elementos: a frase "Perigo: Produto Tóxico"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em letras vermelhas (escala PANTONE 485C ou correspondente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na escala CMYK), em negrito, caixa alta, fonte Arial, e a frase sobre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malefícios causados pelo tabaco com letras brancas, em negrito, fonte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Arial, todos impressos sobre fundo preto (escala PANTONE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Black C ou correspondente na escala CMYK), conforme modelos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Anexo III desta Resolução, disponibilizados no portal eletrônico da Anvisa.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 1º Se a maior face lateral externa tiver proporções diferentes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dos modelos do Anexo III desta Resolução, os 02 (dois) elementos deverão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ser aumentados sem alterar a proporção entre si e a disposição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entre estes elementos deverá ser alterada para ocupar o tamanho máximo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da área da advertência lateral, de forma a garantir a sua legibilidade.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§2º A advertência lateral não poderá ocupar menos que 75%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(setenta e cinco por cento) da área de uma das maiores faces laterais,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do tamanho da embalagem.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§3º Cada advertência sanitária lateral deve ser usada de forma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vinculada à advertência sanitária padrão correspondente, conforme consta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no Anexo III, obedecendo à mesma simultaneidade e rotatividade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advertência padrão.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12 A mensagem de proibição de venda a menor de dezoito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anos - "Venda proibida a menor de 18 anos" - deve ocupar, obrigatoriamente,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25% (vinte e cinco por cento) da área da mesma face ocupada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pela advertência sanitária lateral, e ser impressa com letras brancas, 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negrito, fonte Arial, sobre fundo vermelho (escala PANTONE 485C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correspondente na escala CMYK), conforme modelo do Anexo IV desta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Resolução, disponível no portal eletrônico da Anvisa.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lastRenderedPageBreak/>
        <w:t>§1º Se a face lateral externa da embalagem padrão tiver proporções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diferentes dos modelos do Anexo IV desta Resolução, a mensagem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proibição de venda a menor de dezoito anos deverá ser ampliada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ou reduzida até ocupar 25% (vinte e cinco por cento) da área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mesma face ocupada pela advertência sanitária lateral.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§2º Se a maior face lateral externa tiver proporções diferentes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dos modelos do Anexo IV desta Resolução, o texto deverá ser aumentado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sem alterar a proporção entre si e a disposição entre as palavras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deverá ser alterada para ocupar o tamanho máximo da área desta mensagem,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forma a garantir a sua legibilidade.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§3º A mensagem prevista no caput não poderá ocupar menos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que 25% (vinte e cinco por cento) da área da mesma face ocupada pela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advertência sanitária lateral,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do tamanho da embalagem.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Seção III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Das exceções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13 Nas embalagens primárias e secundárias, que possuam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menos de 06 (seis) faces, devem ser impressas: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I - </w:t>
      </w:r>
      <w:proofErr w:type="gramStart"/>
      <w:r w:rsidRPr="00FC20F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C20FE">
        <w:rPr>
          <w:rFonts w:ascii="Times New Roman" w:hAnsi="Times New Roman" w:cs="Times New Roman"/>
          <w:sz w:val="24"/>
          <w:szCs w:val="24"/>
        </w:rPr>
        <w:t xml:space="preserve"> advertência sanitária padrão, conforme modelo do Anexo 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desta Resolução, que ocupará, no mínimo, 60% (sessenta por cento)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área da face ou vista posterior externa da embalagem;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II - </w:t>
      </w:r>
      <w:proofErr w:type="gramStart"/>
      <w:r w:rsidRPr="00FC20F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C20FE">
        <w:rPr>
          <w:rFonts w:ascii="Times New Roman" w:hAnsi="Times New Roman" w:cs="Times New Roman"/>
          <w:sz w:val="24"/>
          <w:szCs w:val="24"/>
        </w:rPr>
        <w:t xml:space="preserve"> advertência sanitária frontal, conforme modelo do Anexo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II desta Resolução, que ocupará, no mínimo, 30% (trinta por cento)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altura da parte inferior da face ou vista frontal externa e toda extensão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largura desta face ou vista;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III - a advertência sanitária lateral, conforme modelo do Anexo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III desta Resolução, que ocupará, no mínimo, 20% (vinte por cento)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área da face ou vista posterior externa da embalagem;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IV - </w:t>
      </w:r>
      <w:proofErr w:type="gramStart"/>
      <w:r w:rsidRPr="00FC20F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C20FE">
        <w:rPr>
          <w:rFonts w:ascii="Times New Roman" w:hAnsi="Times New Roman" w:cs="Times New Roman"/>
          <w:sz w:val="24"/>
          <w:szCs w:val="24"/>
        </w:rPr>
        <w:t xml:space="preserve"> mensagem de proibição de venda a menor de dezoito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anos, conforme modelo do Anexo IV desta Resolução, que ocupará,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mínimo, 10% (dez por cento) da face ou vista posterior externa da embalagem.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§1º Para o cumprimento do disposto no inciso I, se a face posterior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externa da embalagem tiver proporções diferentes dos modelos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Anexo I desta Resolução, a advertência sanitária padrão deverá ser ampliada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ou reduzida sem alteração da proporcionalidade entre os seus elementos,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bem como dos seus parâmetros gráficos.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§2º Nos casos em que o modelo disponibilizado no Anexo 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desta Resolução inviabilizar a ocupação de 60% (sessenta por cento)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face posterior externa da embalagem, a advertência sanitária padrão deverá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ser reduzida e o restante desta área destinada a esta advertência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deverá ser preenchido com a cor PANTONE 448C ou sua correspondente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na escala CMYK, ficando proibida qualquer outra impressão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adesivagem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nesta área.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lastRenderedPageBreak/>
        <w:t>§3º Para o cumprimento do disposto no inciso III, nos casos 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que o modelo disponibilizado no Anexo III desta Resolução, inviabilizar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 ocupação de 20% (vinte por cento) da face posterior externa da embalagem,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os 02 (dois) elementos da advertência sanitária lateral: a frase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"Perigo: Produto Tóxico" e a frase sobre os malefícios causados pelo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tabaco deverão ser aumentados sem alterar a proporção entre si e a disposição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entre estes elementos deverá ser alterada para ocupar o tamanho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máximo da área da advertência lateral, de forma a garantir a sua legibilidade.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§4º Para o cumprimento do disposto no inciso IV, a mensagem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proibição de venda a menor de dezoito anos deverá ser ampliada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reduzida até ocupar 10% (dez por cento) da área da face posterior externa.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§5º A disposição das palavras contidas na mensagem de proibição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venda a menor de dezoito anos poderá ser ajustada para ocupar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o tamanho máximo da área desta advertência, desde que seja mantida sua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legibilidade.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§6º As embalagens com menos de seis faces devem atender ao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disposto no caput dos Art. 9, Art. 11 e art. 12, excetuando-se as porcentagens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ocupação e as faces onde deverão ser impressas, que estão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previstas nos incisos I, III e IV deste artigo.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§7º As embalagens com menos de seis faces também devem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atender ao disposto no §§ 2º, 4º e 5º do art. 9º, no art. 10, § 3º do art. 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 §2º do art. 12.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Seção IV</w:t>
      </w:r>
    </w:p>
    <w:p w:rsidR="00FC20FE" w:rsidRPr="00FC20FE" w:rsidRDefault="00FC20FE" w:rsidP="00FC20F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0FE">
        <w:rPr>
          <w:rFonts w:ascii="Times New Roman" w:hAnsi="Times New Roman" w:cs="Times New Roman"/>
          <w:b/>
          <w:sz w:val="24"/>
          <w:szCs w:val="24"/>
        </w:rPr>
        <w:t>Das proibições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14 Fica proibido o uso de qualquer tipo de invólucro, dispositivo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ou qualquer recurso que encubra, impeça, ou dificulte a visualização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das advertências sanitárias e da mensagem de venda proibida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menor de dezoito anos nas embalagens dos produtos mencionados nesta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Resolução.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§1º O selo de controle da Secretaria da Receita Federal do Brasil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SRFBr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>, ou qualquer outro selo, não poderá ser sobreposto às advertências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sanitárias e mensagem de venda proibida a menor de dezoito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anos.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F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§2º Não poderá haver redução ou alteração dos parâmetros gráficos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das advertências sanitárias e da mensagem de venda proibida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menor de dezoito anos para aposição do selo de controle da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SRFBr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qualquer outro selo.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§3º Nas embalagens do tipo maço, o selo indicado no §1º poderá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se sobrepor apenas à área de cor amarela (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Pantone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116C ou correspondente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na escala CMYK) da advertência sanitária padrão, sem cobrir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o texto ou a imagem.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Art. 15 Quanto às embalagens, mencionadas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nesta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Resolução,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fica proibido seccionar de qualquer forma, total ou parcial, as advertências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sanitárias e a mensagem de venda proibida a menor de dezoito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anos, ainda que seja somente durante o ato de abertura da embalagem.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lastRenderedPageBreak/>
        <w:t>Parágrafo único. Excepcionalmente, no caso da advertência sanitária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lateral e da mensagem de proibição de venda a menor de 18 anos,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estas poderão ser fracionadas entre os dois lados da abertura da embalagem,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desde que as palavras não sejam seccionadas por dobras ou por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cortes de abertura da embalagem.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Art. 16 Quanto às embalagens de cigarro, mencionadas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nesta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Resolução, fica proibida a impressão dos teores de alcatrão, nicotina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monóxido de carbono, presentes na corrente primária, secundária ou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tabaco total.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Art. 17 Quanto às embalagens secundárias, mencionadas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nesta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Resolução, fica proibida: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I- </w:t>
      </w:r>
      <w:proofErr w:type="gramStart"/>
      <w:r w:rsidRPr="00FC20F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C20FE">
        <w:rPr>
          <w:rFonts w:ascii="Times New Roman" w:hAnsi="Times New Roman" w:cs="Times New Roman"/>
          <w:sz w:val="24"/>
          <w:szCs w:val="24"/>
        </w:rPr>
        <w:t xml:space="preserve"> utilização de embalagem secundária que contenha uma única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embalagem primária;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 xml:space="preserve">II - </w:t>
      </w:r>
      <w:proofErr w:type="gramStart"/>
      <w:r w:rsidRPr="00FC20F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C20FE">
        <w:rPr>
          <w:rFonts w:ascii="Times New Roman" w:hAnsi="Times New Roman" w:cs="Times New Roman"/>
          <w:sz w:val="24"/>
          <w:szCs w:val="24"/>
        </w:rPr>
        <w:t xml:space="preserve"> utilização de embalagem secundária que não tenha a mesma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identidade visual da embalagem primária.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Pr="00CA112E" w:rsidRDefault="00FC20FE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CAPÍTULO III</w:t>
      </w:r>
    </w:p>
    <w:p w:rsidR="00CA112E" w:rsidRPr="00CA112E" w:rsidRDefault="00FC20FE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DAS DISPOSIÇÕES FINAIS E TRANSITÓRIAS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18 Os dispositivos previstos nesta norma cumprem o disposto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na Convenção-Quadro da Organização Mundial da Saúde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Controle do Tabaco, adotada pelos países membros da Organização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Mundial da Saúde em 21 de maio de 2003 e assinada pelo Brasil em 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junho de 2003, promulgada pelo Decreto nº 5.658, de 02 de janeiro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2006, e observam as Diretrizes para sua implementação, aprovadas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Conferência das Partes.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19 Fica permitido que as empresas fabricantes e importadoras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disponibilizem ao comércio varejista embalagens de produtos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 em conformidade com as determinações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contidas nesta Resolução, mesmo antes de sua entrada em vigor.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20 Após a entrada em vigor da presente Resolução, as embalagens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 xml:space="preserve">de produtos </w:t>
      </w:r>
      <w:proofErr w:type="spellStart"/>
      <w:r w:rsidRPr="00FC20FE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FC20FE">
        <w:rPr>
          <w:rFonts w:ascii="Times New Roman" w:hAnsi="Times New Roman" w:cs="Times New Roman"/>
          <w:sz w:val="24"/>
          <w:szCs w:val="24"/>
        </w:rPr>
        <w:t xml:space="preserve"> derivados do tabaco, que não estiverem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acordo com esta Resolução, não poderão ser produzidas, distribuídas,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expostas à venda ou comercializadas e deverão ser recolhidas pela empresa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detentora do registro.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21 Ficam revogadas as Resoluções da Diretoria Colegiada RDC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nº 335, de 21 de novembro de 2003; RDC nº 168, de 07 de julho de 2004;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RDC nº 10, de 15 de fevereiro de 2007; RDC nº 30, de 23 de maio de 2013;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RDC nº 43, de 03 de setembro de 2013 e RDC nº 14, 10 de abril de 2015.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Art. 22 O não cumprimento desta Resolução constitui infração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sanitária, sujeitando os infratores às penalidades das Leis nº 9.294, de 02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de julho de 1996, e nº 6.437, de 20 de agosto de 1977, e demais sanções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aplicáveis, sem prejuízo das responsabilidades civil, administrativa e penal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cabíveis.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FC20FE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lastRenderedPageBreak/>
        <w:t>Art. 23 Esta Resolução entra em vigor em 25 de maio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2018.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112E" w:rsidRDefault="00FC20F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JARBAS BARBOSA DA SILVA JR.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112E" w:rsidRPr="00CA112E" w:rsidRDefault="00FC20FE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ANEXO I</w:t>
      </w:r>
    </w:p>
    <w:p w:rsidR="00CA112E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ADVERTÊNCIA SANITÁRIA PADRÃO</w:t>
      </w:r>
    </w:p>
    <w:p w:rsidR="00197F94" w:rsidRPr="00197F94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97F94">
        <w:rPr>
          <w:rFonts w:ascii="Times New Roman" w:hAnsi="Times New Roman" w:cs="Times New Roman"/>
          <w:b/>
          <w:color w:val="0000FF"/>
          <w:sz w:val="24"/>
          <w:szCs w:val="24"/>
        </w:rPr>
        <w:t>(Republicado no DOU nº 241, de 18 de dezembro de 2017)</w:t>
      </w:r>
    </w:p>
    <w:p w:rsidR="00197F94" w:rsidRP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97F94">
        <w:rPr>
          <w:rFonts w:ascii="Times New Roman" w:hAnsi="Times New Roman" w:cs="Times New Roman"/>
          <w:b/>
          <w:color w:val="0000FF"/>
          <w:sz w:val="24"/>
          <w:szCs w:val="24"/>
        </w:rPr>
        <w:t>(Republicado no DOU nº 242, de 19 de dezembro de 2017)</w:t>
      </w:r>
    </w:p>
    <w:p w:rsidR="00FC20FE" w:rsidRDefault="00FC20FE" w:rsidP="00197F94">
      <w:pPr>
        <w:spacing w:after="20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"VOCÊ ENVELHECE. ESTE PRODUTO CAUSA ENVELHECIMENTO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PRECOCE"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40360" cy="3800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248" cy="381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>
      <w:pPr>
        <w:spacing w:after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lastRenderedPageBreak/>
        <w:t>"VOCÊ SOFRE. ESTE PRODUTO CAUSA PERDA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BEBÊ E PARTO PREMATURO"</w:t>
      </w:r>
    </w:p>
    <w:p w:rsidR="00CA112E" w:rsidRDefault="00CA112E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47487" cy="336232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31" cy="33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MORRE. ESTE PRODUTO CAUSA ENFISEMA,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CÂNCER DE PULMÃO E MORTE"</w:t>
      </w:r>
    </w:p>
    <w:p w:rsidR="00CA112E" w:rsidRDefault="00CA112E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97947" cy="3437816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86" cy="345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lastRenderedPageBreak/>
        <w:t>"VOCÊ BROCHA. ESTE PRODUTO CAUSA IMPOTÊNCIA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SEXUAL"</w: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36676" cy="3657600"/>
            <wp:effectExtent l="0" t="0" r="190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47" cy="368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ADOECE. ESTE PRODUTO CAUSA TROMBOSE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E GANGRENA"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21259" cy="377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29" cy="38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12E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lastRenderedPageBreak/>
        <w:t>"VOCÊ SOFRE. ESTE PRODUTO CAUSA CÂNCER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BOCA, LÍNGUA E ESÔFAGO"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2E0570" wp14:editId="7C936895">
            <wp:extent cx="2279320" cy="340995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177" cy="34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ADOECE. ESTE PRODUTO CAUSA CEGUEIRA"</w:t>
      </w:r>
    </w:p>
    <w:p w:rsidR="00197F94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16793" cy="3627755"/>
            <wp:effectExtent l="0" t="0" r="317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522" cy="364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lastRenderedPageBreak/>
        <w:t>"VOCÊ PREJUDICA A SAÚDE ATÉ DE QUEM NÃO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FUMA, AO CONSUMIR ESTE PRODUTO"</w:t>
      </w:r>
    </w:p>
    <w:p w:rsidR="00CA112E" w:rsidRDefault="00CA112E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64718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254" cy="324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"VOCE INFARTA. ESTE PRODUTO CAUSA INFARTO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OUTRAS DOENÇAS DO CORAÇÃO"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52604" cy="322037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945" cy="325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12E" w:rsidRDefault="00CA112E">
      <w:pPr>
        <w:spacing w:after="200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A112E" w:rsidRP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lastRenderedPageBreak/>
        <w:t>ANEXO II</w:t>
      </w:r>
    </w:p>
    <w:p w:rsidR="00CA112E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ADVERTÊNCIA SANITÁRIA FRONTAL</w:t>
      </w:r>
    </w:p>
    <w:p w:rsidR="00197F94" w:rsidRP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97F94">
        <w:rPr>
          <w:rFonts w:ascii="Times New Roman" w:hAnsi="Times New Roman" w:cs="Times New Roman"/>
          <w:b/>
          <w:color w:val="0000FF"/>
          <w:sz w:val="24"/>
          <w:szCs w:val="24"/>
        </w:rPr>
        <w:t>(Republicado no DOU nº 241, de 18 de dezembro de 2017)</w:t>
      </w:r>
    </w:p>
    <w:p w:rsidR="00197F94" w:rsidRP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97F94">
        <w:rPr>
          <w:rFonts w:ascii="Times New Roman" w:hAnsi="Times New Roman" w:cs="Times New Roman"/>
          <w:b/>
          <w:color w:val="0000FF"/>
          <w:sz w:val="24"/>
          <w:szCs w:val="24"/>
        </w:rPr>
        <w:t>(Republicado no DOU nº 242, de 19 de dezembro de 2017)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79664" cy="138322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61" cy="138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12E" w:rsidRPr="00CA112E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ANEXO III</w:t>
      </w:r>
    </w:p>
    <w:p w:rsidR="00CA112E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ADVERTÊNCIA SANITÁRIA LATERAL</w:t>
      </w:r>
    </w:p>
    <w:p w:rsidR="00197F94" w:rsidRP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97F94">
        <w:rPr>
          <w:rFonts w:ascii="Times New Roman" w:hAnsi="Times New Roman" w:cs="Times New Roman"/>
          <w:b/>
          <w:color w:val="0000FF"/>
          <w:sz w:val="24"/>
          <w:szCs w:val="24"/>
        </w:rPr>
        <w:t>(Republicado no DOU nº 241, de 18 de dezembro de 2017)</w:t>
      </w:r>
    </w:p>
    <w:p w:rsidR="00197F94" w:rsidRP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97F94">
        <w:rPr>
          <w:rFonts w:ascii="Times New Roman" w:hAnsi="Times New Roman" w:cs="Times New Roman"/>
          <w:b/>
          <w:color w:val="0000FF"/>
          <w:sz w:val="24"/>
          <w:szCs w:val="24"/>
        </w:rPr>
        <w:t>(Republicado no DOU nº 242, de 19 de dezembro de 2017)</w: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ENVELHECE. ESTE PROD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197F94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CAUSA ENVELHECIMENTO PRECOCE"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18671" cy="127319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657" cy="127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SOFRE. ESTE PRODUT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197F94">
        <w:rPr>
          <w:rFonts w:ascii="Times New Roman" w:hAnsi="Times New Roman" w:cs="Times New Roman"/>
          <w:sz w:val="24"/>
          <w:szCs w:val="24"/>
        </w:rPr>
        <w:t>CAUSA PERDA DO BEBÊ E PARTO PREMATURO"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09146" cy="1269650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146" cy="126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lastRenderedPageBreak/>
        <w:t>Advertência sanitária lateral para ser usada em conjunto advertência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sanitária padrão "VOCÊ MORRE. ESTE PRODUTO CAUSA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ENFISEMA, CÂNCER DE PULMÃO E MORTE"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08045" cy="12692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537" cy="128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BROCHA. ESTE PRODU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97F94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CAUSA IMPOTÊNCIA SEXUAL"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87572" cy="12616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99" cy="128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ADOECE. ESTE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CAUSA TROMBOSE E GANGRENA"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67938" cy="129154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285" cy="130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SOFRE. ESTE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CAUSA CÂNCER DE BOCA, LÍNGUA E ESÔFAGO"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523446" cy="131221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84" cy="13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lastRenderedPageBreak/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ADOECE. ESTE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CAUSA CEGUEIRA"</w:t>
      </w:r>
    </w:p>
    <w:p w:rsidR="00CA112E" w:rsidRDefault="00CA112E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523446" cy="131221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963" cy="131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PREJUDICA A SAÚDE ATÉ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DE QUEM NÃO FUMA, AO CONSUMIR ESTE PRODUTO"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37721" cy="128029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35" cy="129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 xml:space="preserve">a advertência sanitária padrão "VOCE INFARTA. ESTE PRODUTOCAUSA INFARTO E </w:t>
      </w:r>
      <w:proofErr w:type="gramStart"/>
      <w:r w:rsidRPr="00197F94">
        <w:rPr>
          <w:rFonts w:ascii="Times New Roman" w:hAnsi="Times New Roman" w:cs="Times New Roman"/>
          <w:sz w:val="24"/>
          <w:szCs w:val="24"/>
        </w:rPr>
        <w:t xml:space="preserve">OUTRAS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DOENÇAS</w:t>
      </w:r>
      <w:proofErr w:type="gramEnd"/>
      <w:r w:rsidRPr="00197F94">
        <w:rPr>
          <w:rFonts w:ascii="Times New Roman" w:hAnsi="Times New Roman" w:cs="Times New Roman"/>
          <w:sz w:val="24"/>
          <w:szCs w:val="24"/>
        </w:rPr>
        <w:t xml:space="preserve"> DO CORAÇÃO"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513921" cy="13086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35" cy="131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12E" w:rsidRDefault="00CA112E">
      <w:pPr>
        <w:spacing w:after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112E" w:rsidRP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lastRenderedPageBreak/>
        <w:t>ANEXO IV</w:t>
      </w:r>
    </w:p>
    <w:p w:rsidR="00CA112E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MENSAGEM DE PROIBIÇÃO DE VENDA A MENOR DE DEZOITO ANOS</w:t>
      </w:r>
    </w:p>
    <w:p w:rsidR="00197F94" w:rsidRP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97F94">
        <w:rPr>
          <w:rFonts w:ascii="Times New Roman" w:hAnsi="Times New Roman" w:cs="Times New Roman"/>
          <w:b/>
          <w:color w:val="0000FF"/>
          <w:sz w:val="24"/>
          <w:szCs w:val="24"/>
        </w:rPr>
        <w:t>(Republicado no DOU nº 241, de 18 de dezembro de 2017)</w:t>
      </w:r>
    </w:p>
    <w:p w:rsidR="00197F94" w:rsidRP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97F94">
        <w:rPr>
          <w:rFonts w:ascii="Times New Roman" w:hAnsi="Times New Roman" w:cs="Times New Roman"/>
          <w:b/>
          <w:color w:val="0000FF"/>
          <w:sz w:val="24"/>
          <w:szCs w:val="24"/>
        </w:rPr>
        <w:t>(Republicado no DOU nº 242, de 19 de dezembro de 2017)</w:t>
      </w:r>
    </w:p>
    <w:p w:rsidR="00CA112E" w:rsidRPr="00BD1A86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1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599239" cy="26865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28" cy="269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112E" w:rsidRPr="00BD1A86" w:rsidSect="00BD1A86">
      <w:headerReference w:type="default" r:id="rId28"/>
      <w:footerReference w:type="default" r:id="rId29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7DF7" w:rsidRDefault="00817DF7" w:rsidP="00BD1A86">
      <w:pPr>
        <w:spacing w:line="240" w:lineRule="auto"/>
      </w:pPr>
      <w:r>
        <w:separator/>
      </w:r>
    </w:p>
  </w:endnote>
  <w:endnote w:type="continuationSeparator" w:id="0">
    <w:p w:rsidR="00817DF7" w:rsidRDefault="00817DF7" w:rsidP="00BD1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1A86" w:rsidRPr="00BD1A86" w:rsidRDefault="00BD1A86" w:rsidP="00BD1A86">
    <w:pPr>
      <w:tabs>
        <w:tab w:val="center" w:pos="4252"/>
        <w:tab w:val="right" w:pos="8504"/>
      </w:tabs>
      <w:spacing w:line="240" w:lineRule="auto"/>
      <w:jc w:val="center"/>
      <w:rPr>
        <w:rFonts w:ascii="Calibri" w:hAnsi="Calibri" w:cs="Times New Roman"/>
        <w:sz w:val="22"/>
        <w:szCs w:val="22"/>
      </w:rPr>
    </w:pPr>
    <w:r w:rsidRPr="00BD1A86">
      <w:rPr>
        <w:rFonts w:ascii="Calibri" w:hAnsi="Calibri" w:cs="Times New Roman"/>
        <w:color w:val="943634"/>
        <w:sz w:val="22"/>
        <w:szCs w:val="22"/>
      </w:rPr>
      <w:t>Este texto não substitui o(s) publicado(s) em Diário Oficial da União.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7DF7" w:rsidRDefault="00817DF7" w:rsidP="00BD1A86">
      <w:pPr>
        <w:spacing w:line="240" w:lineRule="auto"/>
      </w:pPr>
      <w:r>
        <w:separator/>
      </w:r>
    </w:p>
  </w:footnote>
  <w:footnote w:type="continuationSeparator" w:id="0">
    <w:p w:rsidR="00817DF7" w:rsidRDefault="00817DF7" w:rsidP="00BD1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1A86" w:rsidRPr="00B517AC" w:rsidRDefault="00817DF7" w:rsidP="00BD1A86">
    <w:pPr>
      <w:tabs>
        <w:tab w:val="center" w:pos="4252"/>
        <w:tab w:val="right" w:pos="8504"/>
      </w:tabs>
      <w:spacing w:line="240" w:lineRule="auto"/>
      <w:jc w:val="center"/>
      <w:rPr>
        <w:rFonts w:ascii="Calibri" w:hAnsi="Calibri" w:cs="Times New Roman"/>
      </w:rPr>
    </w:pPr>
    <w:r w:rsidRPr="00817DF7">
      <w:rPr>
        <w:rFonts w:ascii="Calibri" w:hAnsi="Calibri" w:cs="Times New Roman"/>
        <w:noProof/>
        <w:lang w:eastAsia="pt-BR"/>
      </w:rPr>
      <w:drawing>
        <wp:inline distT="0" distB="0" distL="0" distR="0">
          <wp:extent cx="657225" cy="647700"/>
          <wp:effectExtent l="0" t="0" r="0" b="0"/>
          <wp:docPr id="2" name="Imagem 1" descr="Descrição: Brasão da Repúbl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Brasão da Repúbl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72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D1A86" w:rsidRPr="00B517AC" w:rsidRDefault="00BD1A86" w:rsidP="00BD1A86">
    <w:pPr>
      <w:tabs>
        <w:tab w:val="center" w:pos="4252"/>
        <w:tab w:val="right" w:pos="8504"/>
      </w:tabs>
      <w:spacing w:line="240" w:lineRule="auto"/>
      <w:jc w:val="center"/>
      <w:rPr>
        <w:rFonts w:ascii="Calibri" w:hAnsi="Calibri" w:cs="Times New Roman"/>
        <w:b/>
        <w:sz w:val="24"/>
      </w:rPr>
    </w:pPr>
    <w:r w:rsidRPr="00B517AC">
      <w:rPr>
        <w:rFonts w:ascii="Calibri" w:hAnsi="Calibri" w:cs="Times New Roman"/>
        <w:b/>
        <w:sz w:val="24"/>
      </w:rPr>
      <w:t>Ministério da Saúde - MS</w:t>
    </w:r>
  </w:p>
  <w:p w:rsidR="00BD1A86" w:rsidRPr="00B517AC" w:rsidRDefault="00BD1A86" w:rsidP="00BD1A86">
    <w:pPr>
      <w:tabs>
        <w:tab w:val="center" w:pos="4252"/>
        <w:tab w:val="right" w:pos="8504"/>
      </w:tabs>
      <w:spacing w:line="240" w:lineRule="auto"/>
      <w:jc w:val="center"/>
      <w:rPr>
        <w:rFonts w:ascii="Calibri" w:hAnsi="Calibri" w:cs="Times New Roman"/>
        <w:b/>
        <w:sz w:val="24"/>
      </w:rPr>
    </w:pPr>
    <w:r w:rsidRPr="00B517AC">
      <w:rPr>
        <w:rFonts w:ascii="Calibri" w:hAnsi="Calibri" w:cs="Times New Roman"/>
        <w:b/>
        <w:sz w:val="24"/>
      </w:rPr>
      <w:t>Agência Nacional de Vigilância Sanitária - ANVISA</w:t>
    </w:r>
  </w:p>
  <w:p w:rsidR="00BD1A86" w:rsidRDefault="00BD1A8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AE68489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B67668"/>
    <w:multiLevelType w:val="hybridMultilevel"/>
    <w:tmpl w:val="06EABC0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378C38DC"/>
    <w:multiLevelType w:val="hybridMultilevel"/>
    <w:tmpl w:val="AA4E1D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416179ED"/>
    <w:multiLevelType w:val="hybridMultilevel"/>
    <w:tmpl w:val="5196595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639F"/>
    <w:rsid w:val="000018DD"/>
    <w:rsid w:val="00011BAC"/>
    <w:rsid w:val="00017BD7"/>
    <w:rsid w:val="00021CA2"/>
    <w:rsid w:val="000265FA"/>
    <w:rsid w:val="00030C1D"/>
    <w:rsid w:val="00032200"/>
    <w:rsid w:val="00037399"/>
    <w:rsid w:val="00040C0F"/>
    <w:rsid w:val="0004184A"/>
    <w:rsid w:val="00043A74"/>
    <w:rsid w:val="00044CE8"/>
    <w:rsid w:val="00046F94"/>
    <w:rsid w:val="000572FF"/>
    <w:rsid w:val="00057798"/>
    <w:rsid w:val="00062266"/>
    <w:rsid w:val="00062E47"/>
    <w:rsid w:val="00065C39"/>
    <w:rsid w:val="000706E3"/>
    <w:rsid w:val="0007178D"/>
    <w:rsid w:val="00080684"/>
    <w:rsid w:val="00094475"/>
    <w:rsid w:val="00094E03"/>
    <w:rsid w:val="000A3C6E"/>
    <w:rsid w:val="000A7E86"/>
    <w:rsid w:val="000C1D5D"/>
    <w:rsid w:val="000C48A1"/>
    <w:rsid w:val="000C741C"/>
    <w:rsid w:val="000D0F09"/>
    <w:rsid w:val="000D252C"/>
    <w:rsid w:val="000D4831"/>
    <w:rsid w:val="000E4427"/>
    <w:rsid w:val="000F27B3"/>
    <w:rsid w:val="000F7209"/>
    <w:rsid w:val="001020FF"/>
    <w:rsid w:val="00102689"/>
    <w:rsid w:val="001034F7"/>
    <w:rsid w:val="001037AA"/>
    <w:rsid w:val="00104459"/>
    <w:rsid w:val="001112A6"/>
    <w:rsid w:val="0012454B"/>
    <w:rsid w:val="00127F53"/>
    <w:rsid w:val="00131148"/>
    <w:rsid w:val="00132D3D"/>
    <w:rsid w:val="001364B0"/>
    <w:rsid w:val="00137791"/>
    <w:rsid w:val="00142C6A"/>
    <w:rsid w:val="00143726"/>
    <w:rsid w:val="00150C14"/>
    <w:rsid w:val="00155F8C"/>
    <w:rsid w:val="00180924"/>
    <w:rsid w:val="00184E3B"/>
    <w:rsid w:val="001861EA"/>
    <w:rsid w:val="00186700"/>
    <w:rsid w:val="0018677F"/>
    <w:rsid w:val="0019650F"/>
    <w:rsid w:val="001977D8"/>
    <w:rsid w:val="00197F94"/>
    <w:rsid w:val="001A639D"/>
    <w:rsid w:val="001B6B9E"/>
    <w:rsid w:val="001C17E5"/>
    <w:rsid w:val="001C4E72"/>
    <w:rsid w:val="001C4F32"/>
    <w:rsid w:val="001D08B1"/>
    <w:rsid w:val="001E2744"/>
    <w:rsid w:val="001E348F"/>
    <w:rsid w:val="001F5CF4"/>
    <w:rsid w:val="00201600"/>
    <w:rsid w:val="002064E5"/>
    <w:rsid w:val="0021300E"/>
    <w:rsid w:val="002160EA"/>
    <w:rsid w:val="00220392"/>
    <w:rsid w:val="0022062D"/>
    <w:rsid w:val="00223101"/>
    <w:rsid w:val="0022395D"/>
    <w:rsid w:val="002278E1"/>
    <w:rsid w:val="002315B8"/>
    <w:rsid w:val="00231608"/>
    <w:rsid w:val="0025174A"/>
    <w:rsid w:val="00253524"/>
    <w:rsid w:val="00260791"/>
    <w:rsid w:val="002640BE"/>
    <w:rsid w:val="00271902"/>
    <w:rsid w:val="00271DD7"/>
    <w:rsid w:val="002721E0"/>
    <w:rsid w:val="0027575E"/>
    <w:rsid w:val="00276D39"/>
    <w:rsid w:val="00281FA2"/>
    <w:rsid w:val="00282B9B"/>
    <w:rsid w:val="00284FFF"/>
    <w:rsid w:val="002876AC"/>
    <w:rsid w:val="002910A9"/>
    <w:rsid w:val="0029167C"/>
    <w:rsid w:val="00293245"/>
    <w:rsid w:val="002A1771"/>
    <w:rsid w:val="002A3B55"/>
    <w:rsid w:val="002B165B"/>
    <w:rsid w:val="002B36B4"/>
    <w:rsid w:val="002B6F80"/>
    <w:rsid w:val="002C1B94"/>
    <w:rsid w:val="002C302B"/>
    <w:rsid w:val="002C7E54"/>
    <w:rsid w:val="002D4F04"/>
    <w:rsid w:val="002D50FE"/>
    <w:rsid w:val="002D7719"/>
    <w:rsid w:val="002E5189"/>
    <w:rsid w:val="002F1F39"/>
    <w:rsid w:val="002F5A14"/>
    <w:rsid w:val="003002C7"/>
    <w:rsid w:val="003028F8"/>
    <w:rsid w:val="00304B9E"/>
    <w:rsid w:val="00306CF0"/>
    <w:rsid w:val="00312DD9"/>
    <w:rsid w:val="00312DE2"/>
    <w:rsid w:val="0031566E"/>
    <w:rsid w:val="00325F95"/>
    <w:rsid w:val="00326E36"/>
    <w:rsid w:val="0033146F"/>
    <w:rsid w:val="0033321C"/>
    <w:rsid w:val="003504B5"/>
    <w:rsid w:val="00355B69"/>
    <w:rsid w:val="00357C52"/>
    <w:rsid w:val="003666C0"/>
    <w:rsid w:val="00372DF4"/>
    <w:rsid w:val="00374D2D"/>
    <w:rsid w:val="003856AC"/>
    <w:rsid w:val="003A0137"/>
    <w:rsid w:val="003A05B6"/>
    <w:rsid w:val="003A70E3"/>
    <w:rsid w:val="003B6693"/>
    <w:rsid w:val="003B7D59"/>
    <w:rsid w:val="003C154B"/>
    <w:rsid w:val="003F1209"/>
    <w:rsid w:val="003F4340"/>
    <w:rsid w:val="00412852"/>
    <w:rsid w:val="004136F5"/>
    <w:rsid w:val="00416000"/>
    <w:rsid w:val="00420B1E"/>
    <w:rsid w:val="00425002"/>
    <w:rsid w:val="004258CF"/>
    <w:rsid w:val="0043039B"/>
    <w:rsid w:val="004340AE"/>
    <w:rsid w:val="00434B32"/>
    <w:rsid w:val="00442457"/>
    <w:rsid w:val="00445BFC"/>
    <w:rsid w:val="00450785"/>
    <w:rsid w:val="00450C23"/>
    <w:rsid w:val="00450DC2"/>
    <w:rsid w:val="00450F0E"/>
    <w:rsid w:val="0046409C"/>
    <w:rsid w:val="0046530D"/>
    <w:rsid w:val="0046730F"/>
    <w:rsid w:val="00470DB3"/>
    <w:rsid w:val="004742A6"/>
    <w:rsid w:val="004760C1"/>
    <w:rsid w:val="004772AF"/>
    <w:rsid w:val="00480508"/>
    <w:rsid w:val="00481814"/>
    <w:rsid w:val="004823A7"/>
    <w:rsid w:val="00485038"/>
    <w:rsid w:val="004858D8"/>
    <w:rsid w:val="004927B3"/>
    <w:rsid w:val="004A2B8E"/>
    <w:rsid w:val="004A31F3"/>
    <w:rsid w:val="004A6C98"/>
    <w:rsid w:val="004B1BA5"/>
    <w:rsid w:val="004B3F39"/>
    <w:rsid w:val="004B5F27"/>
    <w:rsid w:val="004B6BE1"/>
    <w:rsid w:val="004C60A6"/>
    <w:rsid w:val="004C7C97"/>
    <w:rsid w:val="004D7448"/>
    <w:rsid w:val="004F0C25"/>
    <w:rsid w:val="004F35F1"/>
    <w:rsid w:val="00512526"/>
    <w:rsid w:val="00516BFD"/>
    <w:rsid w:val="00517B4E"/>
    <w:rsid w:val="00524710"/>
    <w:rsid w:val="00526624"/>
    <w:rsid w:val="00531B8A"/>
    <w:rsid w:val="005342E3"/>
    <w:rsid w:val="0054639F"/>
    <w:rsid w:val="00553C6E"/>
    <w:rsid w:val="00560024"/>
    <w:rsid w:val="00570B7A"/>
    <w:rsid w:val="0059277C"/>
    <w:rsid w:val="005A7D11"/>
    <w:rsid w:val="005C2F05"/>
    <w:rsid w:val="005D3273"/>
    <w:rsid w:val="006026C3"/>
    <w:rsid w:val="0060619C"/>
    <w:rsid w:val="00610391"/>
    <w:rsid w:val="00616D65"/>
    <w:rsid w:val="0063221C"/>
    <w:rsid w:val="00636519"/>
    <w:rsid w:val="00645D55"/>
    <w:rsid w:val="00646BCF"/>
    <w:rsid w:val="00653ADA"/>
    <w:rsid w:val="006660FC"/>
    <w:rsid w:val="006676F8"/>
    <w:rsid w:val="006716C6"/>
    <w:rsid w:val="006750B8"/>
    <w:rsid w:val="00676EF8"/>
    <w:rsid w:val="0067715E"/>
    <w:rsid w:val="006807AC"/>
    <w:rsid w:val="006A0038"/>
    <w:rsid w:val="006A1953"/>
    <w:rsid w:val="006A4E6C"/>
    <w:rsid w:val="006B0B34"/>
    <w:rsid w:val="006B78B7"/>
    <w:rsid w:val="006C0FA7"/>
    <w:rsid w:val="006C0FEA"/>
    <w:rsid w:val="006C1537"/>
    <w:rsid w:val="006C17F4"/>
    <w:rsid w:val="006C2EF5"/>
    <w:rsid w:val="006C4707"/>
    <w:rsid w:val="006C5608"/>
    <w:rsid w:val="006D3EF2"/>
    <w:rsid w:val="006D5073"/>
    <w:rsid w:val="006D7A01"/>
    <w:rsid w:val="006D7C25"/>
    <w:rsid w:val="006E318B"/>
    <w:rsid w:val="006E31BF"/>
    <w:rsid w:val="006E3FD8"/>
    <w:rsid w:val="006F0ACA"/>
    <w:rsid w:val="006F4551"/>
    <w:rsid w:val="006F55DA"/>
    <w:rsid w:val="006F7E53"/>
    <w:rsid w:val="007008B7"/>
    <w:rsid w:val="00702CDE"/>
    <w:rsid w:val="007035E4"/>
    <w:rsid w:val="00706608"/>
    <w:rsid w:val="00712606"/>
    <w:rsid w:val="00715D83"/>
    <w:rsid w:val="00717F98"/>
    <w:rsid w:val="00721B03"/>
    <w:rsid w:val="00726645"/>
    <w:rsid w:val="007307FF"/>
    <w:rsid w:val="0073694C"/>
    <w:rsid w:val="00740F1E"/>
    <w:rsid w:val="007440C0"/>
    <w:rsid w:val="007448DD"/>
    <w:rsid w:val="00755CC6"/>
    <w:rsid w:val="00760259"/>
    <w:rsid w:val="00761E96"/>
    <w:rsid w:val="00762DEA"/>
    <w:rsid w:val="0076750B"/>
    <w:rsid w:val="0078120F"/>
    <w:rsid w:val="00784258"/>
    <w:rsid w:val="00785205"/>
    <w:rsid w:val="007858C2"/>
    <w:rsid w:val="007935E5"/>
    <w:rsid w:val="00793F8B"/>
    <w:rsid w:val="00794585"/>
    <w:rsid w:val="00796E17"/>
    <w:rsid w:val="007B06BE"/>
    <w:rsid w:val="007B5BF0"/>
    <w:rsid w:val="007C080D"/>
    <w:rsid w:val="007C0F6D"/>
    <w:rsid w:val="007C4039"/>
    <w:rsid w:val="007D0179"/>
    <w:rsid w:val="007D0C55"/>
    <w:rsid w:val="007D15CA"/>
    <w:rsid w:val="007D54C0"/>
    <w:rsid w:val="007E62FA"/>
    <w:rsid w:val="007F11D6"/>
    <w:rsid w:val="007F1725"/>
    <w:rsid w:val="007F1F9E"/>
    <w:rsid w:val="007F2054"/>
    <w:rsid w:val="007F5DA1"/>
    <w:rsid w:val="007F66DB"/>
    <w:rsid w:val="0080039B"/>
    <w:rsid w:val="0080127F"/>
    <w:rsid w:val="00801C6F"/>
    <w:rsid w:val="00801EB9"/>
    <w:rsid w:val="00803E29"/>
    <w:rsid w:val="008112A2"/>
    <w:rsid w:val="008131B6"/>
    <w:rsid w:val="008140C1"/>
    <w:rsid w:val="00814A24"/>
    <w:rsid w:val="008158EE"/>
    <w:rsid w:val="00817DF7"/>
    <w:rsid w:val="00822B4D"/>
    <w:rsid w:val="00823F5F"/>
    <w:rsid w:val="00824E55"/>
    <w:rsid w:val="008442CF"/>
    <w:rsid w:val="00854F3C"/>
    <w:rsid w:val="00857A48"/>
    <w:rsid w:val="008611C7"/>
    <w:rsid w:val="00863681"/>
    <w:rsid w:val="00872178"/>
    <w:rsid w:val="008777DC"/>
    <w:rsid w:val="00877AB9"/>
    <w:rsid w:val="00884E70"/>
    <w:rsid w:val="00894556"/>
    <w:rsid w:val="008968C1"/>
    <w:rsid w:val="008A03D2"/>
    <w:rsid w:val="008A3B77"/>
    <w:rsid w:val="008A769E"/>
    <w:rsid w:val="008B0D61"/>
    <w:rsid w:val="008B1C00"/>
    <w:rsid w:val="008B749E"/>
    <w:rsid w:val="008C0755"/>
    <w:rsid w:val="008C6D75"/>
    <w:rsid w:val="008D620A"/>
    <w:rsid w:val="008E22FB"/>
    <w:rsid w:val="008E3535"/>
    <w:rsid w:val="00900BEB"/>
    <w:rsid w:val="009010D4"/>
    <w:rsid w:val="00910D18"/>
    <w:rsid w:val="00914C06"/>
    <w:rsid w:val="0091749B"/>
    <w:rsid w:val="00920302"/>
    <w:rsid w:val="00932E87"/>
    <w:rsid w:val="0093624F"/>
    <w:rsid w:val="00936966"/>
    <w:rsid w:val="009377E1"/>
    <w:rsid w:val="009423EC"/>
    <w:rsid w:val="0094331F"/>
    <w:rsid w:val="00945694"/>
    <w:rsid w:val="00951C2A"/>
    <w:rsid w:val="0096279B"/>
    <w:rsid w:val="00962ADD"/>
    <w:rsid w:val="00962E4A"/>
    <w:rsid w:val="009660EC"/>
    <w:rsid w:val="00967307"/>
    <w:rsid w:val="00967E94"/>
    <w:rsid w:val="0097472D"/>
    <w:rsid w:val="00981A5D"/>
    <w:rsid w:val="009902DD"/>
    <w:rsid w:val="009906B5"/>
    <w:rsid w:val="0099070A"/>
    <w:rsid w:val="00992370"/>
    <w:rsid w:val="0099472F"/>
    <w:rsid w:val="0099632D"/>
    <w:rsid w:val="009A0553"/>
    <w:rsid w:val="009A29BE"/>
    <w:rsid w:val="009A6923"/>
    <w:rsid w:val="009B0484"/>
    <w:rsid w:val="009B5A2A"/>
    <w:rsid w:val="009B6D01"/>
    <w:rsid w:val="009B6E28"/>
    <w:rsid w:val="009B7371"/>
    <w:rsid w:val="009D659C"/>
    <w:rsid w:val="009E4017"/>
    <w:rsid w:val="009E7E47"/>
    <w:rsid w:val="009F132A"/>
    <w:rsid w:val="009F3140"/>
    <w:rsid w:val="009F6F4B"/>
    <w:rsid w:val="00A0182B"/>
    <w:rsid w:val="00A01F26"/>
    <w:rsid w:val="00A04C3A"/>
    <w:rsid w:val="00A10BE9"/>
    <w:rsid w:val="00A12DA1"/>
    <w:rsid w:val="00A20A47"/>
    <w:rsid w:val="00A24788"/>
    <w:rsid w:val="00A275F6"/>
    <w:rsid w:val="00A310E9"/>
    <w:rsid w:val="00A32173"/>
    <w:rsid w:val="00A3697A"/>
    <w:rsid w:val="00A429EA"/>
    <w:rsid w:val="00A43F33"/>
    <w:rsid w:val="00A56A68"/>
    <w:rsid w:val="00A57776"/>
    <w:rsid w:val="00A637F7"/>
    <w:rsid w:val="00A75FA7"/>
    <w:rsid w:val="00A80398"/>
    <w:rsid w:val="00A81E90"/>
    <w:rsid w:val="00A82506"/>
    <w:rsid w:val="00A84B6E"/>
    <w:rsid w:val="00A85B77"/>
    <w:rsid w:val="00A85BF8"/>
    <w:rsid w:val="00A95AD6"/>
    <w:rsid w:val="00A9644D"/>
    <w:rsid w:val="00AA0113"/>
    <w:rsid w:val="00AA21A6"/>
    <w:rsid w:val="00AA2E71"/>
    <w:rsid w:val="00AA6D01"/>
    <w:rsid w:val="00AB31DD"/>
    <w:rsid w:val="00AC6F08"/>
    <w:rsid w:val="00AD0FCE"/>
    <w:rsid w:val="00AE4F59"/>
    <w:rsid w:val="00AE5F52"/>
    <w:rsid w:val="00AF1A28"/>
    <w:rsid w:val="00AF2A0D"/>
    <w:rsid w:val="00B026C7"/>
    <w:rsid w:val="00B044AA"/>
    <w:rsid w:val="00B072AE"/>
    <w:rsid w:val="00B11FA1"/>
    <w:rsid w:val="00B13E16"/>
    <w:rsid w:val="00B146F3"/>
    <w:rsid w:val="00B25FE4"/>
    <w:rsid w:val="00B32478"/>
    <w:rsid w:val="00B34644"/>
    <w:rsid w:val="00B4101C"/>
    <w:rsid w:val="00B4485D"/>
    <w:rsid w:val="00B511D6"/>
    <w:rsid w:val="00B517AC"/>
    <w:rsid w:val="00B62BF2"/>
    <w:rsid w:val="00B72F18"/>
    <w:rsid w:val="00B730BF"/>
    <w:rsid w:val="00B7371E"/>
    <w:rsid w:val="00B75060"/>
    <w:rsid w:val="00B84C13"/>
    <w:rsid w:val="00B921A1"/>
    <w:rsid w:val="00B9663B"/>
    <w:rsid w:val="00BA00B8"/>
    <w:rsid w:val="00BA1125"/>
    <w:rsid w:val="00BA1862"/>
    <w:rsid w:val="00BA3CA2"/>
    <w:rsid w:val="00BA5859"/>
    <w:rsid w:val="00BA7090"/>
    <w:rsid w:val="00BB18C9"/>
    <w:rsid w:val="00BC0AFC"/>
    <w:rsid w:val="00BC1E33"/>
    <w:rsid w:val="00BD1A86"/>
    <w:rsid w:val="00BD4B73"/>
    <w:rsid w:val="00BD6326"/>
    <w:rsid w:val="00BE4C14"/>
    <w:rsid w:val="00BF156E"/>
    <w:rsid w:val="00BF7386"/>
    <w:rsid w:val="00C02C9D"/>
    <w:rsid w:val="00C06C0A"/>
    <w:rsid w:val="00C1602F"/>
    <w:rsid w:val="00C1672F"/>
    <w:rsid w:val="00C24CD5"/>
    <w:rsid w:val="00C330F7"/>
    <w:rsid w:val="00C34D7C"/>
    <w:rsid w:val="00C4444B"/>
    <w:rsid w:val="00C45BD0"/>
    <w:rsid w:val="00C55E78"/>
    <w:rsid w:val="00C6018B"/>
    <w:rsid w:val="00C664D1"/>
    <w:rsid w:val="00C71E75"/>
    <w:rsid w:val="00C75F45"/>
    <w:rsid w:val="00C95342"/>
    <w:rsid w:val="00C97F63"/>
    <w:rsid w:val="00CA085D"/>
    <w:rsid w:val="00CA112E"/>
    <w:rsid w:val="00CA3602"/>
    <w:rsid w:val="00CA377F"/>
    <w:rsid w:val="00CB7516"/>
    <w:rsid w:val="00CC4641"/>
    <w:rsid w:val="00CD741C"/>
    <w:rsid w:val="00CE7623"/>
    <w:rsid w:val="00CF5D12"/>
    <w:rsid w:val="00D139F3"/>
    <w:rsid w:val="00D14FC6"/>
    <w:rsid w:val="00D208D3"/>
    <w:rsid w:val="00D20DC2"/>
    <w:rsid w:val="00D319F3"/>
    <w:rsid w:val="00D334A6"/>
    <w:rsid w:val="00D33816"/>
    <w:rsid w:val="00D41887"/>
    <w:rsid w:val="00D47A0D"/>
    <w:rsid w:val="00D51C6C"/>
    <w:rsid w:val="00D60CD0"/>
    <w:rsid w:val="00D646DF"/>
    <w:rsid w:val="00D70DC6"/>
    <w:rsid w:val="00D754BA"/>
    <w:rsid w:val="00D75FFA"/>
    <w:rsid w:val="00D80104"/>
    <w:rsid w:val="00D836B6"/>
    <w:rsid w:val="00D86B10"/>
    <w:rsid w:val="00D934AE"/>
    <w:rsid w:val="00D947A6"/>
    <w:rsid w:val="00DA2D9A"/>
    <w:rsid w:val="00DA48CD"/>
    <w:rsid w:val="00DB15FB"/>
    <w:rsid w:val="00DC3B3F"/>
    <w:rsid w:val="00DC42CB"/>
    <w:rsid w:val="00DD4A6B"/>
    <w:rsid w:val="00DD7655"/>
    <w:rsid w:val="00DD7F83"/>
    <w:rsid w:val="00DE14F2"/>
    <w:rsid w:val="00DE1C1A"/>
    <w:rsid w:val="00DE1EB6"/>
    <w:rsid w:val="00DE608F"/>
    <w:rsid w:val="00DF50B2"/>
    <w:rsid w:val="00DF722B"/>
    <w:rsid w:val="00E50F63"/>
    <w:rsid w:val="00E5376E"/>
    <w:rsid w:val="00E54D9E"/>
    <w:rsid w:val="00E555CD"/>
    <w:rsid w:val="00E616E9"/>
    <w:rsid w:val="00E61D80"/>
    <w:rsid w:val="00E63453"/>
    <w:rsid w:val="00E642F0"/>
    <w:rsid w:val="00E64FD3"/>
    <w:rsid w:val="00E73D9C"/>
    <w:rsid w:val="00E95F4F"/>
    <w:rsid w:val="00E97338"/>
    <w:rsid w:val="00EA7D24"/>
    <w:rsid w:val="00EC0C4F"/>
    <w:rsid w:val="00EC3C71"/>
    <w:rsid w:val="00EC4B51"/>
    <w:rsid w:val="00EC735A"/>
    <w:rsid w:val="00ED0B2A"/>
    <w:rsid w:val="00EE0628"/>
    <w:rsid w:val="00EE310F"/>
    <w:rsid w:val="00EF1973"/>
    <w:rsid w:val="00EF478C"/>
    <w:rsid w:val="00F0230F"/>
    <w:rsid w:val="00F033C1"/>
    <w:rsid w:val="00F11AE7"/>
    <w:rsid w:val="00F17EE1"/>
    <w:rsid w:val="00F20BAD"/>
    <w:rsid w:val="00F21FD8"/>
    <w:rsid w:val="00F22E80"/>
    <w:rsid w:val="00F26711"/>
    <w:rsid w:val="00F35F30"/>
    <w:rsid w:val="00F376CE"/>
    <w:rsid w:val="00F60770"/>
    <w:rsid w:val="00F61387"/>
    <w:rsid w:val="00F62554"/>
    <w:rsid w:val="00F6622A"/>
    <w:rsid w:val="00F767F7"/>
    <w:rsid w:val="00F80511"/>
    <w:rsid w:val="00F9080A"/>
    <w:rsid w:val="00F90C81"/>
    <w:rsid w:val="00F90DBF"/>
    <w:rsid w:val="00F9197A"/>
    <w:rsid w:val="00F93194"/>
    <w:rsid w:val="00F947CD"/>
    <w:rsid w:val="00FA172C"/>
    <w:rsid w:val="00FA1E9B"/>
    <w:rsid w:val="00FA1FFC"/>
    <w:rsid w:val="00FA4613"/>
    <w:rsid w:val="00FC20FE"/>
    <w:rsid w:val="00FC4A45"/>
    <w:rsid w:val="00FF11F8"/>
    <w:rsid w:val="00FF1746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45B68A"/>
  <w14:defaultImageDpi w14:val="0"/>
  <w15:docId w15:val="{05BFFA06-4770-4E14-969B-D203A059F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1FA1"/>
    <w:pPr>
      <w:spacing w:after="0"/>
      <w:jc w:val="both"/>
    </w:pPr>
    <w:rPr>
      <w:rFonts w:ascii="Arial" w:hAnsi="Arial" w:cs="Arial"/>
      <w:sz w:val="20"/>
      <w:szCs w:val="20"/>
    </w:rPr>
  </w:style>
  <w:style w:type="paragraph" w:styleId="Ttulo3">
    <w:name w:val="heading 3"/>
    <w:basedOn w:val="Normal"/>
    <w:next w:val="Normal"/>
    <w:link w:val="Ttulo3Char"/>
    <w:uiPriority w:val="99"/>
    <w:qFormat/>
    <w:rsid w:val="0054639F"/>
    <w:pPr>
      <w:keepNext/>
      <w:spacing w:before="240" w:after="60" w:line="240" w:lineRule="auto"/>
      <w:outlineLvl w:val="2"/>
    </w:pPr>
    <w:rPr>
      <w:rFonts w:ascii="Cambria" w:hAnsi="Cambria" w:cs="Cambria"/>
      <w:b/>
      <w:bCs/>
      <w:sz w:val="26"/>
      <w:szCs w:val="2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9"/>
    <w:locked/>
    <w:rsid w:val="0054639F"/>
    <w:rPr>
      <w:rFonts w:ascii="Cambria" w:hAnsi="Cambria" w:cs="Cambria"/>
      <w:b/>
      <w:bCs/>
      <w:sz w:val="26"/>
      <w:szCs w:val="26"/>
      <w:lang w:val="x-none" w:eastAsia="pt-BR"/>
    </w:rPr>
  </w:style>
  <w:style w:type="character" w:styleId="Hyperlink">
    <w:name w:val="Hyperlink"/>
    <w:basedOn w:val="Fontepargpadro"/>
    <w:uiPriority w:val="99"/>
    <w:unhideWhenUsed/>
    <w:rsid w:val="0054639F"/>
    <w:rPr>
      <w:rFonts w:cs="Times New Roman"/>
      <w:color w:val="0000FF"/>
      <w:u w:val="single"/>
    </w:rPr>
  </w:style>
  <w:style w:type="paragraph" w:customStyle="1" w:styleId="Default">
    <w:name w:val="Default"/>
    <w:rsid w:val="0054639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rsid w:val="0054639F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54639F"/>
    <w:pPr>
      <w:spacing w:line="240" w:lineRule="auto"/>
    </w:pPr>
    <w:rPr>
      <w:rFonts w:ascii="Times New Roman" w:hAnsi="Times New Roman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54639F"/>
    <w:rPr>
      <w:rFonts w:ascii="Times New Roman" w:hAnsi="Times New Roman" w:cs="Times New Roman"/>
      <w:sz w:val="20"/>
      <w:szCs w:val="20"/>
      <w:lang w:val="x-none"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54639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54639F"/>
    <w:rPr>
      <w:rFonts w:ascii="Times New Roman" w:hAnsi="Times New Roman" w:cs="Times New Roman"/>
      <w:b/>
      <w:bCs/>
      <w:sz w:val="20"/>
      <w:szCs w:val="20"/>
      <w:lang w:val="x-none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54639F"/>
    <w:pPr>
      <w:spacing w:line="240" w:lineRule="auto"/>
    </w:pPr>
    <w:rPr>
      <w:rFonts w:ascii="Tahoma" w:hAnsi="Tahoma" w:cs="Tahoma"/>
      <w:sz w:val="16"/>
      <w:szCs w:val="16"/>
      <w:lang w:eastAsia="pt-BR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54639F"/>
    <w:rPr>
      <w:rFonts w:ascii="Tahoma" w:hAnsi="Tahoma" w:cs="Tahoma"/>
      <w:sz w:val="16"/>
      <w:szCs w:val="16"/>
      <w:lang w:val="x-none" w:eastAsia="pt-BR"/>
    </w:rPr>
  </w:style>
  <w:style w:type="character" w:styleId="Forte">
    <w:name w:val="Strong"/>
    <w:basedOn w:val="Fontepargpadro"/>
    <w:uiPriority w:val="22"/>
    <w:qFormat/>
    <w:rsid w:val="0054639F"/>
    <w:rPr>
      <w:rFonts w:cs="Times New Roman"/>
      <w:b/>
      <w:bCs/>
    </w:rPr>
  </w:style>
  <w:style w:type="paragraph" w:styleId="Commarcadores">
    <w:name w:val="List Bullet"/>
    <w:basedOn w:val="Normal"/>
    <w:uiPriority w:val="99"/>
    <w:unhideWhenUsed/>
    <w:rsid w:val="0054639F"/>
    <w:pPr>
      <w:numPr>
        <w:numId w:val="2"/>
      </w:numPr>
      <w:spacing w:line="240" w:lineRule="auto"/>
      <w:contextualSpacing/>
    </w:pPr>
    <w:rPr>
      <w:rFonts w:ascii="Times New Roman" w:hAnsi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54639F"/>
    <w:pPr>
      <w:spacing w:line="240" w:lineRule="auto"/>
      <w:ind w:left="720"/>
    </w:pPr>
    <w:rPr>
      <w:rFonts w:cs="Calibri"/>
      <w:lang w:eastAsia="pt-BR"/>
    </w:rPr>
  </w:style>
  <w:style w:type="paragraph" w:styleId="Reviso">
    <w:name w:val="Revision"/>
    <w:hidden/>
    <w:uiPriority w:val="99"/>
    <w:semiHidden/>
    <w:rsid w:val="0099472F"/>
    <w:pPr>
      <w:spacing w:after="0" w:line="240" w:lineRule="auto"/>
    </w:pPr>
    <w:rPr>
      <w:rFonts w:ascii="Arial" w:hAnsi="Arial" w:cs="Arial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D1A8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BD1A86"/>
    <w:rPr>
      <w:rFonts w:ascii="Arial" w:hAnsi="Arial" w:cs="Arial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BD1A8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  <w:rsid w:val="00BD1A86"/>
    <w:rPr>
      <w:rFonts w:ascii="Arial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307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A23B54B4C11D478B02E3F24C9EDF15" ma:contentTypeVersion="9" ma:contentTypeDescription="Crie um novo documento." ma:contentTypeScope="" ma:versionID="4315a51345f9a78aef7a61ba9417856b">
  <xsd:schema xmlns:xsd="http://www.w3.org/2001/XMLSchema" xmlns:xs="http://www.w3.org/2001/XMLSchema" xmlns:p="http://schemas.microsoft.com/office/2006/metadata/properties" xmlns:ns2="3358cef2-5e33-4382-9f34-ebdf29ebf261" xmlns:ns3="1b481078-05fd-4425-adfc-5f858dcaa140" targetNamespace="http://schemas.microsoft.com/office/2006/metadata/properties" ma:root="true" ma:fieldsID="8afaca136e5893b18a7576def1b03b61" ns2:_="" ns3:_="">
    <xsd:import namespace="3358cef2-5e33-4382-9f34-ebdf29ebf261"/>
    <xsd:import namespace="1b481078-05fd-4425-adfc-5f858dcaa14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58cef2-5e33-4382-9f34-ebdf29ebf26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481078-05fd-4425-adfc-5f858dcaa1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6583DD-8BC6-44CC-8763-2F368923FF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4A8FEA1-A2D1-46A9-A473-6C61E967A649}"/>
</file>

<file path=customXml/itemProps3.xml><?xml version="1.0" encoding="utf-8"?>
<ds:datastoreItem xmlns:ds="http://schemas.openxmlformats.org/officeDocument/2006/customXml" ds:itemID="{68B1D539-381A-42C3-A72B-951280CA2136}"/>
</file>

<file path=customXml/itemProps4.xml><?xml version="1.0" encoding="utf-8"?>
<ds:datastoreItem xmlns:ds="http://schemas.openxmlformats.org/officeDocument/2006/customXml" ds:itemID="{E9154622-0888-41DA-BF2F-3416981F8AA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</Pages>
  <Words>3475</Words>
  <Characters>18538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ANVISA</Company>
  <LinksUpToDate>false</LinksUpToDate>
  <CharactersWithSpaces>21970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Reis e Silva Thees</dc:creator>
  <cp:keywords/>
  <dc:description/>
  <cp:lastModifiedBy>Raianne Liberal Coutinho</cp:lastModifiedBy>
  <cp:revision>4</cp:revision>
  <cp:lastPrinted>2017-12-12T16:55:00Z</cp:lastPrinted>
  <dcterms:created xsi:type="dcterms:W3CDTF">2017-12-19T12:02:00Z</dcterms:created>
  <dcterms:modified xsi:type="dcterms:W3CDTF">2018-05-29T18:56:00Z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0x0101003EA23B54B4C11D478B02E3F24C9EDF15</vt:lpwstr>
  </property>
</Properties>
</file>