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9B33EC" w:rsidRDefault="009B33EC" w:rsidP="009B33EC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r w:rsidRPr="009B33EC">
        <w:rPr>
          <w:rFonts w:ascii="Times New Roman" w:hAnsi="Times New Roman" w:cs="Times New Roman"/>
          <w:b/>
          <w:szCs w:val="24"/>
        </w:rPr>
        <w:t xml:space="preserve">RESOLUÇÃO DA DIRETORIA COLEGIADA – RDC Nº 210, DE 17 DE NOVEMBRO DE </w:t>
      </w:r>
      <w:proofErr w:type="gramStart"/>
      <w:r w:rsidRPr="009B33EC">
        <w:rPr>
          <w:rFonts w:ascii="Times New Roman" w:hAnsi="Times New Roman" w:cs="Times New Roman"/>
          <w:b/>
          <w:szCs w:val="24"/>
        </w:rPr>
        <w:t>2006</w:t>
      </w:r>
      <w:proofErr w:type="gramEnd"/>
    </w:p>
    <w:p w:rsidR="0040638B" w:rsidRPr="009B33EC" w:rsidRDefault="0040638B" w:rsidP="004063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B33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BC3A0F" w:rsidRPr="009B33EC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9B33E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221, de 20 de novembro de 2006</w:t>
      </w:r>
      <w:proofErr w:type="gramStart"/>
      <w:r w:rsidRPr="009B33E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EF27D9" w:rsidRPr="009B33EC" w:rsidRDefault="00EF27D9" w:rsidP="0040638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B33E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28 de dezembro de 2012</w:t>
      </w:r>
      <w:proofErr w:type="gramStart"/>
      <w:r w:rsidRPr="009B33E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9B33E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9B33EC">
        <w:rPr>
          <w:rFonts w:ascii="Times New Roman" w:hAnsi="Times New Roman" w:cs="Times New Roman"/>
          <w:strike/>
          <w:sz w:val="24"/>
          <w:szCs w:val="24"/>
        </w:rPr>
        <w:t>, no uso d</w:t>
      </w:r>
      <w:bookmarkStart w:id="0" w:name="_GoBack"/>
      <w:bookmarkEnd w:id="0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6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de novembro de 2006, e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 6.360/76, Decreto n° 79.094/77, Lei n° 8.080/90, Lei nº 9.782/99, Lei nº 9.787/99, Decreto nº 3.029/99, Decreto n° 3.181/99 e a Instrução Normativa da Secretaria de Vigilância Sanitária do Ministério da Saúde nº 1, de 30 de setembro de 1994;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nº 276, de 21 de outubro de 2002 (DOU 12/11/2002) e RDC n° 125 de 13 de maio de 2005;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 seguinte Resolução da Diretoria Colegiada e eu, Diretor-Presidente Substituto, determino a sua publicação: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>Art. 1º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 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Aprovar, na forma dos Anexos 1, 2, 3, 4 e 5 as inclusões, alterações, exclusões, correções do número atribuído pelo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Abstracts Service (CAS) e inclusão do número CAS ou referência bibliográfica, respectivamente, das Denominações Comuns Brasileiras (DCB) 2005, concedendo às empresas o prazo de 360 dias para adequações referentes a esta resolução. 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2º - Esta resolução entra em vigor na data da sua edição. </w:t>
      </w:r>
    </w:p>
    <w:p w:rsidR="004C7F02" w:rsidRPr="009B33EC" w:rsidRDefault="004C7F02" w:rsidP="004C7F0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>CLÁUDIO MAIEROVITCH PESSANHA HENRIQUES</w:t>
      </w:r>
    </w:p>
    <w:p w:rsidR="004C7F02" w:rsidRPr="009B33EC" w:rsidRDefault="004C7F02" w:rsidP="004C7F0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C7F02" w:rsidRPr="009B33EC" w:rsidRDefault="004C7F02" w:rsidP="004C7F02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B33EC">
        <w:rPr>
          <w:rFonts w:ascii="Times New Roman" w:hAnsi="Times New Roman" w:cs="Times New Roman"/>
          <w:b/>
          <w:strike/>
          <w:sz w:val="24"/>
          <w:szCs w:val="24"/>
        </w:rPr>
        <w:t>ANEXOS</w:t>
      </w:r>
    </w:p>
    <w:p w:rsidR="004C7F02" w:rsidRPr="009B33EC" w:rsidRDefault="004C7F02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>], indicando a referência de origem da nomenclatura em inglês, conforme a tabela:</w:t>
      </w:r>
    </w:p>
    <w:p w:rsidR="004926FE" w:rsidRPr="009B33EC" w:rsidRDefault="004926FE" w:rsidP="004C7F0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842"/>
      </w:tblGrid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Identificador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Ref.1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INN</w:t>
            </w:r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Ref.2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USAN</w:t>
            </w:r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Ref.3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Merck Index</w:t>
            </w:r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Ref.5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Index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Ref.6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Chemfinder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Ref.7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Drugdex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Ref.8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Handbook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of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excipients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Ref.9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Scinfinder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Ref.10</w:t>
            </w:r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</w:p>
        </w:tc>
      </w:tr>
      <w:tr w:rsidR="004926FE" w:rsidRPr="009B33EC" w:rsidTr="004926FE">
        <w:tc>
          <w:tcPr>
            <w:tcW w:w="2802" w:type="dxa"/>
          </w:tcPr>
          <w:p w:rsidR="004926FE" w:rsidRPr="009B33EC" w:rsidRDefault="004926FE" w:rsidP="004926FE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Ref.FB</w:t>
            </w:r>
            <w:proofErr w:type="spellEnd"/>
          </w:p>
        </w:tc>
        <w:tc>
          <w:tcPr>
            <w:tcW w:w="5842" w:type="dxa"/>
          </w:tcPr>
          <w:p w:rsidR="004926FE" w:rsidRPr="009B33EC" w:rsidRDefault="004926FE" w:rsidP="004926FE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proofErr w:type="spellStart"/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CambridgeSoft</w:t>
      </w:r>
      <w:proofErr w:type="spellEnd"/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Corporation.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Chemfinder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2005. Banco de dados disponível no Endereço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http://chemfinder.cambridgesoft.com (acessado em 01.10.06).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- Chemindustry.com. Banco de dados disponível no endereço eletrônico: http://chemindustry.com/ (acessado em 01.10.06).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Kibbe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AH.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Klasco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RK (Ed): DRUGDEX® System (electronic version).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Thomson Micromedex, Greenwood Village, Colorado, USA.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http://www.thomsonhc.com.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O'Neil MJ (Ed).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Inc, 2001;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 (Ed), Martindale: The Complete Drug Reference. London: Pharmaceutical Press.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Thomson Micromedex, Greenwood Village, Colorado, USA.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Available at: http://www.thomsonhc.com.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- Swiss Pharmaceutical Society. Index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International Drug Directory.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Medpharm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Scientific Publishers, Stuttgart, Germany.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2006.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USP Dictionary of USAN and International Drug Names. </w:t>
      </w:r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2006. </w:t>
      </w:r>
      <w:proofErr w:type="spellStart"/>
      <w:proofErr w:type="gramStart"/>
      <w:r w:rsidRPr="009B33EC">
        <w:rPr>
          <w:rFonts w:ascii="Times New Roman" w:hAnsi="Times New Roman" w:cs="Times New Roman"/>
          <w:strike/>
          <w:sz w:val="24"/>
          <w:szCs w:val="24"/>
        </w:rPr>
        <w:t>Rockville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>(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MD): United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States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Pharmacopeial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Conventio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, 2006 e suas atualizações.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- WHO.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>Cumulative List No - .</w:t>
      </w:r>
      <w:proofErr w:type="gramEnd"/>
      <w:r w:rsidRPr="009B33EC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Geneva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: World Health </w:t>
      </w:r>
      <w:proofErr w:type="spellStart"/>
      <w:r w:rsidRPr="009B33EC">
        <w:rPr>
          <w:rFonts w:ascii="Times New Roman" w:hAnsi="Times New Roman" w:cs="Times New Roman"/>
          <w:strike/>
          <w:sz w:val="24"/>
          <w:szCs w:val="24"/>
        </w:rPr>
        <w:t>Organization</w:t>
      </w:r>
      <w:proofErr w:type="spellEnd"/>
      <w:r w:rsidRPr="009B33EC">
        <w:rPr>
          <w:rFonts w:ascii="Times New Roman" w:hAnsi="Times New Roman" w:cs="Times New Roman"/>
          <w:strike/>
          <w:sz w:val="24"/>
          <w:szCs w:val="24"/>
        </w:rPr>
        <w:t xml:space="preserve">, 2004. Atualizações. </w:t>
      </w:r>
    </w:p>
    <w:p w:rsidR="004926FE" w:rsidRPr="009B33EC" w:rsidRDefault="004926FE" w:rsidP="004926F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9B33EC" w:rsidRDefault="009B33EC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9B33EC" w:rsidRDefault="009B33EC" w:rsidP="00C21F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  <w:sectPr w:rsidR="009B33EC" w:rsidSect="009B33EC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926FE" w:rsidRPr="009B33EC" w:rsidRDefault="004926FE" w:rsidP="00C21FD7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B33EC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4926FE" w:rsidRPr="009B33EC" w:rsidRDefault="004926FE" w:rsidP="00C21FD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9B33EC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96"/>
        <w:gridCol w:w="1400"/>
        <w:gridCol w:w="2034"/>
        <w:gridCol w:w="1409"/>
        <w:gridCol w:w="1110"/>
        <w:gridCol w:w="1349"/>
        <w:gridCol w:w="3057"/>
        <w:gridCol w:w="1563"/>
      </w:tblGrid>
      <w:tr w:rsidR="00790112" w:rsidRPr="009B33EC" w:rsidTr="00C21FD7">
        <w:tc>
          <w:tcPr>
            <w:tcW w:w="2503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Substância</w:t>
            </w:r>
          </w:p>
        </w:tc>
        <w:tc>
          <w:tcPr>
            <w:tcW w:w="157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Nº. CAS</w:t>
            </w:r>
          </w:p>
        </w:tc>
        <w:tc>
          <w:tcPr>
            <w:tcW w:w="212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  <w:tc>
          <w:tcPr>
            <w:tcW w:w="141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Função na formulação</w:t>
            </w:r>
          </w:p>
        </w:tc>
        <w:tc>
          <w:tcPr>
            <w:tcW w:w="113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Número DCB</w:t>
            </w:r>
          </w:p>
        </w:tc>
        <w:tc>
          <w:tcPr>
            <w:tcW w:w="1418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Código de posição</w:t>
            </w:r>
          </w:p>
        </w:tc>
        <w:tc>
          <w:tcPr>
            <w:tcW w:w="3540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Comentários</w:t>
            </w:r>
          </w:p>
        </w:tc>
        <w:tc>
          <w:tcPr>
            <w:tcW w:w="1563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Decisão da Subcomissão</w:t>
            </w:r>
          </w:p>
        </w:tc>
      </w:tr>
      <w:tr w:rsidR="00790112" w:rsidRPr="009B33EC" w:rsidTr="00C21FD7">
        <w:tc>
          <w:tcPr>
            <w:tcW w:w="2503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abatacepte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*</w:t>
            </w:r>
          </w:p>
        </w:tc>
        <w:tc>
          <w:tcPr>
            <w:tcW w:w="157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332348-12-6</w:t>
            </w:r>
          </w:p>
        </w:tc>
        <w:tc>
          <w:tcPr>
            <w:tcW w:w="212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INN/USAN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abatace</w:t>
            </w:r>
            <w:proofErr w:type="spellEnd"/>
          </w:p>
        </w:tc>
        <w:tc>
          <w:tcPr>
            <w:tcW w:w="141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biológico</w:t>
            </w:r>
            <w:proofErr w:type="gramEnd"/>
          </w:p>
        </w:tc>
        <w:tc>
          <w:tcPr>
            <w:tcW w:w="113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09580</w:t>
            </w:r>
          </w:p>
        </w:tc>
        <w:tc>
          <w:tcPr>
            <w:tcW w:w="1418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07605.01-3</w:t>
            </w:r>
          </w:p>
        </w:tc>
        <w:tc>
          <w:tcPr>
            <w:tcW w:w="3540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  <w:tc>
          <w:tcPr>
            <w:tcW w:w="1563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790112" w:rsidRPr="009B33EC" w:rsidTr="00C21FD7">
        <w:tc>
          <w:tcPr>
            <w:tcW w:w="2503" w:type="dxa"/>
            <w:vAlign w:val="center"/>
          </w:tcPr>
          <w:p w:rsidR="00790112" w:rsidRPr="009B33EC" w:rsidRDefault="00790112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acetilsalicilato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lisina.gli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</w:p>
          <w:p w:rsidR="00790112" w:rsidRPr="009B33EC" w:rsidRDefault="00790112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cina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;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acetilsalicilato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D,L</w:t>
            </w:r>
          </w:p>
          <w:p w:rsidR="00790112" w:rsidRPr="009B33EC" w:rsidRDefault="00790112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lisina.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glicina*</w:t>
            </w:r>
          </w:p>
        </w:tc>
        <w:tc>
          <w:tcPr>
            <w:tcW w:w="157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212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</w:p>
        </w:tc>
        <w:tc>
          <w:tcPr>
            <w:tcW w:w="1417" w:type="dxa"/>
            <w:vAlign w:val="center"/>
          </w:tcPr>
          <w:p w:rsidR="00790112" w:rsidRPr="009B33EC" w:rsidRDefault="00790112" w:rsidP="00790112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09600</w:t>
            </w:r>
          </w:p>
        </w:tc>
        <w:tc>
          <w:tcPr>
            <w:tcW w:w="1418" w:type="dxa"/>
            <w:vAlign w:val="center"/>
          </w:tcPr>
          <w:p w:rsidR="00790112" w:rsidRPr="009B33EC" w:rsidRDefault="00790112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07609.01-9</w:t>
            </w:r>
          </w:p>
        </w:tc>
        <w:tc>
          <w:tcPr>
            <w:tcW w:w="3540" w:type="dxa"/>
            <w:vAlign w:val="center"/>
          </w:tcPr>
          <w:p w:rsidR="00790112" w:rsidRPr="009B33EC" w:rsidRDefault="00790112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De acordo com a estrutura química apresentada e regras presentes na RDC nº 96/02, a SDCB decidiu que o nome genérico deverá ser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acetilsalicilato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racelisina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glicina.</w:t>
            </w:r>
          </w:p>
          <w:p w:rsidR="00790112" w:rsidRPr="009B33EC" w:rsidRDefault="00790112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 SDCB dará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uma prazo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360 dias para apresentação de referência bibliográfica, caso contrário a denominação será excluída da lista.</w:t>
            </w:r>
          </w:p>
        </w:tc>
        <w:tc>
          <w:tcPr>
            <w:tcW w:w="1563" w:type="dxa"/>
            <w:vAlign w:val="center"/>
          </w:tcPr>
          <w:p w:rsidR="00790112" w:rsidRPr="009B33EC" w:rsidRDefault="00790112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7D6CFD" w:rsidRPr="009B33EC" w:rsidTr="00C21FD7">
        <w:tc>
          <w:tcPr>
            <w:tcW w:w="2503" w:type="dxa"/>
            <w:vAlign w:val="center"/>
          </w:tcPr>
          <w:p w:rsidR="007D6CFD" w:rsidRPr="009B33EC" w:rsidRDefault="007D6CFD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bisglicinato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zinco;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</w:t>
            </w:r>
          </w:p>
        </w:tc>
        <w:tc>
          <w:tcPr>
            <w:tcW w:w="1574" w:type="dxa"/>
            <w:vAlign w:val="center"/>
          </w:tcPr>
          <w:p w:rsidR="007D6CFD" w:rsidRPr="009B33EC" w:rsidRDefault="007D6CFD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14281-83-5</w:t>
            </w:r>
          </w:p>
        </w:tc>
        <w:tc>
          <w:tcPr>
            <w:tcW w:w="2127" w:type="dxa"/>
            <w:vAlign w:val="center"/>
          </w:tcPr>
          <w:p w:rsidR="007D6CFD" w:rsidRPr="009B33EC" w:rsidRDefault="007D6CFD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zinc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glycinate</w:t>
            </w:r>
            <w:proofErr w:type="spellEnd"/>
          </w:p>
        </w:tc>
        <w:tc>
          <w:tcPr>
            <w:tcW w:w="1417" w:type="dxa"/>
            <w:vAlign w:val="center"/>
          </w:tcPr>
          <w:p w:rsidR="007D6CFD" w:rsidRPr="009B33EC" w:rsidRDefault="007D6CFD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7D6CFD" w:rsidRPr="009B33EC" w:rsidRDefault="007D6CFD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09581</w:t>
            </w:r>
          </w:p>
        </w:tc>
        <w:tc>
          <w:tcPr>
            <w:tcW w:w="1418" w:type="dxa"/>
            <w:vAlign w:val="center"/>
          </w:tcPr>
          <w:p w:rsidR="007D6CFD" w:rsidRPr="009B33EC" w:rsidRDefault="007D6CFD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03476.06-5</w:t>
            </w:r>
          </w:p>
        </w:tc>
        <w:tc>
          <w:tcPr>
            <w:tcW w:w="3540" w:type="dxa"/>
            <w:vAlign w:val="center"/>
          </w:tcPr>
          <w:p w:rsidR="007D6CFD" w:rsidRPr="009B33EC" w:rsidRDefault="007D6CFD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7D6CFD" w:rsidRPr="009B33EC" w:rsidRDefault="007D6CFD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Incluir com o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glicinato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zinco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xemilofibana</w:t>
            </w:r>
            <w:proofErr w:type="spellEnd"/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14281-83-5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2006 -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xemilofiban</w:t>
            </w:r>
            <w:proofErr w:type="spellEnd"/>
          </w:p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hydrochloride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09582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07207.02-0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hemifumarato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alisquirem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17334-58-1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aliskiren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fumarate</w:t>
            </w:r>
            <w:proofErr w:type="spellEnd"/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09583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05049.03-2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 momento do registro deve ser apresentada a substância utilizada na fabricação do medicamento com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devidas equivalência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para a base da substância</w:t>
            </w:r>
          </w:p>
        </w:tc>
        <w:tc>
          <w:tcPr>
            <w:tcW w:w="1563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hemifumarato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alisquireno</w:t>
            </w:r>
            <w:proofErr w:type="spellEnd"/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nonoxinol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11</w:t>
            </w: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[Ref.3]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MI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nonoxynol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11</w:t>
            </w:r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09584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05049.02-4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nonoxinol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</w:t>
            </w: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26027-38-3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417DF3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nonoxynol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; INN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nonoxinol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9</w:t>
            </w:r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09585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05115.02-7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octoxinol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9</w:t>
            </w: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9002-93-1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octoxynol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; INN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octoxinol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9</w:t>
            </w:r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09586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07606.01-0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pralidoxima</w:t>
            </w:r>
            <w:proofErr w:type="spellEnd"/>
            <w:proofErr w:type="gramEnd"/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6735-59-7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artindale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pralidoxime</w:t>
            </w:r>
            <w:proofErr w:type="spellEnd"/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09587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07607.01-6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Agrupar os sais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pralidoxima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já presentes na DCB. Alterar também código de posição devido ao agrupamento.</w:t>
            </w: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tetrafluoroborato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cobre</w:t>
            </w:r>
          </w:p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(I)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tetracis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(2-metoxi-isobutil-isonitrila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103694-84-4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Scinfinder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Tetrakis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(2-methoxy isobutyl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isonitrile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) Copper (I)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tetrafluorborate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;</w:t>
            </w:r>
          </w:p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Copper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tetraMIBI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tetrafluoroborate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[Cu(MIBI)</w:t>
            </w: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4</w:t>
            </w: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]BF</w:t>
            </w: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vertAlign w:val="subscript"/>
                <w:lang w:eastAsia="pt-BR"/>
              </w:rPr>
              <w:t>4</w:t>
            </w:r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09588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07608.01-2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químico foi mantido devido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ausência de nome genérico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internacionamente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aceito para a substância em questão.</w:t>
            </w:r>
          </w:p>
        </w:tc>
        <w:tc>
          <w:tcPr>
            <w:tcW w:w="1563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Incluir</w:t>
            </w:r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treprostinil</w:t>
            </w:r>
            <w:proofErr w:type="spellEnd"/>
            <w:proofErr w:type="gramEnd"/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81846-19-7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USAN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treprostinil</w:t>
            </w:r>
            <w:proofErr w:type="spellEnd"/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09589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07608.02-2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treprostinila</w:t>
            </w:r>
            <w:proofErr w:type="spellEnd"/>
          </w:p>
        </w:tc>
      </w:tr>
      <w:tr w:rsidR="00D863A4" w:rsidRPr="009B33EC" w:rsidTr="00C21FD7">
        <w:tc>
          <w:tcPr>
            <w:tcW w:w="2503" w:type="dxa"/>
            <w:vAlign w:val="center"/>
          </w:tcPr>
          <w:p w:rsidR="00D863A4" w:rsidRPr="009B33EC" w:rsidRDefault="00D863A4" w:rsidP="007D6CFD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treprostinil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sódico</w:t>
            </w:r>
          </w:p>
        </w:tc>
        <w:tc>
          <w:tcPr>
            <w:tcW w:w="157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289480-64-4</w:t>
            </w:r>
          </w:p>
        </w:tc>
        <w:tc>
          <w:tcPr>
            <w:tcW w:w="2127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treprostinil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</w:p>
        </w:tc>
        <w:tc>
          <w:tcPr>
            <w:tcW w:w="1417" w:type="dxa"/>
            <w:vAlign w:val="center"/>
          </w:tcPr>
          <w:p w:rsidR="00D863A4" w:rsidRPr="009B33EC" w:rsidRDefault="00D863A4" w:rsidP="00417DF3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princípio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ativo</w:t>
            </w:r>
          </w:p>
        </w:tc>
        <w:tc>
          <w:tcPr>
            <w:tcW w:w="1134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09590</w:t>
            </w:r>
          </w:p>
        </w:tc>
        <w:tc>
          <w:tcPr>
            <w:tcW w:w="1418" w:type="dxa"/>
            <w:vAlign w:val="center"/>
          </w:tcPr>
          <w:p w:rsidR="00D863A4" w:rsidRPr="009B33EC" w:rsidRDefault="00D863A4" w:rsidP="00C21FD7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07608.02-0</w:t>
            </w:r>
          </w:p>
        </w:tc>
        <w:tc>
          <w:tcPr>
            <w:tcW w:w="3540" w:type="dxa"/>
            <w:vAlign w:val="center"/>
          </w:tcPr>
          <w:p w:rsidR="00D863A4" w:rsidRPr="009B33EC" w:rsidRDefault="00D863A4" w:rsidP="00790112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563" w:type="dxa"/>
            <w:vAlign w:val="center"/>
          </w:tcPr>
          <w:p w:rsidR="00D863A4" w:rsidRPr="009B33EC" w:rsidRDefault="00D863A4" w:rsidP="00D863A4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treprostinila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sódica</w:t>
            </w:r>
          </w:p>
        </w:tc>
      </w:tr>
    </w:tbl>
    <w:p w:rsidR="00587D8F" w:rsidRPr="009B33EC" w:rsidRDefault="00587D8F" w:rsidP="00587D8F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587D8F" w:rsidRPr="009B33EC" w:rsidRDefault="00587D8F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II</w:t>
      </w:r>
    </w:p>
    <w:p w:rsidR="00587D8F" w:rsidRPr="009B33EC" w:rsidRDefault="00587D8F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Alterações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10"/>
        <w:gridCol w:w="2537"/>
        <w:gridCol w:w="2542"/>
        <w:gridCol w:w="4641"/>
        <w:gridCol w:w="2788"/>
      </w:tblGrid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2005 (sugestão)</w:t>
            </w:r>
          </w:p>
        </w:tc>
        <w:tc>
          <w:tcPr>
            <w:tcW w:w="510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Justificativa</w:t>
            </w:r>
          </w:p>
        </w:tc>
        <w:tc>
          <w:tcPr>
            <w:tcW w:w="2977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00559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aliscireno</w:t>
            </w:r>
            <w:proofErr w:type="spellEnd"/>
            <w:proofErr w:type="gramEnd"/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alisquireno</w:t>
            </w:r>
            <w:proofErr w:type="spellEnd"/>
            <w:proofErr w:type="gramEnd"/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Tradução incorreta do nome (USAN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aliskiren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alisquireno</w:t>
            </w:r>
            <w:proofErr w:type="spellEnd"/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07579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bissulfonato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tabs>
                <w:tab w:val="left" w:pos="579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bissulfato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o nome para bissulfato de quinina de acordo com a USAN. O CAS presente na DCB corresponde ao bissulfato e o bissulfonato não existe.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Alterar para bissulfato de quinina</w:t>
            </w:r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02334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cloralose</w:t>
            </w:r>
            <w:proofErr w:type="spellEnd"/>
            <w:proofErr w:type="gramEnd"/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tabs>
                <w:tab w:val="left" w:pos="538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alfacloralose</w:t>
            </w:r>
            <w:proofErr w:type="spellEnd"/>
            <w:proofErr w:type="gramEnd"/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substâcia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presente na DCB corresponde a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alfacloralose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aesta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mais utilizada que a beta devido a solubilidade. A INN adota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cloralose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Não alterar, colocar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alfacloralose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como sinônimo de </w:t>
            </w: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cloralose</w:t>
            </w:r>
            <w:proofErr w:type="spellEnd"/>
            <w:proofErr w:type="gramEnd"/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07582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formiato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tabs>
                <w:tab w:val="left" w:pos="188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formato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Nome escrito errado.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formato de </w:t>
            </w: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quinina</w:t>
            </w:r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05858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metocalcona</w:t>
            </w:r>
            <w:proofErr w:type="spellEnd"/>
            <w:proofErr w:type="gramEnd"/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metochalcona</w:t>
            </w:r>
            <w:proofErr w:type="spellEnd"/>
            <w:proofErr w:type="gramEnd"/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INN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metochalcone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. Nome escrito errado.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metochalcona</w:t>
            </w:r>
            <w:proofErr w:type="spellEnd"/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09523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racecadodrila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racecadotrila</w:t>
            </w:r>
            <w:proofErr w:type="spellEnd"/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Nome escrito errado. USAN -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racecadotril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</w:t>
            </w:r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07899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sarcolisina</w:t>
            </w:r>
            <w:proofErr w:type="spellEnd"/>
            <w:proofErr w:type="gramEnd"/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merfalana</w:t>
            </w:r>
            <w:proofErr w:type="spellEnd"/>
            <w:proofErr w:type="gramEnd"/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nome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merfalana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corresponde a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racemelfalana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(CAS 531-76-0) que 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sinomino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sarcolisina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Lembrando que ainda existe a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med-falana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(CAS 13045-94-8) que corresponde a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dextrofalana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Alterar para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merfalana</w:t>
            </w:r>
            <w:proofErr w:type="spellEnd"/>
          </w:p>
        </w:tc>
      </w:tr>
      <w:tr w:rsidR="00587D8F" w:rsidRPr="009B33EC" w:rsidTr="00C21FD7">
        <w:tc>
          <w:tcPr>
            <w:tcW w:w="1809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08459</w:t>
            </w:r>
          </w:p>
        </w:tc>
        <w:tc>
          <w:tcPr>
            <w:tcW w:w="2694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undecilato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testosterona</w:t>
            </w:r>
          </w:p>
        </w:tc>
        <w:tc>
          <w:tcPr>
            <w:tcW w:w="2693" w:type="dxa"/>
            <w:vAlign w:val="center"/>
          </w:tcPr>
          <w:p w:rsidR="00587D8F" w:rsidRPr="009B33EC" w:rsidRDefault="00587D8F" w:rsidP="00587D8F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undecanoato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testosterona</w:t>
            </w:r>
          </w:p>
        </w:tc>
        <w:tc>
          <w:tcPr>
            <w:tcW w:w="5103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Empresa - o nome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undecanoato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testosterona é a designação normalmente usada em práticas farmacêuticas e/ou médicas.</w:t>
            </w:r>
          </w:p>
        </w:tc>
        <w:tc>
          <w:tcPr>
            <w:tcW w:w="2977" w:type="dxa"/>
            <w:vAlign w:val="center"/>
          </w:tcPr>
          <w:p w:rsidR="00587D8F" w:rsidRPr="009B33EC" w:rsidRDefault="003F3988" w:rsidP="003F3988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alterar, pois SDCB adotou 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prícipio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específico2.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2 da RDC n° 96/02 e a denominação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undecilato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INN.</w:t>
            </w:r>
          </w:p>
        </w:tc>
      </w:tr>
    </w:tbl>
    <w:p w:rsidR="00317032" w:rsidRPr="009B33EC" w:rsidRDefault="00317032" w:rsidP="0031703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17032" w:rsidRPr="009B33EC" w:rsidRDefault="00317032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ANEXO III</w:t>
      </w:r>
    </w:p>
    <w:p w:rsidR="00317032" w:rsidRPr="009B33EC" w:rsidRDefault="00317032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Exclusões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7"/>
        <w:gridCol w:w="1583"/>
        <w:gridCol w:w="2513"/>
        <w:gridCol w:w="2715"/>
        <w:gridCol w:w="3878"/>
        <w:gridCol w:w="1802"/>
      </w:tblGrid>
      <w:tr w:rsidR="00317032" w:rsidRPr="009B33EC" w:rsidTr="00C21FD7">
        <w:tc>
          <w:tcPr>
            <w:tcW w:w="1809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 de Posição 2004</w:t>
            </w:r>
          </w:p>
        </w:tc>
        <w:tc>
          <w:tcPr>
            <w:tcW w:w="1701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Nº. DCB 2004</w:t>
            </w:r>
          </w:p>
        </w:tc>
        <w:tc>
          <w:tcPr>
            <w:tcW w:w="2694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2976" w:type="dxa"/>
            <w:vAlign w:val="center"/>
          </w:tcPr>
          <w:p w:rsidR="00317032" w:rsidRPr="009B33EC" w:rsidRDefault="00317032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Nº. CAS</w:t>
            </w:r>
          </w:p>
        </w:tc>
        <w:tc>
          <w:tcPr>
            <w:tcW w:w="4253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1843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317032" w:rsidRPr="009B33EC" w:rsidTr="00C21FD7">
        <w:tc>
          <w:tcPr>
            <w:tcW w:w="1809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05391.01-6</w:t>
            </w:r>
          </w:p>
        </w:tc>
        <w:tc>
          <w:tcPr>
            <w:tcW w:w="1701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06910</w:t>
            </w:r>
          </w:p>
        </w:tc>
        <w:tc>
          <w:tcPr>
            <w:tcW w:w="2694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pendetida</w:t>
            </w:r>
            <w:proofErr w:type="spellEnd"/>
            <w:proofErr w:type="gramEnd"/>
          </w:p>
        </w:tc>
        <w:tc>
          <w:tcPr>
            <w:tcW w:w="2976" w:type="dxa"/>
            <w:vAlign w:val="center"/>
          </w:tcPr>
          <w:p w:rsidR="00317032" w:rsidRPr="009B33EC" w:rsidRDefault="00317032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148805-91-8</w:t>
            </w:r>
          </w:p>
        </w:tc>
        <w:tc>
          <w:tcPr>
            <w:tcW w:w="4253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 da lista, pois é nome de </w:t>
            </w: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radical</w:t>
            </w:r>
            <w:proofErr w:type="gramEnd"/>
          </w:p>
        </w:tc>
        <w:tc>
          <w:tcPr>
            <w:tcW w:w="1843" w:type="dxa"/>
            <w:vAlign w:val="center"/>
          </w:tcPr>
          <w:p w:rsidR="00317032" w:rsidRPr="009B33EC" w:rsidRDefault="00317032" w:rsidP="0031703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  <w:proofErr w:type="gramEnd"/>
          </w:p>
        </w:tc>
      </w:tr>
    </w:tbl>
    <w:p w:rsidR="004429E9" w:rsidRPr="009B33EC" w:rsidRDefault="004429E9" w:rsidP="004429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4429E9" w:rsidRPr="009B33EC" w:rsidRDefault="004429E9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IV</w:t>
      </w:r>
    </w:p>
    <w:p w:rsidR="004429E9" w:rsidRPr="009B33EC" w:rsidRDefault="004429E9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Correção de número 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2"/>
        <w:gridCol w:w="2292"/>
        <w:gridCol w:w="2465"/>
        <w:gridCol w:w="1505"/>
        <w:gridCol w:w="4114"/>
        <w:gridCol w:w="2780"/>
      </w:tblGrid>
      <w:tr w:rsidR="000D1729" w:rsidRPr="009B33EC" w:rsidTr="00C21FD7">
        <w:tc>
          <w:tcPr>
            <w:tcW w:w="1101" w:type="dxa"/>
            <w:vAlign w:val="center"/>
          </w:tcPr>
          <w:p w:rsidR="000D1729" w:rsidRPr="009B33EC" w:rsidRDefault="000D1729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409" w:type="dxa"/>
            <w:vAlign w:val="center"/>
          </w:tcPr>
          <w:p w:rsidR="000D1729" w:rsidRPr="009B33EC" w:rsidRDefault="000D1729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2694" w:type="dxa"/>
            <w:vAlign w:val="center"/>
          </w:tcPr>
          <w:p w:rsidR="000D1729" w:rsidRPr="009B33EC" w:rsidRDefault="000D1729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CAS na DCB 2005</w:t>
            </w:r>
          </w:p>
        </w:tc>
        <w:tc>
          <w:tcPr>
            <w:tcW w:w="1559" w:type="dxa"/>
            <w:vAlign w:val="center"/>
          </w:tcPr>
          <w:p w:rsidR="000D1729" w:rsidRPr="009B33EC" w:rsidRDefault="000D1729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Nº. CAS na DCB 2005 corrigido</w:t>
            </w:r>
          </w:p>
        </w:tc>
        <w:tc>
          <w:tcPr>
            <w:tcW w:w="4536" w:type="dxa"/>
            <w:vAlign w:val="center"/>
          </w:tcPr>
          <w:p w:rsidR="000D1729" w:rsidRPr="009B33EC" w:rsidRDefault="000D1729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2977" w:type="dxa"/>
            <w:vAlign w:val="center"/>
          </w:tcPr>
          <w:p w:rsidR="000D1729" w:rsidRPr="009B33EC" w:rsidRDefault="000D1729" w:rsidP="00417DF3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0D1729" w:rsidRPr="009B33EC" w:rsidTr="00C21FD7">
        <w:tc>
          <w:tcPr>
            <w:tcW w:w="1101" w:type="dxa"/>
            <w:vAlign w:val="center"/>
          </w:tcPr>
          <w:p w:rsidR="000D1729" w:rsidRPr="009B33EC" w:rsidRDefault="000D1729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02391</w:t>
            </w:r>
          </w:p>
        </w:tc>
        <w:tc>
          <w:tcPr>
            <w:tcW w:w="2409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feniódio</w:t>
            </w:r>
            <w:proofErr w:type="spellEnd"/>
          </w:p>
        </w:tc>
        <w:tc>
          <w:tcPr>
            <w:tcW w:w="2694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34106-48-4</w:t>
            </w:r>
          </w:p>
        </w:tc>
        <w:tc>
          <w:tcPr>
            <w:tcW w:w="1559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34563-73-0</w:t>
            </w:r>
          </w:p>
        </w:tc>
        <w:tc>
          <w:tcPr>
            <w:tcW w:w="4536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USAN 2006</w:t>
            </w:r>
          </w:p>
        </w:tc>
        <w:tc>
          <w:tcPr>
            <w:tcW w:w="2977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34563-73-0</w:t>
            </w:r>
          </w:p>
        </w:tc>
      </w:tr>
      <w:tr w:rsidR="000D1729" w:rsidRPr="009B33EC" w:rsidTr="00C21FD7">
        <w:tc>
          <w:tcPr>
            <w:tcW w:w="1101" w:type="dxa"/>
            <w:vAlign w:val="center"/>
          </w:tcPr>
          <w:p w:rsidR="000D1729" w:rsidRPr="009B33EC" w:rsidRDefault="000D1729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02409</w:t>
            </w:r>
          </w:p>
        </w:tc>
        <w:tc>
          <w:tcPr>
            <w:tcW w:w="2409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cloreto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octafônio</w:t>
            </w:r>
            <w:proofErr w:type="spellEnd"/>
          </w:p>
        </w:tc>
        <w:tc>
          <w:tcPr>
            <w:tcW w:w="2694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15687-40-8</w:t>
            </w:r>
          </w:p>
        </w:tc>
        <w:tc>
          <w:tcPr>
            <w:tcW w:w="1559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78-05-7</w:t>
            </w:r>
          </w:p>
        </w:tc>
        <w:tc>
          <w:tcPr>
            <w:tcW w:w="4536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Merck Index 13ed.</w:t>
            </w:r>
          </w:p>
        </w:tc>
        <w:tc>
          <w:tcPr>
            <w:tcW w:w="2977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78-05-7</w:t>
            </w:r>
          </w:p>
        </w:tc>
      </w:tr>
      <w:tr w:rsidR="000D1729" w:rsidRPr="009B33EC" w:rsidTr="00C21FD7">
        <w:tc>
          <w:tcPr>
            <w:tcW w:w="1101" w:type="dxa"/>
            <w:vAlign w:val="center"/>
          </w:tcPr>
          <w:p w:rsidR="000D1729" w:rsidRPr="009B33EC" w:rsidRDefault="000D1729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07580</w:t>
            </w:r>
          </w:p>
        </w:tc>
        <w:tc>
          <w:tcPr>
            <w:tcW w:w="2409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cloridrato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2694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6119-47-7</w:t>
            </w:r>
          </w:p>
        </w:tc>
        <w:tc>
          <w:tcPr>
            <w:tcW w:w="1559" w:type="dxa"/>
            <w:vAlign w:val="center"/>
          </w:tcPr>
          <w:p w:rsidR="000D1729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130-89-2</w:t>
            </w:r>
          </w:p>
        </w:tc>
        <w:tc>
          <w:tcPr>
            <w:tcW w:w="4536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De acordo com o Merck Index</w:t>
            </w:r>
          </w:p>
        </w:tc>
        <w:tc>
          <w:tcPr>
            <w:tcW w:w="2977" w:type="dxa"/>
            <w:vAlign w:val="center"/>
          </w:tcPr>
          <w:p w:rsidR="000D1729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130-89-2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08559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417DF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maleato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tietilperazina</w:t>
            </w:r>
            <w:proofErr w:type="spell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52239-63-1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1179-69-7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52239-63-1 é do </w:t>
            </w:r>
            <w:proofErr w:type="spell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malato</w:t>
            </w:r>
            <w:proofErr w:type="spell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 CAS correto para o</w:t>
            </w:r>
          </w:p>
          <w:p w:rsidR="00CE5856" w:rsidRPr="009B33EC" w:rsidRDefault="00CE5856" w:rsidP="00CE5856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1179-69-7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1179-69-7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07079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417DF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pinocalanto</w:t>
            </w:r>
            <w:proofErr w:type="spellEnd"/>
            <w:proofErr w:type="gram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149759-26-6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149759-26-2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De acordo com a USAN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149759-26-6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07583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417DF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quinina</w:t>
            </w:r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50-54-4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804-63-7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 acordo com a USAN 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804-63-7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08710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417DF3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sulfato</w:t>
            </w:r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tobramicina</w:t>
            </w:r>
            <w:proofErr w:type="spell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49842-07-1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79645-27-5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Segundo a referência USAN 2006 o CAS foi alterado.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79645-27-5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08611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timostimulina</w:t>
            </w:r>
            <w:proofErr w:type="gram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308079-72-3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117149-90-3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Segundo a referência USAN 2006 o CAS foi alterado.</w:t>
            </w:r>
          </w:p>
        </w:tc>
        <w:tc>
          <w:tcPr>
            <w:tcW w:w="2977" w:type="dxa"/>
            <w:vAlign w:val="center"/>
          </w:tcPr>
          <w:p w:rsidR="00CE5856" w:rsidRPr="009B33EC" w:rsidRDefault="00B94B51" w:rsidP="00B94B5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Corrigir para 117149-90-3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08621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tinzaparina</w:t>
            </w:r>
            <w:proofErr w:type="spellEnd"/>
            <w:proofErr w:type="gram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sódico</w:t>
            </w:r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[Ref.2]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9041-08-1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USAN 2006</w:t>
            </w:r>
          </w:p>
        </w:tc>
        <w:tc>
          <w:tcPr>
            <w:tcW w:w="2977" w:type="dxa"/>
            <w:vAlign w:val="center"/>
          </w:tcPr>
          <w:p w:rsidR="00CE5856" w:rsidRPr="009B33EC" w:rsidRDefault="00B94B51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9041-08-1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08637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tiopental</w:t>
            </w:r>
            <w:proofErr w:type="gram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76-75-1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76-75-5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CAS incorreto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76-75-5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08677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tiracizina</w:t>
            </w:r>
            <w:proofErr w:type="spellEnd"/>
            <w:proofErr w:type="gram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832775-56-3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83275-56-3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CAS digitado errado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83275-56-3</w:t>
            </w:r>
          </w:p>
        </w:tc>
      </w:tr>
      <w:tr w:rsidR="00CE5856" w:rsidRPr="009B33EC" w:rsidTr="00C21FD7">
        <w:tc>
          <w:tcPr>
            <w:tcW w:w="1101" w:type="dxa"/>
            <w:vAlign w:val="center"/>
          </w:tcPr>
          <w:p w:rsidR="00CE5856" w:rsidRPr="009B33EC" w:rsidRDefault="00CE5856" w:rsidP="000D1729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09198</w:t>
            </w:r>
          </w:p>
        </w:tc>
        <w:tc>
          <w:tcPr>
            <w:tcW w:w="2409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xemilofibana</w:t>
            </w:r>
            <w:proofErr w:type="spellEnd"/>
            <w:proofErr w:type="gramEnd"/>
          </w:p>
        </w:tc>
        <w:tc>
          <w:tcPr>
            <w:tcW w:w="2694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156586-91-3</w:t>
            </w:r>
          </w:p>
        </w:tc>
        <w:tc>
          <w:tcPr>
            <w:tcW w:w="1559" w:type="dxa"/>
            <w:vAlign w:val="center"/>
          </w:tcPr>
          <w:p w:rsidR="00CE5856" w:rsidRPr="009B33EC" w:rsidRDefault="00CE5856" w:rsidP="00C21FD7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14820-79-6</w:t>
            </w:r>
          </w:p>
        </w:tc>
        <w:tc>
          <w:tcPr>
            <w:tcW w:w="4536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CAS anterior é referente ao cloridrato e não a base</w:t>
            </w:r>
          </w:p>
        </w:tc>
        <w:tc>
          <w:tcPr>
            <w:tcW w:w="2977" w:type="dxa"/>
            <w:vAlign w:val="center"/>
          </w:tcPr>
          <w:p w:rsidR="00CE5856" w:rsidRPr="009B33EC" w:rsidRDefault="00CE5856" w:rsidP="00CE5856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Corrigir para 149820-79-6</w:t>
            </w:r>
          </w:p>
        </w:tc>
      </w:tr>
    </w:tbl>
    <w:p w:rsidR="001A5A42" w:rsidRPr="009B33EC" w:rsidRDefault="001A5A42" w:rsidP="001A5A4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1A5A42" w:rsidRPr="009B33EC" w:rsidRDefault="001A5A42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lastRenderedPageBreak/>
        <w:t>ANEXO V</w:t>
      </w:r>
    </w:p>
    <w:p w:rsidR="001A5A42" w:rsidRPr="009B33EC" w:rsidRDefault="001A5A42" w:rsidP="00C21FD7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9B33E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Inclusões de número CAS ou referências bibliográficas na lista DCB 2004 publicada pela RDC n° 111 de 29 de abril de 2005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47"/>
        <w:gridCol w:w="2789"/>
        <w:gridCol w:w="3569"/>
        <w:gridCol w:w="2660"/>
        <w:gridCol w:w="3253"/>
      </w:tblGrid>
      <w:tr w:rsidR="001A5A42" w:rsidRPr="009B33EC" w:rsidTr="00C21FD7">
        <w:tc>
          <w:tcPr>
            <w:tcW w:w="2093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977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3827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Referência bibliográfica</w:t>
            </w:r>
          </w:p>
        </w:tc>
        <w:tc>
          <w:tcPr>
            <w:tcW w:w="2835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CAS/REF. a ser incluído</w:t>
            </w:r>
          </w:p>
        </w:tc>
        <w:tc>
          <w:tcPr>
            <w:tcW w:w="3544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SDCB</w:t>
            </w:r>
          </w:p>
        </w:tc>
      </w:tr>
      <w:tr w:rsidR="001A5A42" w:rsidRPr="009B33EC" w:rsidTr="00C21FD7">
        <w:tc>
          <w:tcPr>
            <w:tcW w:w="2093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07582</w:t>
            </w:r>
          </w:p>
        </w:tc>
        <w:tc>
          <w:tcPr>
            <w:tcW w:w="2977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formato</w:t>
            </w:r>
            <w:proofErr w:type="gramEnd"/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quinina</w:t>
            </w:r>
          </w:p>
        </w:tc>
        <w:tc>
          <w:tcPr>
            <w:tcW w:w="3827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Chemindustry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- </w:t>
            </w:r>
            <w:proofErr w:type="spellStart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>quinine</w:t>
            </w:r>
            <w:proofErr w:type="spellEnd"/>
            <w:r w:rsidRPr="009B33EC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formate</w:t>
            </w:r>
          </w:p>
        </w:tc>
        <w:tc>
          <w:tcPr>
            <w:tcW w:w="2835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130-90-5</w:t>
            </w:r>
          </w:p>
        </w:tc>
        <w:tc>
          <w:tcPr>
            <w:tcW w:w="3544" w:type="dxa"/>
            <w:vAlign w:val="center"/>
          </w:tcPr>
          <w:p w:rsidR="001A5A42" w:rsidRPr="009B33EC" w:rsidRDefault="001A5A42" w:rsidP="001A5A42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9B33E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130-90-5</w:t>
            </w:r>
          </w:p>
        </w:tc>
      </w:tr>
    </w:tbl>
    <w:p w:rsidR="00317032" w:rsidRPr="009B33EC" w:rsidRDefault="00317032" w:rsidP="004429E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587D8F" w:rsidRPr="009B33EC" w:rsidRDefault="00587D8F" w:rsidP="00587D8F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90112" w:rsidRPr="009B33EC" w:rsidRDefault="00790112" w:rsidP="00587D8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790112" w:rsidRPr="009B33EC" w:rsidSect="009B33EC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EC" w:rsidRDefault="009B33EC" w:rsidP="009B33EC">
      <w:pPr>
        <w:spacing w:after="0" w:line="240" w:lineRule="auto"/>
      </w:pPr>
      <w:r>
        <w:separator/>
      </w:r>
    </w:p>
  </w:endnote>
  <w:endnote w:type="continuationSeparator" w:id="0">
    <w:p w:rsidR="009B33EC" w:rsidRDefault="009B33EC" w:rsidP="009B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EC" w:rsidRPr="009B33EC" w:rsidRDefault="009B33EC" w:rsidP="009B33E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EC" w:rsidRDefault="009B33EC" w:rsidP="009B33EC">
      <w:pPr>
        <w:spacing w:after="0" w:line="240" w:lineRule="auto"/>
      </w:pPr>
      <w:r>
        <w:separator/>
      </w:r>
    </w:p>
  </w:footnote>
  <w:footnote w:type="continuationSeparator" w:id="0">
    <w:p w:rsidR="009B33EC" w:rsidRDefault="009B33EC" w:rsidP="009B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3EC" w:rsidRDefault="009B33EC" w:rsidP="009B33E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33EC" w:rsidRDefault="009B33EC" w:rsidP="009B33E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Ministério da Saúde - MS</w:t>
    </w:r>
  </w:p>
  <w:p w:rsidR="009B33EC" w:rsidRDefault="009B33EC" w:rsidP="009B33E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B33EC" w:rsidRDefault="009B33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638B"/>
    <w:rsid w:val="000D1729"/>
    <w:rsid w:val="001A5A42"/>
    <w:rsid w:val="001E708B"/>
    <w:rsid w:val="00281677"/>
    <w:rsid w:val="003130FA"/>
    <w:rsid w:val="00317032"/>
    <w:rsid w:val="003F3988"/>
    <w:rsid w:val="0040638B"/>
    <w:rsid w:val="004429E9"/>
    <w:rsid w:val="004926FE"/>
    <w:rsid w:val="004C7F02"/>
    <w:rsid w:val="004F659C"/>
    <w:rsid w:val="00587D8F"/>
    <w:rsid w:val="007441BF"/>
    <w:rsid w:val="00786686"/>
    <w:rsid w:val="00790112"/>
    <w:rsid w:val="007D6CFD"/>
    <w:rsid w:val="00833911"/>
    <w:rsid w:val="009B33EC"/>
    <w:rsid w:val="00A87EF2"/>
    <w:rsid w:val="00B30817"/>
    <w:rsid w:val="00B94B51"/>
    <w:rsid w:val="00BC3A0F"/>
    <w:rsid w:val="00C21FD7"/>
    <w:rsid w:val="00CE5856"/>
    <w:rsid w:val="00D621E1"/>
    <w:rsid w:val="00D863A4"/>
    <w:rsid w:val="00E10018"/>
    <w:rsid w:val="00EF27D9"/>
    <w:rsid w:val="00F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2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926F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B3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3EC"/>
  </w:style>
  <w:style w:type="paragraph" w:styleId="Rodap">
    <w:name w:val="footer"/>
    <w:basedOn w:val="Normal"/>
    <w:link w:val="RodapChar"/>
    <w:uiPriority w:val="99"/>
    <w:unhideWhenUsed/>
    <w:rsid w:val="009B3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3EC"/>
  </w:style>
  <w:style w:type="paragraph" w:styleId="Textodebalo">
    <w:name w:val="Balloon Text"/>
    <w:basedOn w:val="Normal"/>
    <w:link w:val="TextodebaloChar"/>
    <w:uiPriority w:val="99"/>
    <w:semiHidden/>
    <w:unhideWhenUsed/>
    <w:rsid w:val="009B3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33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92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926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7AA88-2CE0-4F39-A742-15EEF5C64EE8}"/>
</file>

<file path=customXml/itemProps2.xml><?xml version="1.0" encoding="utf-8"?>
<ds:datastoreItem xmlns:ds="http://schemas.openxmlformats.org/officeDocument/2006/customXml" ds:itemID="{CA6A191D-D097-40AC-A6C5-7B7673BE63DD}"/>
</file>

<file path=customXml/itemProps3.xml><?xml version="1.0" encoding="utf-8"?>
<ds:datastoreItem xmlns:ds="http://schemas.openxmlformats.org/officeDocument/2006/customXml" ds:itemID="{FBE095B3-FA78-4E39-ADB7-15B5DDACEA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1597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2016-10-24T13:47:00Z</cp:lastPrinted>
  <dcterms:created xsi:type="dcterms:W3CDTF">2015-09-10T19:14:00Z</dcterms:created>
  <dcterms:modified xsi:type="dcterms:W3CDTF">2016-10-24T13:47:00Z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