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FBC" w:rsidRPr="00376E90" w:rsidRDefault="00C96FBC" w:rsidP="00376E90">
      <w:pPr>
        <w:pStyle w:val="Ttulo1"/>
        <w:ind w:left="-567" w:right="-568"/>
        <w:divId w:val="180971581"/>
        <w:rPr>
          <w:rFonts w:ascii="Times New Roman" w:hAnsi="Times New Roman" w:cs="Times New Roman"/>
          <w:sz w:val="22"/>
          <w:szCs w:val="24"/>
        </w:rPr>
      </w:pPr>
      <w:r w:rsidRPr="00376E90">
        <w:rPr>
          <w:rFonts w:ascii="Times New Roman" w:hAnsi="Times New Roman" w:cs="Times New Roman"/>
          <w:sz w:val="22"/>
          <w:szCs w:val="24"/>
        </w:rPr>
        <w:t>Resolução</w:t>
      </w:r>
      <w:r w:rsidR="00640547" w:rsidRPr="00376E90">
        <w:rPr>
          <w:rFonts w:ascii="Times New Roman" w:hAnsi="Times New Roman" w:cs="Times New Roman"/>
          <w:sz w:val="22"/>
          <w:szCs w:val="24"/>
        </w:rPr>
        <w:t xml:space="preserve"> DE DIRETORIA COLEGIADA</w:t>
      </w:r>
      <w:r w:rsidR="0002436C" w:rsidRPr="00376E90">
        <w:rPr>
          <w:rFonts w:ascii="Times New Roman" w:hAnsi="Times New Roman" w:cs="Times New Roman"/>
          <w:sz w:val="22"/>
          <w:szCs w:val="24"/>
        </w:rPr>
        <w:t xml:space="preserve"> </w:t>
      </w:r>
      <w:r w:rsidRPr="00376E90">
        <w:rPr>
          <w:rFonts w:ascii="Times New Roman" w:hAnsi="Times New Roman" w:cs="Times New Roman"/>
          <w:sz w:val="22"/>
          <w:szCs w:val="24"/>
        </w:rPr>
        <w:t>-</w:t>
      </w:r>
      <w:r w:rsidR="0002436C" w:rsidRPr="00376E90">
        <w:rPr>
          <w:rFonts w:ascii="Times New Roman" w:hAnsi="Times New Roman" w:cs="Times New Roman"/>
          <w:sz w:val="22"/>
          <w:szCs w:val="24"/>
        </w:rPr>
        <w:t xml:space="preserve"> </w:t>
      </w:r>
      <w:r w:rsidRPr="00376E90">
        <w:rPr>
          <w:rFonts w:ascii="Times New Roman" w:hAnsi="Times New Roman" w:cs="Times New Roman"/>
          <w:sz w:val="22"/>
          <w:szCs w:val="24"/>
        </w:rPr>
        <w:t>RDC nº</w:t>
      </w:r>
      <w:r w:rsidR="00A22B13" w:rsidRPr="00376E90">
        <w:rPr>
          <w:rFonts w:ascii="Times New Roman" w:hAnsi="Times New Roman" w:cs="Times New Roman"/>
          <w:sz w:val="22"/>
          <w:szCs w:val="24"/>
        </w:rPr>
        <w:t xml:space="preserve"> 217, de 15 de dezembro de 2006</w:t>
      </w:r>
    </w:p>
    <w:p w:rsidR="0002436C" w:rsidRPr="0002436C" w:rsidRDefault="0002436C" w:rsidP="0002436C">
      <w:pPr>
        <w:pStyle w:val="Default"/>
        <w:spacing w:after="240" w:line="276" w:lineRule="auto"/>
        <w:jc w:val="center"/>
        <w:divId w:val="180971581"/>
        <w:rPr>
          <w:rFonts w:ascii="Times New Roman" w:hAnsi="Times New Roman" w:cs="Times New Roman"/>
          <w:b/>
          <w:color w:val="0000FF"/>
        </w:rPr>
      </w:pPr>
      <w:r w:rsidRPr="0002436C">
        <w:rPr>
          <w:rFonts w:ascii="Times New Roman" w:hAnsi="Times New Roman" w:cs="Times New Roman"/>
          <w:b/>
          <w:color w:val="0000FF"/>
        </w:rPr>
        <w:t>(Publicada em DOU nº 241, de 18 de dezembro de 2006</w:t>
      </w:r>
      <w:proofErr w:type="gramStart"/>
      <w:r w:rsidRPr="0002436C">
        <w:rPr>
          <w:rFonts w:ascii="Times New Roman" w:hAnsi="Times New Roman" w:cs="Times New Roman"/>
          <w:b/>
          <w:color w:val="0000FF"/>
        </w:rPr>
        <w:t>)</w:t>
      </w:r>
      <w:proofErr w:type="gramEnd"/>
    </w:p>
    <w:p w:rsidR="0002436C" w:rsidRPr="0002436C" w:rsidRDefault="0002436C" w:rsidP="00376E90">
      <w:pPr>
        <w:pStyle w:val="Ttulo1"/>
        <w:divId w:val="180971581"/>
        <w:rPr>
          <w:rFonts w:ascii="Times New Roman" w:eastAsia="Times New Roman" w:hAnsi="Times New Roman" w:cs="Times New Roman"/>
          <w:bCs w:val="0"/>
          <w:caps w:val="0"/>
          <w:color w:val="0000FF"/>
          <w:kern w:val="0"/>
          <w:sz w:val="24"/>
          <w:szCs w:val="24"/>
        </w:rPr>
      </w:pPr>
      <w:r w:rsidRPr="0002436C">
        <w:rPr>
          <w:rFonts w:ascii="Times New Roman" w:eastAsia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 xml:space="preserve">(Revogada pela Resolução – RDC nº 81, de </w:t>
      </w:r>
      <w:proofErr w:type="gramStart"/>
      <w:r w:rsidRPr="0002436C">
        <w:rPr>
          <w:rFonts w:ascii="Times New Roman" w:eastAsia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5</w:t>
      </w:r>
      <w:proofErr w:type="gramEnd"/>
      <w:r w:rsidRPr="0002436C">
        <w:rPr>
          <w:rFonts w:ascii="Times New Roman" w:eastAsia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 xml:space="preserve"> de novembro de 2008)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r w:rsidRPr="0002436C">
        <w:rPr>
          <w:b/>
          <w:bCs/>
          <w:strike/>
        </w:rPr>
        <w:t>A Diretoria Colegiada da Agência Nacional de Vigilância Sanitária</w:t>
      </w:r>
      <w:r w:rsidRPr="0002436C">
        <w:rPr>
          <w:strike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dezembro de 2006, </w:t>
      </w:r>
      <w:proofErr w:type="gramStart"/>
      <w:r w:rsidRPr="0002436C">
        <w:rPr>
          <w:strike/>
        </w:rPr>
        <w:t>e</w:t>
      </w:r>
      <w:proofErr w:type="gramEnd"/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proofErr w:type="gramStart"/>
      <w:r w:rsidRPr="0002436C">
        <w:rPr>
          <w:strike/>
        </w:rPr>
        <w:t>considerando</w:t>
      </w:r>
      <w:proofErr w:type="gramEnd"/>
      <w:r w:rsidRPr="0002436C">
        <w:rPr>
          <w:strike/>
        </w:rPr>
        <w:t xml:space="preserve"> a necessidade de adequação das obrigações impostas a realidades de mercado, mantidas e garantidas a definição de obrigações para as empresas envolvidas na importação de mercadorias, inclusive para rastreabilidade das mesmas em toda a cadeia desde a produção até a exposição ao consumo, 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proofErr w:type="gramStart"/>
      <w:r w:rsidRPr="0002436C">
        <w:rPr>
          <w:strike/>
        </w:rPr>
        <w:t>considerando</w:t>
      </w:r>
      <w:proofErr w:type="gramEnd"/>
      <w:r w:rsidRPr="0002436C">
        <w:rPr>
          <w:strike/>
        </w:rPr>
        <w:t xml:space="preserve"> a necessidade de adoção de critérios de classificação das mercadorias de forma a garantir divulgação atualizada, diminuindo os custos para o erário,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proofErr w:type="gramStart"/>
      <w:r w:rsidRPr="0002436C">
        <w:rPr>
          <w:strike/>
        </w:rPr>
        <w:t>adota</w:t>
      </w:r>
      <w:proofErr w:type="gramEnd"/>
      <w:r w:rsidRPr="0002436C">
        <w:rPr>
          <w:strike/>
        </w:rPr>
        <w:t xml:space="preserve"> a seguinte Resolução da Diretoria Colegiada e eu, Diretor-Presidente, </w:t>
      </w:r>
      <w:proofErr w:type="gramStart"/>
      <w:r w:rsidRPr="0002436C">
        <w:rPr>
          <w:strike/>
        </w:rPr>
        <w:t>determino</w:t>
      </w:r>
      <w:proofErr w:type="gramEnd"/>
      <w:r w:rsidRPr="0002436C">
        <w:rPr>
          <w:strike/>
        </w:rPr>
        <w:t xml:space="preserve"> a sua publicação: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r w:rsidRPr="0002436C">
        <w:rPr>
          <w:strike/>
        </w:rPr>
        <w:t>Art. 1º O Anexo VI da Resolução-RDC n.º 350, de 28 de dezembro de 2005, passará a vigorar na forma do Anexo I a esta Resolução.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r w:rsidRPr="0002436C">
        <w:rPr>
          <w:strike/>
        </w:rPr>
        <w:t>Art. 2º O Anexo XLIV da Resolução-RDC n.º 350, de 2005, passará a vigorar na forma do Anexo II a esta Resolução.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r w:rsidRPr="0002436C">
        <w:rPr>
          <w:strike/>
        </w:rPr>
        <w:t xml:space="preserve">Parágrafo único. A identificação das mercadorias conforme tipo de procedimento administrativo e Nomenclatura Comum </w:t>
      </w:r>
      <w:proofErr w:type="gramStart"/>
      <w:r w:rsidRPr="0002436C">
        <w:rPr>
          <w:strike/>
        </w:rPr>
        <w:t>Mercosul</w:t>
      </w:r>
      <w:proofErr w:type="gramEnd"/>
      <w:r w:rsidRPr="0002436C">
        <w:rPr>
          <w:strike/>
        </w:rPr>
        <w:t xml:space="preserve"> – NCM - serão disponibilizadas no sítio eletrônico </w:t>
      </w:r>
      <w:hyperlink r:id="rId7" w:history="1">
        <w:r w:rsidRPr="0002436C">
          <w:rPr>
            <w:rStyle w:val="Hyperlink"/>
            <w:strike/>
            <w:color w:val="auto"/>
          </w:rPr>
          <w:t>www.anvisa.gov.br</w:t>
        </w:r>
      </w:hyperlink>
      <w:r w:rsidRPr="0002436C">
        <w:rPr>
          <w:strike/>
        </w:rPr>
        <w:t xml:space="preserve"> , e produzirão seus efeitos legais para sua classificação na importação de mercadorias. 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r w:rsidRPr="0002436C">
        <w:rPr>
          <w:strike/>
        </w:rPr>
        <w:t>Art. 3º Aprovar o Anexo III, que passará a vigorar na forma do Anexo XLV da Resolução-RDC n.º 350, de 2005.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r w:rsidRPr="0002436C">
        <w:rPr>
          <w:strike/>
        </w:rPr>
        <w:t>Art. 4º O descumprimento ou inobservância no disposto nesta Resolução configura infração de natureza sanitária, nos termos da Lei n.º 6.437, de 1977.</w:t>
      </w:r>
    </w:p>
    <w:p w:rsidR="00C96FBC" w:rsidRPr="0002436C" w:rsidRDefault="00C96FBC" w:rsidP="00C96FBC">
      <w:pPr>
        <w:ind w:firstLine="567"/>
        <w:jc w:val="both"/>
        <w:divId w:val="180971581"/>
        <w:rPr>
          <w:strike/>
        </w:rPr>
      </w:pPr>
      <w:r w:rsidRPr="0002436C">
        <w:rPr>
          <w:strike/>
        </w:rPr>
        <w:t xml:space="preserve">Art. 5º Esta Resolução entrará em vigor 15 (quinze) dias após sua publicação. </w:t>
      </w:r>
    </w:p>
    <w:p w:rsidR="00C96FBC" w:rsidRPr="00376E90" w:rsidRDefault="00C96FBC" w:rsidP="00C96FBC">
      <w:pPr>
        <w:pStyle w:val="Ttulo2"/>
        <w:divId w:val="180971581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376E90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</w:p>
    <w:p w:rsidR="00C96FBC" w:rsidRPr="0002436C" w:rsidRDefault="00C96FBC" w:rsidP="00C96FBC">
      <w:pPr>
        <w:jc w:val="center"/>
        <w:divId w:val="180971581"/>
        <w:rPr>
          <w:b/>
          <w:bCs/>
          <w:strike/>
        </w:rPr>
      </w:pPr>
      <w:r w:rsidRPr="0002436C">
        <w:rPr>
          <w:b/>
          <w:bCs/>
          <w:strike/>
        </w:rPr>
        <w:lastRenderedPageBreak/>
        <w:t>ANEXO I</w:t>
      </w:r>
    </w:p>
    <w:p w:rsidR="00C96FBC" w:rsidRPr="0002436C" w:rsidRDefault="00C96FBC" w:rsidP="00C96FBC">
      <w:pPr>
        <w:jc w:val="center"/>
        <w:divId w:val="180971581"/>
        <w:rPr>
          <w:b/>
          <w:bCs/>
          <w:strike/>
        </w:rPr>
      </w:pPr>
      <w:r w:rsidRPr="0002436C">
        <w:rPr>
          <w:b/>
          <w:bCs/>
          <w:strike/>
        </w:rPr>
        <w:t>IMPORTAÇÃO POR PESSOA JURÍDICA NÃO DETENTORA DA REGULARIZAÇÃO DA MERCADORIA JUNTO À ANVISA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CAPÍTULO I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DAS DISPOSIÇÕES GERAIS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1. A importação de mercadorias pertencentes às classes de medicamentos, cosméticos, produtos de higiene, alimentos, saneantes, produtos médicos ou produtos de diagnóstico </w:t>
      </w:r>
      <w:r w:rsidRPr="0002436C">
        <w:rPr>
          <w:i/>
          <w:iCs/>
          <w:strike/>
        </w:rPr>
        <w:t>in vitro,</w:t>
      </w:r>
      <w:r w:rsidRPr="0002436C">
        <w:rPr>
          <w:strike/>
        </w:rPr>
        <w:t xml:space="preserve"> por empresa terceirizada, não detentora da regularização da mercadoria perante a ANVISA, deverá ser precedida de expressa manifestação favorável da autoridade sanitária, na forma deste Anexo.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1.1. Aplicar-se-á o disposto neste Anexo à importação de mercadorias na forma de produtos acabados ou em estágio intermediário de seu processo de produção ou de fabricação, etapas de produto </w:t>
      </w:r>
      <w:proofErr w:type="spellStart"/>
      <w:proofErr w:type="gramStart"/>
      <w:r w:rsidRPr="0002436C">
        <w:rPr>
          <w:strike/>
        </w:rPr>
        <w:t>semi-elaborado</w:t>
      </w:r>
      <w:proofErr w:type="spellEnd"/>
      <w:proofErr w:type="gramEnd"/>
      <w:r w:rsidRPr="0002436C">
        <w:rPr>
          <w:strike/>
        </w:rPr>
        <w:t xml:space="preserve"> e a granel.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1.2. A importação de mercadorias em estágio intermediário de seu processo de produção ou de fabricação, etapas de produto </w:t>
      </w:r>
      <w:proofErr w:type="spellStart"/>
      <w:proofErr w:type="gramStart"/>
      <w:r w:rsidRPr="0002436C">
        <w:rPr>
          <w:strike/>
        </w:rPr>
        <w:t>semi-elaborado</w:t>
      </w:r>
      <w:proofErr w:type="spellEnd"/>
      <w:proofErr w:type="gramEnd"/>
      <w:r w:rsidRPr="0002436C">
        <w:rPr>
          <w:strike/>
        </w:rPr>
        <w:t xml:space="preserve"> e a granel somente será permitida na forma deste Anexo se a empresa detentora do documento de sua regularização perante a ANVISA seja autorizada para as atividades de importar e fabricar.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>2. O ingresso no território nacional dar-se-á obrigatoriamente por meio de registro no Sistema Integrado de Comércio Exterior – SISCOMEX.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2.1. A empresa detentora da regularização da mercadoria </w:t>
      </w:r>
      <w:proofErr w:type="gramStart"/>
      <w:r w:rsidRPr="0002436C">
        <w:rPr>
          <w:strike/>
        </w:rPr>
        <w:t>perante à</w:t>
      </w:r>
      <w:proofErr w:type="gramEnd"/>
      <w:r w:rsidRPr="0002436C">
        <w:rPr>
          <w:strike/>
        </w:rPr>
        <w:t xml:space="preserve"> ANVISA deverá vincular a empresa terceirizada junto ao Sistema Integrado de Comércio Exterior, quando couber, que procederá a importação de que trata este Anexo.    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3. Caberá ao detentor de regularização da mercadoria perante a ANVISA, a obrigação pelo cumprimento e observância das normas regulamentares e legais, medidas, formalidades e exigências ao processo administrativo de importação de que trata este Anexo, em todas as suas etapas, desde o embarque no exterior até a liberação sanitária no território nacional.  </w:t>
      </w:r>
    </w:p>
    <w:p w:rsidR="00C96FBC" w:rsidRPr="0002436C" w:rsidRDefault="00C96FBC" w:rsidP="00376E90">
      <w:pPr>
        <w:shd w:val="clear" w:color="auto" w:fill="FFFFFF"/>
        <w:tabs>
          <w:tab w:val="left" w:pos="1418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3.1. Incluir-se-á no disposto neste item a obrigação de adotar medidas idôneas, próprias e junto a terceiros contratados para a importação das mercadorias de que trata esse Anexo, que evitem ou impeçam prejuízo à saúde. </w:t>
      </w:r>
    </w:p>
    <w:p w:rsidR="00C96FBC" w:rsidRPr="0002436C" w:rsidRDefault="00C96FBC" w:rsidP="00376E90">
      <w:pPr>
        <w:shd w:val="clear" w:color="auto" w:fill="FFFFFF"/>
        <w:tabs>
          <w:tab w:val="left" w:pos="1418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3.2. O disposto neste item não eximirá a empresa terceirizada de cumprir e observar as normas regulamentares e legais, medidas, formalidades e exigências previstas neste Regulamento. </w:t>
      </w:r>
    </w:p>
    <w:p w:rsidR="00C96FBC" w:rsidRPr="0002436C" w:rsidRDefault="00C96FBC" w:rsidP="00376E90">
      <w:pPr>
        <w:pStyle w:val="Corpodetexto2"/>
        <w:tabs>
          <w:tab w:val="left" w:pos="993"/>
        </w:tabs>
        <w:spacing w:after="100" w:line="240" w:lineRule="auto"/>
        <w:ind w:firstLine="709"/>
        <w:divId w:val="180971581"/>
        <w:rPr>
          <w:strike/>
        </w:rPr>
      </w:pPr>
      <w:r w:rsidRPr="0002436C">
        <w:rPr>
          <w:strike/>
        </w:rPr>
        <w:lastRenderedPageBreak/>
        <w:t>4. Para os fins do item anterior e subitens, caberá à pessoa jurídica detentora da regularização da mercadoria perante a ANVISA entre outras obrigações:</w:t>
      </w:r>
    </w:p>
    <w:p w:rsidR="00C96FBC" w:rsidRPr="0002436C" w:rsidRDefault="00C96FBC" w:rsidP="00376E90">
      <w:pPr>
        <w:pStyle w:val="Corpodetexto2"/>
        <w:tabs>
          <w:tab w:val="left" w:pos="993"/>
        </w:tabs>
        <w:spacing w:after="100" w:line="240" w:lineRule="auto"/>
        <w:ind w:firstLine="709"/>
        <w:divId w:val="180971581"/>
        <w:rPr>
          <w:strike/>
        </w:rPr>
      </w:pPr>
      <w:r w:rsidRPr="0002436C">
        <w:rPr>
          <w:strike/>
        </w:rPr>
        <w:t xml:space="preserve">a) a execução de ensaios laboratoriais para verificação da garantia e manutenção da identidade e qualidade do produto importado, acabado ou em estágio intermediário de seu processo de produção ou de fabricação, etapas de produto </w:t>
      </w:r>
      <w:proofErr w:type="spellStart"/>
      <w:proofErr w:type="gramStart"/>
      <w:r w:rsidRPr="0002436C">
        <w:rPr>
          <w:strike/>
        </w:rPr>
        <w:t>semi-elaborado</w:t>
      </w:r>
      <w:proofErr w:type="spellEnd"/>
      <w:proofErr w:type="gramEnd"/>
      <w:r w:rsidRPr="0002436C">
        <w:rPr>
          <w:strike/>
        </w:rPr>
        <w:t xml:space="preserve"> e a granel, em ambiente laboratorial adequado instalado no território nacional, integrante do cadastro de Autorização de Funcionamento ou Autorização de Funcionamento Especial autorizado pela ANVISA;</w:t>
      </w:r>
    </w:p>
    <w:p w:rsidR="00C96FBC" w:rsidRPr="0002436C" w:rsidRDefault="00C96FBC" w:rsidP="00376E90">
      <w:pPr>
        <w:pStyle w:val="Corpodetexto2"/>
        <w:tabs>
          <w:tab w:val="left" w:pos="1080"/>
        </w:tabs>
        <w:spacing w:after="100" w:line="240" w:lineRule="auto"/>
        <w:ind w:firstLine="709"/>
        <w:divId w:val="180971581"/>
        <w:rPr>
          <w:strike/>
        </w:rPr>
      </w:pPr>
      <w:r w:rsidRPr="0002436C">
        <w:rPr>
          <w:strike/>
        </w:rPr>
        <w:t>b) o cumprimento e a exigência de fazer cumprir as Boas Práticas nas operações vinculadas ao transporte, movimentação e armazenagem das mercadorias;</w:t>
      </w:r>
    </w:p>
    <w:p w:rsidR="00C96FBC" w:rsidRPr="0002436C" w:rsidRDefault="00C96FBC" w:rsidP="00376E90">
      <w:pPr>
        <w:pStyle w:val="Corpodetexto2"/>
        <w:tabs>
          <w:tab w:val="left" w:pos="1440"/>
        </w:tabs>
        <w:spacing w:after="100" w:line="240" w:lineRule="auto"/>
        <w:ind w:firstLine="709"/>
        <w:divId w:val="180971581"/>
        <w:rPr>
          <w:strike/>
        </w:rPr>
      </w:pPr>
      <w:r w:rsidRPr="0002436C">
        <w:rPr>
          <w:strike/>
        </w:rPr>
        <w:t>c) a responsabilidade pelas informações exigidas, ainda que prestadas por terceiro, quanto às mercadorias importadas.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>5. Para os fins de recolhimento da Taxa de Fiscalização de Vigilância Sanitária, considerar-se-á sujeito passivo da obrigação tributária a pessoa jurídica detentora de regularização da mercadoria perante a ANVISA.</w:t>
      </w:r>
    </w:p>
    <w:p w:rsidR="00C96FBC" w:rsidRPr="00376E90" w:rsidRDefault="00C96FBC" w:rsidP="00C96FBC">
      <w:pPr>
        <w:jc w:val="center"/>
        <w:outlineLvl w:val="0"/>
        <w:divId w:val="180971581"/>
        <w:rPr>
          <w:b/>
          <w:strike/>
        </w:rPr>
      </w:pPr>
      <w:r w:rsidRPr="00376E90">
        <w:rPr>
          <w:b/>
          <w:strike/>
        </w:rPr>
        <w:t>CAPÍTULO II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 xml:space="preserve">DA IMPORTAÇÃO TERCEIRIZADA ENTRE EMPRESAS REGULARIZADAS NA ANVISA NO TOCANTE À AUTORIZAÇÃO DE FUNCIONAMENTO PARA AS ATIVIDADES DE IMPORTAR E FABRICAR 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6. A importação de mercadorias entre empresas regularizadas pela ANVISA mediante terceirização de atividade dar-se-á mediante a anuência da autoridade sanitária em face da apresentação a cada importação no local de desembaraço da seguinte documentação: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a) Petição para Fiscalização e Liberação sanitária de que trata o item 1.2 do Anexo II deste Regulamento;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declaração da pessoa jurídica detentora da regularização da mercadoria junto a ANVISA autorizando a importação;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instrumento de representação da pessoa jurídica detentora da regularização da mercadoria junto à ANVISA a favor do responsável legal ou representante legal.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6.1. A declaração de que trata a alínea “b” deste item deverá ser apresentada na sua forma original e cópia, para sua autenticação, ou previamente autenticada, a qual ficará retida, devendo ainda: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a) estar vinculada a uma única e exclusiva pessoa jurídica, ficando vedado o repasse dessa autorização;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b) possuir validade jurídica, inclusive não podendo ter prazo de vigência superior a 90 (noventa) dias contados da sua assinatura;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ser subscrita pelo seu responsável legal ou representante legal, e pelo seu responsável técnico, com reconhecimento de firma em cartório;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d) expressar o compromisso de observância e cumprimento das normas e procedimentos estabelecidos pela legislação sanitária, bem como de ciência das penalidades as quais ficará sujeito, nos termos da Lei n.º 6.437, de 20 de agosto de 1977. 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6.2. O instrumento de representação de que trata a alínea “c” do item </w:t>
      </w:r>
      <w:proofErr w:type="gramStart"/>
      <w:r w:rsidRPr="0002436C">
        <w:rPr>
          <w:strike/>
        </w:rPr>
        <w:t>6</w:t>
      </w:r>
      <w:proofErr w:type="gramEnd"/>
      <w:r w:rsidRPr="0002436C">
        <w:rPr>
          <w:strike/>
        </w:rPr>
        <w:t xml:space="preserve"> deverá ser apresentado na sua forma original e cópia, para sua autenticação, ou previamente autenticado, o qual ficará retido.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7. Na hipótese de importação de produtos acabados pertencentes à classe de alimentos, a pessoa jurídica deverá atender ao disposto no Anexo IV deste Regulamento, quanto aos critérios referentes às empresas autorizadas para essa atividade.</w:t>
      </w:r>
    </w:p>
    <w:p w:rsidR="00C96FBC" w:rsidRPr="00376E90" w:rsidRDefault="00C96FBC" w:rsidP="00C96FBC">
      <w:pPr>
        <w:jc w:val="center"/>
        <w:outlineLvl w:val="0"/>
        <w:divId w:val="180971581"/>
        <w:rPr>
          <w:b/>
          <w:strike/>
        </w:rPr>
      </w:pPr>
      <w:r w:rsidRPr="00376E90">
        <w:rPr>
          <w:b/>
          <w:strike/>
        </w:rPr>
        <w:t>CAPÍTULO III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DA IMPORTAÇÃO POR CONTA E ORDEM DE TERCEIRO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8. A importação de mercadorias por empresa por conta e ordem de terceiro dar-se-á mediante a anuência da autoridade sanitária em face da apresentação a cada importação no local de desembaraço da seguinte documentação: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a) Petição para Fiscalização e Liberação sanitária de que trata o item 1.2 do Anexo II deste Regulamento;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Petição de Autorização de Importação por Conta e Ordem de Terceiro, conforme Anexo VII;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declaração da pessoa jurídica detentora da regularização da mercadoria junto a ANVISA autorizando a importação;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instrumento de representação da pessoa jurídica detentora da regularização da mercadoria junto à ANVISA a favor do responsável legal ou representante legal.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8.1. A declaração de que trata a alínea “c” deste item deverá ser apresentada na sua forma original e cópia, para sua autenticação, ou previamente autenticada, a qual ficará retida, devendo ainda: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a) estar vinculada a uma única e exclusiva pessoa jurídica, ficando vedado o repasse dessa autorização;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b) possuir validade jurídica, inclusive perante o contrato firmado entre as partes para essa atividade;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ser subscrita pelo seu responsável legal ou representante legal, e pelo seu responsável técnico, com reconhecimento de firma em cartório;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d) expressar o compromisso de observância e cumprimento das normas e procedimentos estabelecidos pela legislação sanitária, bem como de ciência das penalidades as quais ficará sujeito, nos termos da Lei n.º 6.437, de 20 de agosto de 1977. </w:t>
      </w:r>
    </w:p>
    <w:p w:rsidR="00C96FBC" w:rsidRPr="0002436C" w:rsidRDefault="00C96FBC" w:rsidP="00376E90">
      <w:pPr>
        <w:tabs>
          <w:tab w:val="left" w:pos="993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8.2. O instrumento de representação de que trata a alínea “d” do item </w:t>
      </w:r>
      <w:proofErr w:type="gramStart"/>
      <w:r w:rsidRPr="0002436C">
        <w:rPr>
          <w:strike/>
        </w:rPr>
        <w:t>8</w:t>
      </w:r>
      <w:proofErr w:type="gramEnd"/>
      <w:r w:rsidRPr="0002436C">
        <w:rPr>
          <w:strike/>
        </w:rPr>
        <w:t xml:space="preserve"> deverá ser apresentado na sua forma original e cópia, para sua autenticação, ou previamente autenticado, o qual ficará retido.</w:t>
      </w:r>
    </w:p>
    <w:p w:rsidR="00C96FBC" w:rsidRPr="00376E90" w:rsidRDefault="00C96FBC" w:rsidP="00C96FBC">
      <w:pPr>
        <w:jc w:val="center"/>
        <w:outlineLvl w:val="0"/>
        <w:divId w:val="180971581"/>
        <w:rPr>
          <w:b/>
          <w:strike/>
        </w:rPr>
      </w:pPr>
      <w:r w:rsidRPr="00376E90">
        <w:rPr>
          <w:b/>
          <w:strike/>
        </w:rPr>
        <w:t>CAPÍTULO IV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 xml:space="preserve">DA IMPORTAÇÃO POR ÓRGÃOS E INSTITUIÇÕES PÚBLICAS DE SAÚDE PÚBLICA E ORGANISMO INTERNACIONAL MULTILATERAL 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>8. A importação promovida por órgãos e instituições públicas não detentores da regularização de mercadorias perante a ANVISA dar-se-á mediante a anuência da autoridade sanitária em face da apresentação a cada importação no local de desembaraço da seguinte documentação: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>a) Petição para Fiscalização e Liberação sanitária de que trata o item 1.2 do Anexo II deste Regulamento;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>b) declaração da pessoa jurídica detentora da regularização da mercadoria junto a ANVISA autorizando a importação.</w:t>
      </w:r>
    </w:p>
    <w:p w:rsidR="00C96FBC" w:rsidRPr="0002436C" w:rsidRDefault="00C96FBC" w:rsidP="00376E90">
      <w:pPr>
        <w:ind w:firstLine="709"/>
        <w:jc w:val="both"/>
        <w:divId w:val="180971581"/>
        <w:rPr>
          <w:strike/>
        </w:rPr>
      </w:pPr>
      <w:r w:rsidRPr="0002436C">
        <w:rPr>
          <w:strike/>
        </w:rPr>
        <w:t>8.1. A declaração de que trata a alínea “b” deste item deverá ser apresentada na sua forma original e cópia, para sua autenticação, ou previamente autenticada, a qual ficará retida, devendo ainda</w:t>
      </w:r>
      <w:r w:rsidRPr="0002436C">
        <w:rPr>
          <w:strike/>
          <w:color w:val="FF0000"/>
        </w:rPr>
        <w:t xml:space="preserve"> </w:t>
      </w:r>
      <w:r w:rsidRPr="0002436C">
        <w:rPr>
          <w:strike/>
        </w:rPr>
        <w:t>ser subscrita pelo seu responsável legal ou representante legal, e pelo seu responsável técnico, com reconhecimento de firma em cartório.</w:t>
      </w:r>
    </w:p>
    <w:p w:rsidR="00376E90" w:rsidRDefault="00376E90">
      <w:pPr>
        <w:spacing w:before="0" w:beforeAutospacing="0" w:after="0" w:afterAutospacing="0"/>
        <w:rPr>
          <w:b/>
          <w:bCs/>
          <w:strike/>
        </w:rPr>
      </w:pPr>
      <w:r>
        <w:rPr>
          <w:b/>
          <w:bCs/>
          <w:strike/>
        </w:rPr>
        <w:br w:type="page"/>
      </w:r>
    </w:p>
    <w:p w:rsidR="00C96FBC" w:rsidRPr="0002436C" w:rsidRDefault="00C96FBC" w:rsidP="00C96FBC">
      <w:pPr>
        <w:jc w:val="center"/>
        <w:divId w:val="180971581"/>
        <w:rPr>
          <w:b/>
          <w:bCs/>
          <w:strike/>
        </w:rPr>
      </w:pPr>
      <w:r w:rsidRPr="0002436C">
        <w:rPr>
          <w:b/>
          <w:bCs/>
          <w:strike/>
        </w:rPr>
        <w:lastRenderedPageBreak/>
        <w:t>ANEXO II</w:t>
      </w:r>
    </w:p>
    <w:p w:rsidR="00C96FBC" w:rsidRPr="0002436C" w:rsidRDefault="00C96FBC" w:rsidP="00C96FBC">
      <w:pPr>
        <w:jc w:val="center"/>
        <w:divId w:val="180971581"/>
        <w:rPr>
          <w:b/>
          <w:bCs/>
          <w:strike/>
        </w:rPr>
      </w:pPr>
      <w:r w:rsidRPr="0002436C">
        <w:rPr>
          <w:b/>
          <w:bCs/>
          <w:strike/>
        </w:rPr>
        <w:t>PROCEDIMENTOS ADMINISTRATIVOS PARA ENQUADRAMENTO DAS MERCADORIAS JUNTO AO SISTEMA INTEGRADO DE COMÉRCIO EXTERIOR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 xml:space="preserve">CAPÍTULO I 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1 – MERCADORIAS SUJEITAS AO CONTROLE ESPECIAL DE QUE TRATA A PORTARIA SVS/MS N.º 344, DE 1998, EM SUAS LISTAS “A1”, “A2”, “A3”, “B1”, “B2” E “D1</w:t>
      </w:r>
      <w:proofErr w:type="gramStart"/>
      <w:r w:rsidRPr="00376E90">
        <w:rPr>
          <w:b/>
          <w:strike/>
        </w:rPr>
        <w:t>”</w:t>
      </w:r>
      <w:proofErr w:type="gramEnd"/>
      <w:r w:rsidRPr="00376E90">
        <w:rPr>
          <w:b/>
          <w:strike/>
        </w:rPr>
        <w:t xml:space="preserve">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1. A importação de mercadorias sujeitas ao controle especial de que trata a Portaria SVS/MS n.º 344, de 1998,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 xml:space="preserve">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 e autorização prévia favorável de embarque,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2. A autorização prévia favorável de embarque dar-se-á mediante manifestação da Unidade de Produtos Controlados – UPROC - da Gerência-Geral de Medicamentos – GGMED - da ANVISA em sua sede, em Brasília, DF.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2.1. Caberá </w:t>
      </w:r>
      <w:proofErr w:type="gramStart"/>
      <w:r w:rsidRPr="0002436C">
        <w:rPr>
          <w:strike/>
        </w:rPr>
        <w:t>a</w:t>
      </w:r>
      <w:proofErr w:type="gramEnd"/>
      <w:r w:rsidRPr="0002436C">
        <w:rPr>
          <w:strike/>
        </w:rPr>
        <w:t xml:space="preserve"> empresa interessada encaminhar à UPROC apresentar requerimento de autorização de embarque no exterior, mediante preenchimento de Petição de Autorização de Embarque no Exterior.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3. As mercadorias sujeitas ao controle especial de que trata a Portaria SVS/MS n.º 344, de 1998, somente poderão entrar em território nacional pelos seguintes portos e aeroportos: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a) Porto do Rio de Janeiro, Rio de Janeiro, RJ;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Aeroporto Internacional do Rio de Janeiro – Aeroporto Maestro Antônio Carlos Jobim, Rio de Janeiro, RJ;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Porto de Santos, Santos, SP;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Aeroporto Internacional de Guarulhos -</w:t>
      </w:r>
      <w:proofErr w:type="gramStart"/>
      <w:r w:rsidRPr="0002436C">
        <w:rPr>
          <w:strike/>
        </w:rPr>
        <w:t xml:space="preserve">  </w:t>
      </w:r>
      <w:proofErr w:type="gramEnd"/>
      <w:r w:rsidRPr="0002436C">
        <w:rPr>
          <w:strike/>
        </w:rPr>
        <w:t>Aeroporto Governador André Franco Montoro, São Paulo, SP.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Autorização de Importação ou Certificado de Não Objeção emitido pela UPROC;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Autorização de Exportação emitida pela autoridade competente no exterior;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h)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Laudo Analítico de Controle de Qualidade, por lote ou partida, emitido pelo fabricante;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j) Guia de Retirada de Substâncias, Medicamentos Entorpecentes, ou que determinem dependência física ou psíquica, na forma do Anexo V da Portaria SVS/MS n.º 344, de 1998, emitida em </w:t>
      </w:r>
      <w:proofErr w:type="gramStart"/>
      <w:r w:rsidRPr="0002436C">
        <w:rPr>
          <w:strike/>
        </w:rPr>
        <w:t>5</w:t>
      </w:r>
      <w:proofErr w:type="gramEnd"/>
      <w:r w:rsidRPr="0002436C">
        <w:rPr>
          <w:strike/>
        </w:rPr>
        <w:t xml:space="preserve"> (cinco) vias;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l) Instrumento de procuração da pessoa jurídica detentora da regularização do produto junto à ANVISA ao representante legal, responsável pelo desembaraço;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m)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4.1. Quando não especificado a obrigatoriedade da apresentação exclusiva em sua forma original, os documentos de que trata este Capítulo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4.2. Os documentos de que tratam as alíneas “d”, “e”, “h” e “i” deverão ser atestados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4.3. Estará isento da apresentação do documento da alínea “l”,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5. O enquadramento das mercadorias de que trata este Capítulo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CAPÍTULO II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 xml:space="preserve">PROCEDIMENTO 1-A – MERCADORIAS SUJEITAS AO CONTROLE ESPECIAL DE QUE TRATA A PORTARIA SVS/MS N.º 344, DE 1998, EM SUA LISTA </w:t>
      </w:r>
      <w:proofErr w:type="gramStart"/>
      <w:r w:rsidRPr="00376E90">
        <w:rPr>
          <w:b/>
          <w:strike/>
        </w:rPr>
        <w:t>“F”</w:t>
      </w:r>
      <w:proofErr w:type="gramEnd"/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6. É vedada a importação de mercadorias sujeitas ao controle especial de que trata a Portaria SVS/MS n.º 344, de 1998, constantes da Lista “F”, na forma de matéria-prima, produto </w:t>
      </w:r>
      <w:proofErr w:type="spellStart"/>
      <w:proofErr w:type="gramStart"/>
      <w:r w:rsidRPr="0002436C">
        <w:rPr>
          <w:strike/>
        </w:rPr>
        <w:t>semi-elaborado</w:t>
      </w:r>
      <w:proofErr w:type="spellEnd"/>
      <w:proofErr w:type="gramEnd"/>
      <w:r w:rsidRPr="0002436C">
        <w:rPr>
          <w:strike/>
        </w:rPr>
        <w:t xml:space="preserve"> ou produto acabado, conforme enquadramento das mercadorias disponível no sítio eletrônico da ANVISA, salvo se destinada a ensino e pesquisa.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7. A importação das mercadorias de que trata este Capítulo estará sujeita ao registro de Licenciamento de Importação no SISCOMEX e autorização prévia favorável de embarque,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8. A autorização prévia favorável de embarque dar-se-á mediante manifestação da Unidade de Produtos Controlados – UPROC - da Gerência-Geral de Medicamentos – GGMED - da ANVISA em sua sede, em Brasília, DF.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8.1. Caberá </w:t>
      </w:r>
      <w:proofErr w:type="gramStart"/>
      <w:r w:rsidRPr="0002436C">
        <w:rPr>
          <w:strike/>
        </w:rPr>
        <w:t>a</w:t>
      </w:r>
      <w:proofErr w:type="gramEnd"/>
      <w:r w:rsidRPr="0002436C">
        <w:rPr>
          <w:strike/>
        </w:rPr>
        <w:t xml:space="preserve"> empresa interessada encaminhar à UPROC apresentar requerimento de autorização de embarque no exterior, mediante preenchimento de Petição de Autorização de Embarque no Exterior.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9. As mercadorias sujeitas ao controle especial de que trata a Portaria SVS/MS n.º 344, de 1998, constantes da Lista “F”, somente poderão entrar em território nacional pelos seguintes portos e aeroportos: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a) Porto do Rio de Janeiro, Rio de Janeiro, RJ;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Aeroporto Internacional do Rio de Janeiro – Aeroporto Maestro Antônio Carlos Jobim, Rio de Janeiro, RJ;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Porto de Santos, Santos, SP;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Aeroporto Internacional de Guarulhos -</w:t>
      </w:r>
      <w:proofErr w:type="gramStart"/>
      <w:r w:rsidRPr="0002436C">
        <w:rPr>
          <w:strike/>
        </w:rPr>
        <w:t xml:space="preserve">  </w:t>
      </w:r>
      <w:proofErr w:type="gramEnd"/>
      <w:r w:rsidRPr="0002436C">
        <w:rPr>
          <w:strike/>
        </w:rPr>
        <w:t>Aeroporto Governador André Franco Montoro, São Paulo, SP.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10.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Autorização de Importação ou Certificado de Não Objeção emitido pela UPROC;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Autorização de Exportação emitida pela autoridade competente no exterior;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h)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Laudo Analítico de Controle de Qualidade, por lote ou partida, emitido pelo fabricante;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j) Guia de Retirada de Substâncias, Medicamentos Entorpecentes, ou que determinem dependência física ou psíquica, na forma do Anexo V da Portaria SVS/MS n.º 344, de 1998, emitida em </w:t>
      </w:r>
      <w:proofErr w:type="gramStart"/>
      <w:r w:rsidRPr="0002436C">
        <w:rPr>
          <w:strike/>
        </w:rPr>
        <w:t>5</w:t>
      </w:r>
      <w:proofErr w:type="gramEnd"/>
      <w:r w:rsidRPr="0002436C">
        <w:rPr>
          <w:strike/>
        </w:rPr>
        <w:t xml:space="preserve"> (cinco) vias;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l) Instrumento de procuração da pessoa jurídica detentora da regularização do produto junto à ANVISA ao representante legal, responsável pelo desembaraço;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m)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10.1. Quando não especificado a obrigatoriedade da apresentação exclusiva em sua forma original, os documentos de que trata este Capítulo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10.2. Os documentos de que tratam as alíneas “d”, “e”, “h” e “i” deverão ser atestados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10.3. Estará isento da apresentação do documento da alínea “l”,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11. O enquadramento das mercadorias de que trata este Capítulo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CAPÍTULO III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2 – HEMODERIVADOS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12. A importação de hemoderivados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>, produto a granel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 e autorização prévia favorável de embarque,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13. A autorização prévia favorável de embarque dar-se-á mediante manifestação da Unidade de Produtos Biológicos – UPBIH - da Gerência-Geral de Medicamentos – GGMED - da ANVISA em sua sede, em Brasília, DF.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13.1. Caberá </w:t>
      </w:r>
      <w:proofErr w:type="gramStart"/>
      <w:r w:rsidRPr="0002436C">
        <w:rPr>
          <w:strike/>
        </w:rPr>
        <w:t>a</w:t>
      </w:r>
      <w:proofErr w:type="gramEnd"/>
      <w:r w:rsidRPr="0002436C">
        <w:rPr>
          <w:strike/>
        </w:rPr>
        <w:t xml:space="preserve"> empresa interessada encaminhar à UPBIH apresentar requerimento de autorização de embarque no exterior, mediante preenchimento de Petição de Autorização de Embarque no Exterior.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14. As mercadorias de que tratam este Capítulo somente poderão entrar em território nacional pelos seguintes portos e aeroportos: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a) Porto do Rio de Janeiro, Rio de Janeiro, RJ;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Aeroporto Internacional do Rio de Janeiro – Aeroporto Maestro Antônio Carlos Jobim, Rio de Janeiro, RJ;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Porto de Santos, Santos, SP;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Aeroporto Internacional de Guarulhos -</w:t>
      </w:r>
      <w:proofErr w:type="gramStart"/>
      <w:r w:rsidRPr="0002436C">
        <w:rPr>
          <w:strike/>
        </w:rPr>
        <w:t xml:space="preserve">  </w:t>
      </w:r>
      <w:proofErr w:type="gramEnd"/>
      <w:r w:rsidRPr="0002436C">
        <w:rPr>
          <w:strike/>
        </w:rPr>
        <w:t>Aeroporto Governador André Franco Montoro, São Paulo, SP;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Aeroporto Internacional Tancredo Neves, MG;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Aeroporto Internacional de Porto Alegre – Aeroporto Internacional Salgado Filho, RS;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g) Aeroporto Internacional de Brasília – Aeroporto Internacional Presidente Juscelino Kubitschek, DF;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Aeroporto Internacional de Guararapes – Aeroporto Internacional Gilberto Freire, PE;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i) Aeroporto Internacional de Manaus – Aeroporto Internacional Eduardo Gomes, AM.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15.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f)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Laudo Analítico de Controle de Qualidade, por lote ou partida, emitido pelo fabricante;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h) Guia de Recolhimento da União – GRU, da Secretaria do Tesouro Nacional, em sua forma original, para colheita e transporte de produtos para análise de controle, quando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Instrumento de procuração da pessoa jurídica detentora da regularização do produto junto à ANVISA ao representante legal, responsável pelo desembaraço;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j)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15.1. Quando não especificado a obrigatoriedade da apresentação exclusiva em sua forma original, os documentos de que trata este Capítulo deverão ser </w:t>
      </w:r>
      <w:r w:rsidRPr="0002436C">
        <w:rPr>
          <w:strike/>
        </w:rPr>
        <w:lastRenderedPageBreak/>
        <w:t>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15.2. Os documentos de que tratas as alíneas “f” e “g” deverão ser atestados pelo responsável técnico.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15.3. Estará isento da apresentação do documento da alínea “i”,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16. O enquadramento das mercadorias de que trata este Capítulo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CAPÍTULO IV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2-A</w:t>
      </w:r>
      <w:proofErr w:type="gramStart"/>
      <w:r w:rsidRPr="00376E90">
        <w:rPr>
          <w:b/>
          <w:strike/>
        </w:rPr>
        <w:t xml:space="preserve">  </w:t>
      </w:r>
      <w:proofErr w:type="gramEnd"/>
      <w:r w:rsidRPr="00376E90">
        <w:rPr>
          <w:b/>
          <w:strike/>
        </w:rPr>
        <w:t>– PRODUTOS BIOLÓGICOS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17. A importação de produtos biológicos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>, produto a granel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 e autorização prévia favorável de embarque,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18. A autorização prévia favorável de embarque dar-se-á mediante manifestação da Unidade de Produtos Biológicos – UPBIH - da Gerência-Geral de Medicamentos – GGMED - da ANVISA em sua sede, em Brasília, DF.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18.1. Caberá </w:t>
      </w:r>
      <w:proofErr w:type="gramStart"/>
      <w:r w:rsidRPr="0002436C">
        <w:rPr>
          <w:strike/>
        </w:rPr>
        <w:t>a</w:t>
      </w:r>
      <w:proofErr w:type="gramEnd"/>
      <w:r w:rsidRPr="0002436C">
        <w:rPr>
          <w:strike/>
        </w:rPr>
        <w:t xml:space="preserve"> empresa interessada encaminhar à UPBIH apresentar requerimento de autorização de embarque no exterior, mediante preenchimento de Petição de Autorização de Embarque no Exterior.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19.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f)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Laudo Analítico de Controle de Qualidade, por lote ou partida, emitido pelo fabricante;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h) Guia de Recolhimento da União – GRU, da Secretaria do Tesouro Nacional, em sua forma original, para colheita e transporte de produtos para análise de controle, quando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Instrumento de procuração da pessoa jurídica detentora da regularização do produto junto à ANVISA ao representante legal, responsável pelo desembaraço;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j)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19.1. Quando não especificado a obrigatoriedade da apresentação exclusiva em sua forma original, os documentos de que trata este Capítulo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19.2. Os documentos de que tratas as alíneas “f” e “g” deverão ser atestados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19.3. Estará isento da apresentação do documento da alínea “i”,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20. O enquadramento das mercadorias de que trata este Capítulo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CAPÍTULO V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3</w:t>
      </w:r>
      <w:proofErr w:type="gramStart"/>
      <w:r w:rsidRPr="00376E90">
        <w:rPr>
          <w:b/>
          <w:strike/>
        </w:rPr>
        <w:t xml:space="preserve">  </w:t>
      </w:r>
      <w:proofErr w:type="gramEnd"/>
      <w:r w:rsidRPr="00376E90">
        <w:rPr>
          <w:b/>
          <w:strike/>
        </w:rPr>
        <w:t>– MERCADORIAS SUJEITAS À CONTROLE ESPECIAL DE QUE TRATA A PORTARIA SVS/MS N.º 344, DE 1998, EM SUAS LISTAS “C1”, “C2”, “C4” E “C5”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21. A importação de mercadorias sujeitas ao controle especial de que trata a Portaria SVS/MS n.º 344, de 1998,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 xml:space="preserve">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 e autorização prévia favorável de embarque, </w:t>
      </w:r>
      <w:r w:rsidRPr="0002436C">
        <w:rPr>
          <w:strike/>
        </w:rPr>
        <w:lastRenderedPageBreak/>
        <w:t>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22. A autorização prévia favorável de embarque dar-se-á mediante manifestação da Unidade de Produtos Controlados – UPROC - da Gerência-Geral de Medicamentos – GGMED - da ANVISA em sua sede, em Brasília, DF.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22.1. Caberá </w:t>
      </w:r>
      <w:proofErr w:type="gramStart"/>
      <w:r w:rsidRPr="0002436C">
        <w:rPr>
          <w:strike/>
        </w:rPr>
        <w:t>a</w:t>
      </w:r>
      <w:proofErr w:type="gramEnd"/>
      <w:r w:rsidRPr="0002436C">
        <w:rPr>
          <w:strike/>
        </w:rPr>
        <w:t xml:space="preserve"> empresa interessada encaminhar à UPROC apresentar requerimento de autorização de embarque no exterior, mediante preenchimento de Petição de Autorização de Embarque no Exterior.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23.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d) Certificado de Não Objeção, ou Declaração de que no país de origem não há expedição desse documento;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g)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Laudo Analítico de Controle de Qualidade, por lote ou partida, emitido pelo fabricante;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i) Guia de Recolhimento da União – GRU, da Secretaria do Tesouro Nacional, em sua forma original, para colheita e transporte de produtos para análise de controle, quando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j) Instrumento de procuração da pessoa jurídica detentora da regularização do produto junto à ANVISA ao representante legal, responsável pelo desembaraço;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l) documento de averbação referente à comprovação da atracação da mercadoria no ambiente armazenador e sua respectiva localização, expedido pelo </w:t>
      </w:r>
      <w:r w:rsidRPr="0002436C">
        <w:rPr>
          <w:strike/>
        </w:rPr>
        <w:lastRenderedPageBreak/>
        <w:t xml:space="preserve">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23.1. Quando não especificado a obrigatoriedade da apresentação exclusiva em sua forma original, os documentos de que trata este Capítulo deverão ser apresentados na sua forma original e cópia, para sua autenticação, ou previamente autenticados.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23.2. Os documentos de que tratam as alíneas “e”, “g” e “h” deverão ser atestados pelo responsável técnico, e, naquele caso, também pelo responsável ou representante legal.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23.3. Estará isento da apresentação do documento da alínea “j”,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24. O enquadramento das mercadorias de que trata este Capítulo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proofErr w:type="gramStart"/>
      <w:r w:rsidRPr="00376E90">
        <w:rPr>
          <w:b/>
          <w:strike/>
        </w:rPr>
        <w:t>CAPÍTULO VI</w:t>
      </w:r>
      <w:proofErr w:type="gramEnd"/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4 – PRODUTOS PARA SAÚDE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25. A importação de produtos para saúde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>, produto a granel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 e autorização prévia favorável de embarque,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26. A autorização prévia de embarque dar-se-á mediante manifestação da autoridade sanitária de desembaraço aduaneiro no tocante ao </w:t>
      </w:r>
      <w:r w:rsidRPr="0002436C">
        <w:rPr>
          <w:i/>
          <w:iCs/>
          <w:strike/>
        </w:rPr>
        <w:t xml:space="preserve">status </w:t>
      </w:r>
      <w:r w:rsidRPr="0002436C">
        <w:rPr>
          <w:strike/>
        </w:rPr>
        <w:t>no Licenciamento de Importação.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26.1. Nos casos previstos neste Regulamento, a autorização prévia de embarque dar-se-á mediante manifestação da Gerência-Geral de Tecnologia de Produtos para Saúde – GGTPS - da ANVISA em sua sede, em Brasília, DF.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27. Caberá </w:t>
      </w:r>
      <w:proofErr w:type="gramStart"/>
      <w:r w:rsidRPr="0002436C">
        <w:rPr>
          <w:strike/>
        </w:rPr>
        <w:t>a</w:t>
      </w:r>
      <w:proofErr w:type="gramEnd"/>
      <w:r w:rsidRPr="0002436C">
        <w:rPr>
          <w:strike/>
        </w:rPr>
        <w:t xml:space="preserve"> empresa interessada encaminhar à autoridade competente, na forma dos itens 26 e 26.1 deste Capítulo, requerimento de autorização de embarque no exterior, mediante preenchimento de Petição de Autorização de Embarque no Exterior.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27.1. Constituir-se-á documentação obrigatória para apresentação à autoridade sanitária quando da autorização de embarque no exterior: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a)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declaração do detentor do registro autorizando a importação por terceiro;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instrumento de representação da pessoa jurídica detentora da regularização da mercadoria junto à ANVISA a favor do responsável legal ou representante legal;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informações sobre a mercadoria e pessoa jurídica importadora, como regularização do produto e da empresa e número de Licenciamento de Importação ou Licenciamento Simplificado de Importação.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27.2. Quando não especificado a obrigatoriedade da apresentação exclusiva em sua forma original, os documentos de que trata este Capítulo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27.3. Estará isento da apresentação do documento da alínea “c”,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27.4. Estará dispensada da apresentação de informação de regularização da empresa a importação de matérias-primas da classe de mercadorias deste Capítulo.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28.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e)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Informações, por lote ou partida, emitido pelo fabricante de cada mercadoria;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Comprovante de esterilidade da mercadoria, emitido pelo fabricante, quando couber;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h) Instrumento de procuração da pessoa jurídica detentora da regularização do produto junto à ANVISA ao representante legal, responsável pelo desembaraço;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i)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28.1. Quando não especificado a obrigatoriedade da apresentação exclusiva em sua forma original, os documentos de que trata este Capítulo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28.2. Os documentos de que tratam a alíneas “e”, “f” e “g” deverão ser atestados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28.3. Estará isento da apresentação do documento da alínea “h”,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29. O enquadramento das mercadorias de que trata este Capítulo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CAPÍTULO VII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5 – OUTRAS MERCADORIAS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Seção I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5.1. - Alimentos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30. A importação de alimentos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>, produto a granel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31.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f)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Laudo Analítico de Controle de Qualidade, por lote ou partida, emitido pelo fabricante ou produtor, de mercadorias industrializadas que integram as NCM 0401 a 0404, 0409, Capítulo 16 e Capítulos 28, 29 e 32 (matérias-primas inorgânicas e orgânicas que integram exclusivamente este Procedimento), na forma da regulamentação sanitária pertinente;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Certificado da “</w:t>
      </w:r>
      <w:proofErr w:type="spellStart"/>
      <w:r w:rsidRPr="0002436C">
        <w:rPr>
          <w:strike/>
        </w:rPr>
        <w:t>Administración</w:t>
      </w:r>
      <w:proofErr w:type="spellEnd"/>
      <w:r w:rsidRPr="0002436C">
        <w:rPr>
          <w:strike/>
        </w:rPr>
        <w:t xml:space="preserve"> Nacional de Medicamentos, Alimentos y </w:t>
      </w:r>
      <w:proofErr w:type="spellStart"/>
      <w:r w:rsidRPr="0002436C">
        <w:rPr>
          <w:strike/>
        </w:rPr>
        <w:t>Tecnología</w:t>
      </w:r>
      <w:proofErr w:type="spellEnd"/>
      <w:r w:rsidRPr="0002436C">
        <w:rPr>
          <w:strike/>
        </w:rPr>
        <w:t>”, para mercadoria oriunda da Argentina, quando couber;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declaração do detentor do registro autorizando a importação por terceiro;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j) Licença de Funcionamento, Alvará ou documento correspondente pertinente para a armazenagem da mercadoria no território nacional, emitido pela autoridade sanitária competente do Estado, Município ou do Distrito Federal;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l) instrumento de representação da pessoa jurídica detentora da regularização da mercadoria junto à ANVISA a favor do responsável legal ou representante legal;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m)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31.1. Quando não especificado a obrigatoriedade da apresentação exclusiva em sua forma original, os documentos de que trata esta Seção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31.2. Os documentos de que tratam as alíneas “f” e “g” deverão ser atestados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31.3. Estará isento da apresentação do documento da alínea “l”, o mandatário devidamente cadastrado junto à respectiva CVSPAF de desembaraço.</w:t>
      </w:r>
    </w:p>
    <w:p w:rsidR="00C96FB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 xml:space="preserve">32. O enquadramento das mercadorias de que trata esta Seção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Seção II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 xml:space="preserve">Procedimento 5.2. - </w:t>
      </w:r>
      <w:proofErr w:type="gramStart"/>
      <w:r w:rsidRPr="00376E90">
        <w:rPr>
          <w:b/>
          <w:strike/>
        </w:rPr>
        <w:t>Cosméticos, Produtos</w:t>
      </w:r>
      <w:proofErr w:type="gramEnd"/>
      <w:r w:rsidRPr="00376E90">
        <w:rPr>
          <w:b/>
          <w:strike/>
        </w:rPr>
        <w:t xml:space="preserve"> de Higiene e Perfumes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33. A importação de cosméticos, produtos de higiene e perfumes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>, produto a granel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34.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informações sobre a mercadoria e pessoa jurídica importadora, como regularização do produto e da empresa e número de Licenciamento de Importação ou Licenciamento Simplificado de Importação.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g)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declaração do detentor do registro autorizando a importação por terceiro;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instrumento de representação da pessoa jurídica detentora da regularização da mercadoria junto à ANVISA a favor do responsável legal ou representante legal;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j) documento de averbação referente à comprovação da atracação da mercadoria no ambiente armazenador e sua respectiva localização, expedido pelo </w:t>
      </w:r>
      <w:r w:rsidRPr="0002436C">
        <w:rPr>
          <w:strike/>
        </w:rPr>
        <w:lastRenderedPageBreak/>
        <w:t xml:space="preserve">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34.1. Quando não especificado a obrigatoriedade da apresentação exclusiva em sua forma original, os documentos de que trata esta Seção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34.2. O documento de que trata a alínea “g” deverá ser atestado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34.3. Estará isento da apresentação do documento da alínea “i”,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35. O enquadramento das mercadorias de que trata esta Seção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Seção III</w:t>
      </w:r>
    </w:p>
    <w:p w:rsidR="00C96FBC" w:rsidRPr="00376E90" w:rsidRDefault="00C96FBC" w:rsidP="00C96FBC">
      <w:pPr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5.3. - Medicamentos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36. A importação de medicamentos em geral, não enquadrados nas disposições anteriores,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>, produto a granel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37.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 xml:space="preserve">f)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Laudo Analítico de Controle de Qualidade, por lote ou partida, emitido pelo fabricante;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informações sobre a mercadoria e pessoa jurídica importadora, como regularização do produto e da empresa e número de Licenciamento de Importação ou Licenciamento Simplificado de Importação.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declaração do detentor do registro autorizando a importação por terceiro;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j) instrumento de representação da pessoa jurídica detentora da regularização da mercadoria junto à ANVISA a favor do responsável legal ou representante legal;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l)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37.1. Quando não especificado a obrigatoriedade da apresentação exclusiva em sua forma original, os documentos de que trata esta Seção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37.2. Os documentos de que tratam as alíneas “f” e “g” deverão ser atestados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37.3. Estará isento da apresentação do documento da alínea “j”,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38. O enquadramento das mercadorias de que trata esta Seção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Seção IV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5.4. - Saneantes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39. A importação de saneantes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>, produto a granel ou produto acabado,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40.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f)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informações sobre a mercadoria, seu respectivo lote e partida, e pessoa jurídica importadora, como regularização do produto e da empresa e número de Licenciamento de Importação ou Licenciamento Simplificado de Importação;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declaração do detentor do registro autorizando a importação por terceiro;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instrumento de representação da pessoa jurídica detentora da regularização da mercadoria junto à ANVISA a favor do responsável legal ou representante legal;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j)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40.1. Quando não especificado a obrigatoriedade da apresentação exclusiva em sua forma original, os documentos de que trata esta Seção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40.2. O documento de que trata a alínea “f” deverá ser atestado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40.3. Estará isento da apresentação do documento da alínea “i”,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40.3. Estará dispensada da apresentação de informação de regularização da empresa a importação de matérias-primas da classe de saneantes desta Seção, não </w:t>
      </w:r>
      <w:r w:rsidRPr="0002436C">
        <w:rPr>
          <w:strike/>
        </w:rPr>
        <w:lastRenderedPageBreak/>
        <w:t>eximindo a apresentação da Licença de Funcionamento, Alvará ou documento correspondente pertinente para a armazenagem da mercadoria no território nacional, emitido pela autoridade sanitária competente do Estado, Município ou do Distrito Federal, na forma da regulamentação local para concessão e renovação.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41. O enquadramento das mercadorias de que trata esta Seção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Seção V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i/>
          <w:iCs/>
          <w:strike/>
        </w:rPr>
      </w:pPr>
      <w:r w:rsidRPr="00376E90">
        <w:rPr>
          <w:b/>
          <w:strike/>
        </w:rPr>
        <w:t xml:space="preserve">Procedimento 5.5. - Produtos para Diagnóstico </w:t>
      </w:r>
      <w:r w:rsidRPr="00376E90">
        <w:rPr>
          <w:b/>
          <w:i/>
          <w:iCs/>
          <w:strike/>
        </w:rPr>
        <w:t>In Vitro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42. A importação de produtos para diagnóstico,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43.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f)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informações sobre a mercadoria, seu respectivo lote e partida;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comprovante de esterilidade da mercadoria, emitido pelo fabricante, quando couber;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declaração do detentor do registro autorizando a importação por terceiro;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j) instrumento de representação da pessoa jurídica detentora da regularização da mercadoria junto à ANVISA a favor do responsável legal ou representante legal;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 xml:space="preserve">l)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43.1. Quando não especificado a obrigatoriedade da apresentação exclusiva em sua forma original, os documentos de que trata esta Seção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43.2. O documento de que trata a alínea “f” deverá ser atestado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43.3. Estará isento da apresentação do documento da alínea “j”,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44. O enquadramento das mercadorias de que trata esta Seção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proofErr w:type="gramStart"/>
      <w:r w:rsidRPr="00376E90">
        <w:rPr>
          <w:b/>
          <w:strike/>
        </w:rPr>
        <w:t>Seção VI</w:t>
      </w:r>
      <w:proofErr w:type="gramEnd"/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i/>
          <w:iCs/>
          <w:strike/>
        </w:rPr>
      </w:pPr>
      <w:r w:rsidRPr="00376E90">
        <w:rPr>
          <w:b/>
          <w:strike/>
        </w:rPr>
        <w:t xml:space="preserve">Procedimento 5.6. – Mercadorias Diversas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45. A importação das mercadorias, na forma desta Seção,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45.1. São mercadorias enquadradas nesta Seção: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a) cabelos em suas diversas formas de apresentação para uso humano;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perucas, barbas, sobrancelhas, pestanas, madeixas e artefatos semelhantes para uso humano;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lã, pelos e outras matérias têxteis, preparados para a fabricação de perucas ou de artefatos semelhantes para uso humano;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mamadeira, bico de mamadeira, chupeta, mordedor;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vestuários e acessórios para uso médico, odontológico ou hospitalar, incluindo artefatos confeccionados e moldes para vestuário;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artefatos de matérias têxteis, calçados, chapéus e artefatos de uso semelhante, usados, nos casos de doação.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46.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informações sobre a mercadoria, seu respectivo lote e partida, quando couber;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declaração do detentor do registro autorizando a importação por terceiro, quando couber;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instrumento de representação da pessoa jurídica detentora da regularização da mercadoria junto à ANVISA a favor do responsável legal ou representante legal;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i)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46.1. Quando não especificado a obrigatoriedade da apresentação exclusiva em sua forma original, os documentos de que trata esta Seção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46.2. Estará isento da apresentação do documento da alínea “h”,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47. O enquadramento das mercadorias de que trata esta Seção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proofErr w:type="gramStart"/>
      <w:r w:rsidRPr="00376E90">
        <w:rPr>
          <w:b/>
          <w:strike/>
        </w:rPr>
        <w:t>CAPÍTULO VI</w:t>
      </w:r>
      <w:proofErr w:type="gramEnd"/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PROCEDIMENTO 6 – BENS E PRODUTOS QUE CONTÊM TECIDOS OU FLUIDOS DE ANIMAIS RUMINANTES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 xml:space="preserve">48. A importação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>, produto a granel ou produto acabado, de quaisquer classes de produtos, conforme enquadramento das mercadorias disponível no sítio eletrônico da ANVISA</w:t>
      </w:r>
      <w:proofErr w:type="gramStart"/>
      <w:r w:rsidRPr="0002436C">
        <w:rPr>
          <w:strike/>
        </w:rPr>
        <w:t>, estará</w:t>
      </w:r>
      <w:proofErr w:type="gramEnd"/>
      <w:r w:rsidRPr="0002436C">
        <w:rPr>
          <w:strike/>
        </w:rPr>
        <w:t xml:space="preserve"> sujeita ao registro de Licenciamento de Importação no SISCOMEX e autorização prévia favorável de embarque,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49. A autorização prévia de embarque dar-se-á mediante manifestação da autoridade sanitária de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49.1. Nos casos previstos neste Regulamento, a autorização prévia de embarque dar-se-á mediante manifestação do setor técnico da ANVISA em sua sede, em Brasília, DF.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50. Caberá </w:t>
      </w:r>
      <w:proofErr w:type="gramStart"/>
      <w:r w:rsidRPr="0002436C">
        <w:rPr>
          <w:strike/>
        </w:rPr>
        <w:t>a</w:t>
      </w:r>
      <w:proofErr w:type="gramEnd"/>
      <w:r w:rsidRPr="0002436C">
        <w:rPr>
          <w:strike/>
        </w:rPr>
        <w:t xml:space="preserve"> empresa interessada encaminhar à autoridade competente, na forma dos itens 49 e 49.1 deste Capítulo, requerimento de autorização de embarque no exterior, mediante preenchimento de Petição de Autorização de Embarque no Exterior.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51.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f) informações sobre a mercadoria, sua data de fabricação, seu respectivo lote e partida, emitidas pelo fabricante, pessoa jurídica importadora, regularização do produto e da empresa e número de Licenciamento de Importação ou Licenciamento Simplificado de Importação;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g)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Comprovante de esterilidade da mercadoria, emitido pelo fabricante, quando couber;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i) declaração do detentor do registro autorizando a importação por terceiro;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j) Instrumento de procuração da pessoa jurídica detentora da regularização do produto junto à ANVISA ao representante legal, responsável pelo desembaraço;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l)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51.1. Quando não especificado a obrigatoriedade da apresentação exclusiva em sua forma original, os documentos de que trata este Capítulo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51.2. Os documentos de que tratam a alíneas “f”, “g” e “h” deverão ser atestados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51.3. Estará isento da apresentação do documento da alínea “j”, o mandatário devidamente cadastrado junto à respectiva CVSPAF de desembaraço.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52. O enquadramento das mercadorias de que trata este Capítulo está disponível no sítio eletrônico da ANVISA, e produz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>CAPÍTULO VII</w:t>
      </w:r>
    </w:p>
    <w:p w:rsidR="00C96FBC" w:rsidRPr="00376E90" w:rsidRDefault="00C96FBC" w:rsidP="00C96FBC">
      <w:pPr>
        <w:tabs>
          <w:tab w:val="left" w:pos="1440"/>
        </w:tabs>
        <w:jc w:val="center"/>
        <w:divId w:val="180971581"/>
        <w:rPr>
          <w:b/>
          <w:strike/>
        </w:rPr>
      </w:pPr>
      <w:r w:rsidRPr="00376E90">
        <w:rPr>
          <w:b/>
          <w:strike/>
        </w:rPr>
        <w:t xml:space="preserve">PROCEDIMENTO 7 – BENS E PRODUTOS SOB INTERVENÇÃO DECORRENTE DE CONTEXTO EPIDEMIOLÓGICO INTERNACIONAL, EMERGENCIAIS E </w:t>
      </w:r>
      <w:proofErr w:type="gramStart"/>
      <w:r w:rsidRPr="00376E90">
        <w:rPr>
          <w:b/>
          <w:strike/>
        </w:rPr>
        <w:t>TEMPORÁRIAS</w:t>
      </w:r>
      <w:proofErr w:type="gramEnd"/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53. A importação de mercadorias na forma de matéria-prima, produto </w:t>
      </w:r>
      <w:proofErr w:type="spellStart"/>
      <w:r w:rsidRPr="0002436C">
        <w:rPr>
          <w:strike/>
        </w:rPr>
        <w:t>semi-elaborado</w:t>
      </w:r>
      <w:proofErr w:type="spellEnd"/>
      <w:r w:rsidRPr="0002436C">
        <w:rPr>
          <w:strike/>
        </w:rPr>
        <w:t xml:space="preserve">, produto a granel ou produto </w:t>
      </w:r>
      <w:proofErr w:type="gramStart"/>
      <w:r w:rsidRPr="0002436C">
        <w:rPr>
          <w:strike/>
        </w:rPr>
        <w:t>acabado, assim definidas por ato do Diretor responsável pela ANVISA em situações de contexto epidemiológico internacional emergencial ou temporário</w:t>
      </w:r>
      <w:proofErr w:type="gramEnd"/>
      <w:r w:rsidRPr="0002436C">
        <w:rPr>
          <w:strike/>
        </w:rPr>
        <w:t>, conforme enquadramento das mercadorias disponível no sítio eletrônico da ANVISA, estará sujeita ao registro de Licenciamento de Importação no SISCOMEX e autorização prévia favorável de embarque, submetendo-se à fiscalização pela autoridade sanitária antes de seu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54. A autorização prévia de embarque dar-se-á mediante manifestação da autoridade sanitária de desembaraço aduaneiro.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54.1. Nos casos previstos neste Regulamento ou definido por ato do Diretor responsável pela ANVISA, a autorização prévia de embarque dar-se-á mediante manifestação do setor técnico da ANVISA em sua sede, em Brasília, DF.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 xml:space="preserve">55. Caberá </w:t>
      </w:r>
      <w:proofErr w:type="gramStart"/>
      <w:r w:rsidRPr="0002436C">
        <w:rPr>
          <w:strike/>
        </w:rPr>
        <w:t>a</w:t>
      </w:r>
      <w:proofErr w:type="gramEnd"/>
      <w:r w:rsidRPr="0002436C">
        <w:rPr>
          <w:strike/>
        </w:rPr>
        <w:t xml:space="preserve"> empresa interessada encaminhar à autoridade competente, na forma dos itens 54 e 54.1 deste Capítulo, requerimento de autorização de embarque no exterior, mediante preenchimento de Petição de Autorização de Embarque no Exterior.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56. Constituir-se-á documentação obrigatória para apresentação à autoridade sanitária onde será desembaraçada a mercadoria: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a) Petição para Fiscalização e Liberação Sanitária de que trata o item 1.2. </w:t>
      </w:r>
      <w:proofErr w:type="gramStart"/>
      <w:r w:rsidRPr="0002436C">
        <w:rPr>
          <w:strike/>
        </w:rPr>
        <w:t>do</w:t>
      </w:r>
      <w:proofErr w:type="gramEnd"/>
      <w:r w:rsidRPr="0002436C">
        <w:rPr>
          <w:strike/>
        </w:rPr>
        <w:t xml:space="preserve"> Anexo II da Resolução-RDC n.º 350, de 2005;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b) Guia de Recolhimento da União – GRU, da Secretaria do Tesouro Nacional, em sua forma original;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c) Autorização de acesso para inspeção física, na forma da legislação fazendária;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d) Fatura Comercial – “</w:t>
      </w:r>
      <w:proofErr w:type="spellStart"/>
      <w:r w:rsidRPr="0002436C">
        <w:rPr>
          <w:strike/>
        </w:rPr>
        <w:t>Invoice</w:t>
      </w:r>
      <w:proofErr w:type="spellEnd"/>
      <w:r w:rsidRPr="0002436C">
        <w:rPr>
          <w:strike/>
        </w:rPr>
        <w:t>”;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e) Conhecimento de Carga Embarcada;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f) declaração quanto aos lotes ou partidas, identificados </w:t>
      </w:r>
      <w:proofErr w:type="spellStart"/>
      <w:r w:rsidRPr="0002436C">
        <w:rPr>
          <w:strike/>
        </w:rPr>
        <w:t>alfa-numericamente</w:t>
      </w:r>
      <w:proofErr w:type="spellEnd"/>
      <w:r w:rsidRPr="0002436C">
        <w:rPr>
          <w:strike/>
        </w:rPr>
        <w:t xml:space="preserve">, no que couber;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g) informações sobre a mercadoria, sua data de fabricação, seu respectivo lote e partida, emitidas pelo fabricante, pessoa jurídica importadora, regularização do produto e da empresa e número de Licenciamento de Importação ou Licenciamento Simplificado de Importação;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h) Comprovante de esterilidade da mercadoria, emitido pelo fabricante, quando couber;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i) declaração do detentor do registro autorizando a importação por terceiro;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j) Instrumento de procuração da pessoa jurídica detentora da regularização do produto junto à ANVISA ao representante legal, responsável pelo desembaraço;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l) documento de averbação referente à comprovação da atracação da mercadoria no ambiente armazenador e sua respectiva localização, expedido pelo representante legal da pessoa jurídica administradora do recinto alfandegado onde a mercadoria encontra-se armazenada. 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56.1. Quando não especificado a obrigatoriedade da apresentação exclusiva em sua forma original, os documentos de que trata este Capítulo deverão ser apresentados na sua forma original e cópia, para sua autenticação, ou previamente autenticados.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lastRenderedPageBreak/>
        <w:t>56.2. Os documentos de que tratam a alíneas “f”, “g” e “h” deverão ser atestados pelo responsável técnico.</w:t>
      </w:r>
    </w:p>
    <w:p w:rsidR="00C96FBC" w:rsidRPr="0002436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>56.3. Estará isento da apresentação do documento da alínea “j”, o mandatário devidamente cadastrado junto à respectiva CVSPAF de desembaraço.</w:t>
      </w:r>
    </w:p>
    <w:p w:rsidR="00C96FBC" w:rsidRDefault="00C96FBC" w:rsidP="00376E90">
      <w:pPr>
        <w:tabs>
          <w:tab w:val="left" w:pos="1440"/>
        </w:tabs>
        <w:ind w:firstLine="709"/>
        <w:jc w:val="both"/>
        <w:divId w:val="180971581"/>
        <w:rPr>
          <w:strike/>
        </w:rPr>
      </w:pPr>
      <w:r w:rsidRPr="0002436C">
        <w:rPr>
          <w:strike/>
        </w:rPr>
        <w:t xml:space="preserve">57. O enquadramento das mercadorias de que trata este Capítulo, definidas as mercadorias por ato do Diretor responsável pela ANVISA, estará disponível no sítio eletrônico da ANVISA, e produzirá seus efeitos legais para sua classificação na importação </w:t>
      </w:r>
      <w:proofErr w:type="gramStart"/>
      <w:r w:rsidRPr="0002436C">
        <w:rPr>
          <w:strike/>
        </w:rPr>
        <w:t>sob anuência</w:t>
      </w:r>
      <w:proofErr w:type="gramEnd"/>
      <w:r w:rsidRPr="0002436C">
        <w:rPr>
          <w:strike/>
        </w:rPr>
        <w:t xml:space="preserve"> sanitária.</w:t>
      </w:r>
    </w:p>
    <w:p w:rsidR="00376E90" w:rsidRDefault="00376E90">
      <w:pPr>
        <w:spacing w:before="0" w:beforeAutospacing="0" w:after="0" w:afterAutospacing="0"/>
        <w:rPr>
          <w:strike/>
        </w:rPr>
      </w:pPr>
      <w:r>
        <w:rPr>
          <w:strike/>
        </w:rPr>
        <w:br w:type="page"/>
      </w:r>
    </w:p>
    <w:p w:rsidR="003B4C29" w:rsidRPr="00376E90" w:rsidRDefault="003B4C29" w:rsidP="003B4C29">
      <w:pPr>
        <w:tabs>
          <w:tab w:val="left" w:pos="1440"/>
        </w:tabs>
        <w:spacing w:before="0" w:beforeAutospacing="0" w:after="0" w:afterAutospacing="0"/>
        <w:jc w:val="center"/>
        <w:divId w:val="180971581"/>
        <w:rPr>
          <w:b/>
          <w:strike/>
        </w:rPr>
      </w:pPr>
      <w:r w:rsidRPr="00376E90">
        <w:rPr>
          <w:b/>
          <w:strike/>
        </w:rPr>
        <w:lastRenderedPageBreak/>
        <w:t>ANEXO III</w:t>
      </w:r>
    </w:p>
    <w:p w:rsidR="003B4C29" w:rsidRPr="00376E90" w:rsidRDefault="003B4C29" w:rsidP="003B4C29">
      <w:pPr>
        <w:tabs>
          <w:tab w:val="left" w:pos="1440"/>
        </w:tabs>
        <w:spacing w:before="0" w:beforeAutospacing="0" w:after="0" w:afterAutospacing="0"/>
        <w:jc w:val="center"/>
        <w:divId w:val="180971581"/>
        <w:rPr>
          <w:b/>
          <w:strike/>
        </w:rPr>
      </w:pPr>
      <w:r w:rsidRPr="00376E90">
        <w:rPr>
          <w:b/>
          <w:strike/>
        </w:rPr>
        <w:t>DECLARAÇÃO DE RETORNO AO EXTERIOR DE MERCADORIA</w:t>
      </w:r>
    </w:p>
    <w:p w:rsidR="00C96FBC" w:rsidRPr="0002436C" w:rsidRDefault="00376E90" w:rsidP="00C96FBC">
      <w:pPr>
        <w:jc w:val="center"/>
        <w:divId w:val="180971581"/>
        <w:rPr>
          <w:b/>
          <w:bCs/>
          <w:strike/>
          <w:color w:val="FF0000"/>
        </w:rPr>
      </w:pPr>
      <w:r>
        <w:rPr>
          <w:b/>
          <w:bCs/>
          <w:strike/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4.7pt;margin-top:17.6pt;width:335.25pt;height:420pt;flip:x;z-index:251659264" o:connectortype="straight"/>
        </w:pict>
      </w:r>
      <w:r>
        <w:rPr>
          <w:b/>
          <w:bCs/>
          <w:strike/>
          <w:noProof/>
          <w:color w:val="FF0000"/>
        </w:rPr>
        <w:pict>
          <v:shape id="_x0000_s1026" type="#_x0000_t32" style="position:absolute;left:0;text-align:left;margin-left:51.45pt;margin-top:17.6pt;width:328.5pt;height:420pt;z-index:251658240" o:connectortype="straight"/>
        </w:pict>
      </w:r>
      <w:r w:rsidR="00C96FBC" w:rsidRPr="0002436C">
        <w:rPr>
          <w:b/>
          <w:bCs/>
          <w:strike/>
          <w:noProof/>
          <w:color w:val="FF0000"/>
        </w:rPr>
        <w:drawing>
          <wp:inline distT="0" distB="0" distL="0" distR="0">
            <wp:extent cx="4314825" cy="5429250"/>
            <wp:effectExtent l="0" t="0" r="0" b="0"/>
            <wp:docPr id="2" name="Imagem 2" descr="C:\Users\talita.ribeiro\Desktop\ANEXO III RDC 217 - REVOGA 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ta.ribeiro\Desktop\ANEXO III RDC 217 - REVOGA 3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FBC" w:rsidRPr="0002436C" w:rsidSect="00B12CB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90" w:rsidRDefault="00376E90" w:rsidP="00376E90">
      <w:pPr>
        <w:spacing w:before="0" w:after="0"/>
      </w:pPr>
      <w:r>
        <w:separator/>
      </w:r>
    </w:p>
  </w:endnote>
  <w:endnote w:type="continuationSeparator" w:id="0">
    <w:p w:rsidR="00376E90" w:rsidRDefault="00376E90" w:rsidP="00376E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E90" w:rsidRPr="00376E90" w:rsidRDefault="00376E90" w:rsidP="00376E9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color w:val="943634" w:themeColor="accent2" w:themeShade="BF"/>
        <w:sz w:val="22"/>
        <w:szCs w:val="22"/>
        <w:lang w:eastAsia="en-US"/>
      </w:rPr>
    </w:pPr>
    <w:r w:rsidRPr="00376E90">
      <w:rPr>
        <w:rFonts w:asciiTheme="minorHAnsi" w:eastAsiaTheme="minorHAnsi" w:hAnsiTheme="minorHAnsi" w:cstheme="minorBid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90" w:rsidRDefault="00376E90" w:rsidP="00376E90">
      <w:pPr>
        <w:spacing w:before="0" w:after="0"/>
      </w:pPr>
      <w:r>
        <w:separator/>
      </w:r>
    </w:p>
  </w:footnote>
  <w:footnote w:type="continuationSeparator" w:id="0">
    <w:p w:rsidR="00376E90" w:rsidRDefault="00376E90" w:rsidP="00376E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E90" w:rsidRPr="00376E90" w:rsidRDefault="00376E90" w:rsidP="00376E9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  <w:r w:rsidRPr="00376E90">
      <w:rPr>
        <w:rFonts w:asciiTheme="minorHAnsi" w:eastAsiaTheme="minorHAnsi" w:hAnsiTheme="minorHAnsi" w:cstheme="minorBidi"/>
        <w:noProof/>
        <w:sz w:val="22"/>
        <w:szCs w:val="22"/>
      </w:rPr>
      <w:drawing>
        <wp:inline distT="0" distB="0" distL="0" distR="0" wp14:anchorId="25B2791B" wp14:editId="4ADCC3B8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76E90" w:rsidRPr="00376E90" w:rsidRDefault="00376E90" w:rsidP="00376E9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376E90">
      <w:rPr>
        <w:rFonts w:asciiTheme="minorHAnsi" w:eastAsiaTheme="minorHAnsi" w:hAnsiTheme="minorHAnsi" w:cstheme="minorBidi"/>
        <w:b/>
        <w:szCs w:val="22"/>
        <w:lang w:eastAsia="en-US"/>
      </w:rPr>
      <w:t>Ministério da Saúde - MS</w:t>
    </w:r>
  </w:p>
  <w:p w:rsidR="00376E90" w:rsidRDefault="00376E90" w:rsidP="00376E9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  <w:r w:rsidRPr="00376E90">
      <w:rPr>
        <w:rFonts w:asciiTheme="minorHAnsi" w:eastAsiaTheme="minorHAnsi" w:hAnsiTheme="minorHAnsi" w:cstheme="minorBidi"/>
        <w:b/>
        <w:szCs w:val="22"/>
        <w:lang w:eastAsia="en-US"/>
      </w:rPr>
      <w:t xml:space="preserve">Agência Nacional de Vigilância Sanitária </w:t>
    </w:r>
    <w:r>
      <w:rPr>
        <w:rFonts w:asciiTheme="minorHAnsi" w:eastAsiaTheme="minorHAnsi" w:hAnsiTheme="minorHAnsi" w:cstheme="minorBidi"/>
        <w:b/>
        <w:szCs w:val="22"/>
        <w:lang w:eastAsia="en-US"/>
      </w:rPr>
      <w:t>–</w:t>
    </w:r>
    <w:r w:rsidRPr="00376E90">
      <w:rPr>
        <w:rFonts w:asciiTheme="minorHAnsi" w:eastAsiaTheme="minorHAnsi" w:hAnsiTheme="minorHAnsi" w:cstheme="minorBidi"/>
        <w:b/>
        <w:szCs w:val="22"/>
        <w:lang w:eastAsia="en-US"/>
      </w:rPr>
      <w:t xml:space="preserve"> ANVISA</w:t>
    </w:r>
  </w:p>
  <w:p w:rsidR="00376E90" w:rsidRPr="00376E90" w:rsidRDefault="00376E90" w:rsidP="00376E9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eastAsiaTheme="minorHAnsi" w:hAnsiTheme="minorHAnsi" w:cstheme="minorBid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AC0"/>
    <w:rsid w:val="00001581"/>
    <w:rsid w:val="0002436C"/>
    <w:rsid w:val="00074AC0"/>
    <w:rsid w:val="000834AC"/>
    <w:rsid w:val="000C2183"/>
    <w:rsid w:val="000F7751"/>
    <w:rsid w:val="002A6BAF"/>
    <w:rsid w:val="00376E90"/>
    <w:rsid w:val="003B4C29"/>
    <w:rsid w:val="00524060"/>
    <w:rsid w:val="005D13BD"/>
    <w:rsid w:val="00640547"/>
    <w:rsid w:val="00652E8A"/>
    <w:rsid w:val="00771958"/>
    <w:rsid w:val="008B7BC0"/>
    <w:rsid w:val="008D770F"/>
    <w:rsid w:val="00950107"/>
    <w:rsid w:val="009D4C4B"/>
    <w:rsid w:val="009D64DA"/>
    <w:rsid w:val="009F4005"/>
    <w:rsid w:val="009F49A7"/>
    <w:rsid w:val="00A22B13"/>
    <w:rsid w:val="00A53197"/>
    <w:rsid w:val="00AF43E7"/>
    <w:rsid w:val="00B12CB5"/>
    <w:rsid w:val="00B858D4"/>
    <w:rsid w:val="00C95A0B"/>
    <w:rsid w:val="00C96FBC"/>
    <w:rsid w:val="00D6431F"/>
    <w:rsid w:val="00DD5BB3"/>
    <w:rsid w:val="00DF7C19"/>
    <w:rsid w:val="00E12FA3"/>
    <w:rsid w:val="00E30878"/>
    <w:rsid w:val="00F41F4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B5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B12CB5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B12CB5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B12CB5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B12CB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B12CB5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12CB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12CB5"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rsid w:val="00B12CB5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rsid w:val="00B12CB5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rsid w:val="00B12CB5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rsid w:val="00B12CB5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rsid w:val="00B12CB5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rsid w:val="00B12CB5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sid w:val="00B12CB5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96FB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96FBC"/>
    <w:rPr>
      <w:rFonts w:eastAsiaTheme="minorEastAsia"/>
      <w:sz w:val="24"/>
      <w:szCs w:val="24"/>
    </w:rPr>
  </w:style>
  <w:style w:type="paragraph" w:customStyle="1" w:styleId="Default">
    <w:name w:val="Default"/>
    <w:rsid w:val="0002436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76E9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76E90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76E9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76E90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96FB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96FB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158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58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8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809715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8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anvisa.gov.b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896A3C-E465-4613-9C7D-4986E6437CEC}"/>
</file>

<file path=customXml/itemProps2.xml><?xml version="1.0" encoding="utf-8"?>
<ds:datastoreItem xmlns:ds="http://schemas.openxmlformats.org/officeDocument/2006/customXml" ds:itemID="{537C9230-9988-4FDB-AE7A-31C0C5752BF3}"/>
</file>

<file path=customXml/itemProps3.xml><?xml version="1.0" encoding="utf-8"?>
<ds:datastoreItem xmlns:ds="http://schemas.openxmlformats.org/officeDocument/2006/customXml" ds:itemID="{8AD7FC34-E641-446B-BB08-FD679948AD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30</Pages>
  <Words>7764</Words>
  <Characters>46028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53685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Raianne Liberal Coutinho</cp:lastModifiedBy>
  <cp:revision>10</cp:revision>
  <cp:lastPrinted>2012-05-16T13:46:00Z</cp:lastPrinted>
  <dcterms:created xsi:type="dcterms:W3CDTF">2015-07-06T13:07:00Z</dcterms:created>
  <dcterms:modified xsi:type="dcterms:W3CDTF">2016-07-07T13:45:00Z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