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74FD" w:rsidRDefault="0089693A" w:rsidP="004A273D">
      <w:pPr>
        <w:pStyle w:val="Ttulo1"/>
        <w:ind w:firstLine="567"/>
        <w:jc w:val="center"/>
        <w:rPr>
          <w:b/>
          <w:bCs/>
          <w:sz w:val="24"/>
          <w:szCs w:val="24"/>
        </w:rPr>
      </w:pPr>
      <w:r w:rsidRPr="00E60A1E">
        <w:rPr>
          <w:b/>
          <w:bCs/>
          <w:sz w:val="22"/>
          <w:szCs w:val="24"/>
        </w:rPr>
        <w:t>RESOLUÇÃO DE DIRETORIA COLEGIADA – RDC N.º 221, DE 6 DE DEZEMBRO DE 2001</w:t>
      </w:r>
      <w:r w:rsidRPr="00E60A1E">
        <w:rPr>
          <w:sz w:val="22"/>
          <w:szCs w:val="24"/>
        </w:rPr>
        <w:t xml:space="preserve"> </w:t>
      </w:r>
      <w:r w:rsidRPr="00E60A1E">
        <w:rPr>
          <w:b/>
          <w:bCs/>
          <w:sz w:val="22"/>
          <w:szCs w:val="24"/>
        </w:rPr>
        <w:t>(*)</w:t>
      </w:r>
    </w:p>
    <w:p w:rsidR="00F5241A" w:rsidRPr="00F5241A" w:rsidRDefault="00F5241A" w:rsidP="00F5241A"/>
    <w:p w:rsidR="00F5241A" w:rsidRPr="00E60A1E" w:rsidRDefault="00F5241A" w:rsidP="00F5241A">
      <w:pPr>
        <w:jc w:val="center"/>
        <w:rPr>
          <w:b/>
          <w:color w:val="0000FF"/>
          <w:sz w:val="22"/>
        </w:rPr>
      </w:pPr>
      <w:r w:rsidRPr="00E60A1E">
        <w:rPr>
          <w:b/>
          <w:color w:val="0000FF"/>
          <w:sz w:val="22"/>
        </w:rPr>
        <w:t>(Publicad</w:t>
      </w:r>
      <w:r w:rsidR="009D61A8" w:rsidRPr="00E60A1E">
        <w:rPr>
          <w:b/>
          <w:color w:val="0000FF"/>
          <w:sz w:val="22"/>
        </w:rPr>
        <w:t>a</w:t>
      </w:r>
      <w:r w:rsidRPr="00E60A1E">
        <w:rPr>
          <w:b/>
          <w:color w:val="0000FF"/>
          <w:sz w:val="22"/>
        </w:rPr>
        <w:t xml:space="preserve"> em DOU nº 234, de 10 de dezembro de 2001</w:t>
      </w:r>
      <w:proofErr w:type="gramStart"/>
      <w:r w:rsidRPr="00E60A1E">
        <w:rPr>
          <w:b/>
          <w:color w:val="0000FF"/>
          <w:sz w:val="22"/>
        </w:rPr>
        <w:t>)</w:t>
      </w:r>
      <w:proofErr w:type="gramEnd"/>
    </w:p>
    <w:p w:rsidR="00F5241A" w:rsidRPr="00E60A1E" w:rsidRDefault="00F5241A" w:rsidP="00F5241A">
      <w:pPr>
        <w:jc w:val="center"/>
        <w:rPr>
          <w:b/>
          <w:color w:val="0000FF"/>
          <w:sz w:val="22"/>
        </w:rPr>
      </w:pPr>
    </w:p>
    <w:p w:rsidR="00F5241A" w:rsidRPr="00E60A1E" w:rsidRDefault="00F5241A" w:rsidP="00F5241A">
      <w:pPr>
        <w:jc w:val="center"/>
        <w:rPr>
          <w:b/>
          <w:color w:val="0000FF"/>
          <w:sz w:val="22"/>
        </w:rPr>
      </w:pPr>
      <w:r w:rsidRPr="00E60A1E">
        <w:rPr>
          <w:b/>
          <w:color w:val="0000FF"/>
          <w:sz w:val="22"/>
        </w:rPr>
        <w:t>(Republicada em DOU nº 28, de 08 de fevereiro de 2002</w:t>
      </w:r>
      <w:proofErr w:type="gramStart"/>
      <w:r w:rsidRPr="00E60A1E">
        <w:rPr>
          <w:b/>
          <w:color w:val="0000FF"/>
          <w:sz w:val="22"/>
        </w:rPr>
        <w:t>)</w:t>
      </w:r>
      <w:proofErr w:type="gramEnd"/>
    </w:p>
    <w:p w:rsidR="00E75484" w:rsidRPr="00E60A1E" w:rsidRDefault="00E75484" w:rsidP="00F5241A">
      <w:pPr>
        <w:jc w:val="center"/>
        <w:rPr>
          <w:b/>
          <w:color w:val="0000FF"/>
          <w:sz w:val="22"/>
        </w:rPr>
      </w:pPr>
    </w:p>
    <w:p w:rsidR="00E75484" w:rsidRPr="00E60A1E" w:rsidRDefault="00E75484" w:rsidP="00F5241A">
      <w:pPr>
        <w:jc w:val="center"/>
        <w:rPr>
          <w:b/>
          <w:color w:val="0000FF"/>
          <w:sz w:val="22"/>
        </w:rPr>
      </w:pPr>
      <w:r w:rsidRPr="00E60A1E">
        <w:rPr>
          <w:b/>
          <w:color w:val="0000FF"/>
          <w:sz w:val="22"/>
        </w:rPr>
        <w:t>(Revogada pela Resolução – RDC nº 246, de 04 de setembro de 2002</w:t>
      </w:r>
      <w:proofErr w:type="gramStart"/>
      <w:r w:rsidRPr="00E60A1E">
        <w:rPr>
          <w:b/>
          <w:color w:val="0000FF"/>
          <w:sz w:val="22"/>
        </w:rPr>
        <w:t>)</w:t>
      </w:r>
      <w:proofErr w:type="gramEnd"/>
    </w:p>
    <w:p w:rsidR="009D61A8" w:rsidRPr="00F5241A" w:rsidRDefault="009D61A8" w:rsidP="00F5241A">
      <w:pPr>
        <w:jc w:val="center"/>
        <w:rPr>
          <w:b/>
          <w:color w:val="0000FF"/>
        </w:rPr>
      </w:pPr>
    </w:p>
    <w:p w:rsidR="00F5241A" w:rsidRPr="00F5241A" w:rsidRDefault="00F5241A" w:rsidP="00F5241A">
      <w:pPr>
        <w:jc w:val="center"/>
        <w:rPr>
          <w:b/>
          <w:color w:val="0000FF"/>
        </w:rPr>
      </w:pPr>
    </w:p>
    <w:p w:rsidR="00F574FD" w:rsidRPr="005D6C96" w:rsidRDefault="00F574FD" w:rsidP="009D61A8">
      <w:pPr>
        <w:pStyle w:val="Textoembloco"/>
        <w:ind w:left="5103" w:right="0" w:firstLine="0"/>
        <w:jc w:val="both"/>
        <w:rPr>
          <w:b w:val="0"/>
          <w:strike/>
        </w:rPr>
      </w:pPr>
      <w:r w:rsidRPr="005D6C96">
        <w:rPr>
          <w:b w:val="0"/>
          <w:strike/>
        </w:rPr>
        <w:t>Dispõe sobre a regulamentação do registro de produtos sujeitos à vigilância sanitária em razão da alteração da titularidade da empresa.</w:t>
      </w:r>
    </w:p>
    <w:p w:rsidR="00BD7459" w:rsidRPr="009D61A8" w:rsidRDefault="00BD7459" w:rsidP="009D61A8">
      <w:pPr>
        <w:pStyle w:val="Textoembloco"/>
        <w:ind w:left="5103" w:right="0" w:firstLine="0"/>
        <w:jc w:val="both"/>
        <w:rPr>
          <w:b w:val="0"/>
        </w:rPr>
      </w:pPr>
    </w:p>
    <w:p w:rsidR="00F574FD" w:rsidRPr="00F5241A" w:rsidRDefault="00F574FD">
      <w:pPr>
        <w:ind w:firstLine="567"/>
        <w:rPr>
          <w:b/>
          <w:bCs/>
          <w:sz w:val="24"/>
          <w:szCs w:val="24"/>
        </w:rPr>
      </w:pPr>
    </w:p>
    <w:p w:rsidR="00F574FD" w:rsidRPr="005D6C96" w:rsidRDefault="00F574FD">
      <w:pPr>
        <w:pStyle w:val="Ttulo1"/>
        <w:ind w:firstLine="567"/>
        <w:jc w:val="both"/>
        <w:rPr>
          <w:strike/>
          <w:sz w:val="24"/>
          <w:szCs w:val="24"/>
        </w:rPr>
      </w:pPr>
      <w:r w:rsidRPr="005D6C96">
        <w:rPr>
          <w:bCs/>
          <w:strike/>
          <w:sz w:val="24"/>
          <w:szCs w:val="24"/>
        </w:rPr>
        <w:t>A Diretoria Colegiada da Agência Nacional de Vigilância Sanitária</w:t>
      </w:r>
      <w:r w:rsidRPr="005D6C96">
        <w:rPr>
          <w:b/>
          <w:bCs/>
          <w:strike/>
          <w:sz w:val="24"/>
          <w:szCs w:val="24"/>
        </w:rPr>
        <w:t xml:space="preserve"> </w:t>
      </w:r>
      <w:r w:rsidRPr="005D6C96">
        <w:rPr>
          <w:strike/>
          <w:sz w:val="24"/>
          <w:szCs w:val="24"/>
        </w:rPr>
        <w:t>no uso da atribuição que lhe confere o art. 11, inciso IV, do Regulamento da ANVISA, aprovado pelo Decreto n.º 3.029, de 16 de abril de 1999, c/c o art. 111, inciso I, alínea “b”, do Regimento Interno aprovado pela Portaria nº 593, de 25 de agosto de 2000, em reunião realizada em 21 de novembro de 2001, adotou a seguinte Resolução de Diretoria Colegiada e eu, Diretor-Presidente, determino a sua publicação:</w:t>
      </w:r>
    </w:p>
    <w:p w:rsidR="00F574FD" w:rsidRPr="005D6C96" w:rsidRDefault="00F574FD">
      <w:pPr>
        <w:ind w:firstLine="567"/>
        <w:jc w:val="both"/>
        <w:rPr>
          <w:strike/>
          <w:sz w:val="24"/>
          <w:szCs w:val="24"/>
        </w:rPr>
      </w:pPr>
    </w:p>
    <w:p w:rsidR="00F574FD" w:rsidRPr="005D6C96" w:rsidRDefault="00F574FD">
      <w:pPr>
        <w:pStyle w:val="Corpodetexto2"/>
        <w:ind w:firstLine="567"/>
        <w:rPr>
          <w:strike/>
          <w:color w:val="auto"/>
          <w:sz w:val="24"/>
          <w:szCs w:val="24"/>
        </w:rPr>
      </w:pPr>
      <w:r w:rsidRPr="005D6C96">
        <w:rPr>
          <w:strike/>
          <w:color w:val="auto"/>
          <w:sz w:val="24"/>
          <w:szCs w:val="24"/>
        </w:rPr>
        <w:t xml:space="preserve">Art. 1º A alteração de titularidade de registro de produtos será apenas admitida nos casos de fusão, cisão, incorporação, sucessão, ou mudança de razão social de empresas, desde que </w:t>
      </w:r>
      <w:proofErr w:type="gramStart"/>
      <w:r w:rsidRPr="005D6C96">
        <w:rPr>
          <w:strike/>
          <w:color w:val="auto"/>
          <w:sz w:val="24"/>
          <w:szCs w:val="24"/>
        </w:rPr>
        <w:t>inalterados</w:t>
      </w:r>
      <w:proofErr w:type="gramEnd"/>
      <w:r w:rsidRPr="005D6C96">
        <w:rPr>
          <w:strike/>
          <w:color w:val="auto"/>
          <w:sz w:val="24"/>
          <w:szCs w:val="24"/>
        </w:rPr>
        <w:t xml:space="preserve"> </w:t>
      </w:r>
      <w:proofErr w:type="gramStart"/>
      <w:r w:rsidRPr="005D6C96">
        <w:rPr>
          <w:strike/>
          <w:color w:val="auto"/>
          <w:sz w:val="24"/>
          <w:szCs w:val="24"/>
        </w:rPr>
        <w:t>os</w:t>
      </w:r>
      <w:proofErr w:type="gramEnd"/>
      <w:r w:rsidRPr="005D6C96">
        <w:rPr>
          <w:strike/>
          <w:color w:val="auto"/>
          <w:sz w:val="24"/>
          <w:szCs w:val="24"/>
        </w:rPr>
        <w:t xml:space="preserve"> requisitos previamente examinados, nos termos do Decreto n.º 79.094, de 5 de janeiro de 1977, c/c o art. 15 da Lei n.º 6.360, de 23 de setembro de 1976. </w:t>
      </w:r>
    </w:p>
    <w:p w:rsidR="00F574FD" w:rsidRPr="005D6C96" w:rsidRDefault="00F574FD">
      <w:pPr>
        <w:pStyle w:val="Corpodetexto2"/>
        <w:ind w:firstLine="567"/>
        <w:rPr>
          <w:strike/>
          <w:color w:val="auto"/>
          <w:sz w:val="24"/>
          <w:szCs w:val="24"/>
        </w:rPr>
      </w:pPr>
    </w:p>
    <w:p w:rsidR="00F574FD" w:rsidRPr="005D6C96" w:rsidRDefault="00F574FD">
      <w:pPr>
        <w:ind w:firstLine="567"/>
        <w:jc w:val="both"/>
        <w:rPr>
          <w:strike/>
          <w:sz w:val="24"/>
          <w:szCs w:val="24"/>
        </w:rPr>
      </w:pPr>
      <w:r w:rsidRPr="005D6C96">
        <w:rPr>
          <w:strike/>
          <w:sz w:val="24"/>
          <w:szCs w:val="24"/>
        </w:rPr>
        <w:t xml:space="preserve">Parágrafo único. Para os fins do </w:t>
      </w:r>
      <w:r w:rsidRPr="005D6C96">
        <w:rPr>
          <w:i/>
          <w:iCs/>
          <w:strike/>
          <w:sz w:val="24"/>
          <w:szCs w:val="24"/>
        </w:rPr>
        <w:t xml:space="preserve">caput </w:t>
      </w:r>
      <w:r w:rsidRPr="005D6C96">
        <w:rPr>
          <w:strike/>
          <w:sz w:val="24"/>
          <w:szCs w:val="24"/>
        </w:rPr>
        <w:t>deste artigo, entende-se por:</w:t>
      </w:r>
    </w:p>
    <w:p w:rsidR="00F574FD" w:rsidRPr="00F5241A" w:rsidRDefault="00F574FD">
      <w:pPr>
        <w:ind w:firstLine="567"/>
        <w:jc w:val="both"/>
        <w:rPr>
          <w:sz w:val="24"/>
          <w:szCs w:val="24"/>
        </w:rPr>
      </w:pPr>
    </w:p>
    <w:p w:rsidR="00F574FD" w:rsidRPr="005D6C96" w:rsidRDefault="00F574FD">
      <w:pPr>
        <w:ind w:firstLine="567"/>
        <w:jc w:val="both"/>
        <w:rPr>
          <w:strike/>
          <w:sz w:val="24"/>
          <w:szCs w:val="24"/>
        </w:rPr>
      </w:pPr>
      <w:r w:rsidRPr="005D6C96">
        <w:rPr>
          <w:strike/>
          <w:sz w:val="24"/>
          <w:szCs w:val="24"/>
        </w:rPr>
        <w:t>I – Fusão: operação pela qual se unem duas ou mais pessoas jurídicas para formar uma terceira, que lhes sucederá em todos os direitos e obrigações, extinguindo-se as originárias;</w:t>
      </w:r>
    </w:p>
    <w:p w:rsidR="00F574FD" w:rsidRPr="005D6C96" w:rsidRDefault="00F574FD">
      <w:pPr>
        <w:ind w:firstLine="567"/>
        <w:jc w:val="both"/>
        <w:rPr>
          <w:strike/>
          <w:sz w:val="24"/>
          <w:szCs w:val="24"/>
        </w:rPr>
      </w:pPr>
    </w:p>
    <w:p w:rsidR="00F574FD" w:rsidRPr="005D6C96" w:rsidRDefault="00F574FD">
      <w:pPr>
        <w:ind w:firstLine="567"/>
        <w:jc w:val="both"/>
        <w:rPr>
          <w:strike/>
          <w:sz w:val="24"/>
          <w:szCs w:val="24"/>
        </w:rPr>
      </w:pPr>
      <w:r w:rsidRPr="005D6C96">
        <w:rPr>
          <w:strike/>
          <w:sz w:val="24"/>
          <w:szCs w:val="24"/>
        </w:rPr>
        <w:t>II – Cisão: operação pela qual uma pessoa jurídica transfere seu patrimônio para uma ou mais pessoas jurídicas, constituídas para esse fim ou já existentes, extinguindo-se a companhia cindida;</w:t>
      </w:r>
    </w:p>
    <w:p w:rsidR="00F574FD" w:rsidRPr="005D6C96" w:rsidRDefault="00F574FD">
      <w:pPr>
        <w:ind w:firstLine="567"/>
        <w:jc w:val="both"/>
        <w:rPr>
          <w:strike/>
          <w:sz w:val="24"/>
          <w:szCs w:val="24"/>
        </w:rPr>
      </w:pPr>
    </w:p>
    <w:p w:rsidR="00F574FD" w:rsidRPr="005D6C96" w:rsidRDefault="00F574FD">
      <w:pPr>
        <w:ind w:firstLine="567"/>
        <w:jc w:val="both"/>
        <w:rPr>
          <w:strike/>
          <w:sz w:val="24"/>
          <w:szCs w:val="24"/>
        </w:rPr>
      </w:pPr>
      <w:r w:rsidRPr="005D6C96">
        <w:rPr>
          <w:strike/>
          <w:sz w:val="24"/>
          <w:szCs w:val="24"/>
        </w:rPr>
        <w:t>III – Incorporação: a operação pela qual uma ou mais pessoas jurídicas são absorvidas por outra, que lhes sucede em todos os direitos e obrigações, extinguindo-se as incorporadas;</w:t>
      </w:r>
    </w:p>
    <w:p w:rsidR="00F574FD" w:rsidRPr="005D6C96" w:rsidRDefault="00F574FD">
      <w:pPr>
        <w:ind w:firstLine="567"/>
        <w:jc w:val="both"/>
        <w:rPr>
          <w:strike/>
          <w:sz w:val="24"/>
          <w:szCs w:val="24"/>
        </w:rPr>
      </w:pPr>
    </w:p>
    <w:p w:rsidR="00F574FD" w:rsidRPr="005D6C96" w:rsidRDefault="00F574FD">
      <w:pPr>
        <w:ind w:firstLine="567"/>
        <w:jc w:val="both"/>
        <w:rPr>
          <w:strike/>
          <w:sz w:val="24"/>
          <w:szCs w:val="24"/>
        </w:rPr>
      </w:pPr>
      <w:r w:rsidRPr="005D6C96">
        <w:rPr>
          <w:strike/>
          <w:sz w:val="24"/>
          <w:szCs w:val="24"/>
        </w:rPr>
        <w:t xml:space="preserve">IV – Sucessão: operação pela qual uma pessoa jurídica é adquirida por outra, assumindo o adquirente seu ativo e passivo, extinguindo-se a empresa sucedida; </w:t>
      </w:r>
      <w:proofErr w:type="gramStart"/>
      <w:r w:rsidRPr="005D6C96">
        <w:rPr>
          <w:strike/>
          <w:sz w:val="24"/>
          <w:szCs w:val="24"/>
        </w:rPr>
        <w:t>e</w:t>
      </w:r>
      <w:proofErr w:type="gramEnd"/>
    </w:p>
    <w:p w:rsidR="00F574FD" w:rsidRPr="005D6C96" w:rsidRDefault="00F574FD">
      <w:pPr>
        <w:ind w:firstLine="567"/>
        <w:jc w:val="both"/>
        <w:rPr>
          <w:strike/>
          <w:sz w:val="24"/>
          <w:szCs w:val="24"/>
        </w:rPr>
      </w:pPr>
    </w:p>
    <w:p w:rsidR="00F574FD" w:rsidRPr="005D6C96" w:rsidRDefault="00F574FD">
      <w:pPr>
        <w:ind w:firstLine="567"/>
        <w:jc w:val="both"/>
        <w:rPr>
          <w:strike/>
          <w:sz w:val="24"/>
          <w:szCs w:val="24"/>
        </w:rPr>
      </w:pPr>
      <w:r w:rsidRPr="005D6C96">
        <w:rPr>
          <w:strike/>
          <w:sz w:val="24"/>
          <w:szCs w:val="24"/>
        </w:rPr>
        <w:t>V – Mudança de Razão Social: operação pela qual uma pessoa jurídica altera o seu nome comercial.</w:t>
      </w:r>
    </w:p>
    <w:p w:rsidR="00F574FD" w:rsidRPr="00F5241A" w:rsidRDefault="00F574FD">
      <w:pPr>
        <w:ind w:firstLine="567"/>
        <w:jc w:val="both"/>
        <w:rPr>
          <w:sz w:val="24"/>
          <w:szCs w:val="24"/>
        </w:rPr>
      </w:pPr>
    </w:p>
    <w:p w:rsidR="00F574FD" w:rsidRPr="005D6C96" w:rsidRDefault="00F574FD">
      <w:pPr>
        <w:ind w:firstLine="567"/>
        <w:jc w:val="both"/>
        <w:rPr>
          <w:strike/>
          <w:sz w:val="24"/>
          <w:szCs w:val="24"/>
        </w:rPr>
      </w:pPr>
      <w:r w:rsidRPr="005D6C96">
        <w:rPr>
          <w:strike/>
          <w:sz w:val="24"/>
          <w:szCs w:val="24"/>
        </w:rPr>
        <w:t>Art. 2º Materializada a fusão, cisão, incorporação, sucessão ou mudança de razão social, a pessoa jurídica sucessora deverá protocolar junto a Agência Nacional de Vigilância Sanitária – ANVISA, em até 120 (cento e vinte) dias, solicitação de alteração de titularidade ou</w:t>
      </w:r>
      <w:proofErr w:type="gramStart"/>
      <w:r w:rsidRPr="005D6C96">
        <w:rPr>
          <w:strike/>
          <w:sz w:val="24"/>
          <w:szCs w:val="24"/>
        </w:rPr>
        <w:t xml:space="preserve">  </w:t>
      </w:r>
      <w:proofErr w:type="gramEnd"/>
      <w:r w:rsidRPr="005D6C96">
        <w:rPr>
          <w:strike/>
          <w:sz w:val="24"/>
          <w:szCs w:val="24"/>
        </w:rPr>
        <w:t>cancelamento do registro do produto.</w:t>
      </w:r>
    </w:p>
    <w:p w:rsidR="00F574FD" w:rsidRPr="005D6C96" w:rsidRDefault="00F574FD">
      <w:pPr>
        <w:ind w:firstLine="567"/>
        <w:jc w:val="both"/>
        <w:rPr>
          <w:strike/>
          <w:sz w:val="24"/>
          <w:szCs w:val="24"/>
        </w:rPr>
      </w:pPr>
    </w:p>
    <w:p w:rsidR="00F574FD" w:rsidRPr="005D6C96" w:rsidRDefault="00F574FD">
      <w:pPr>
        <w:ind w:firstLine="567"/>
        <w:jc w:val="both"/>
        <w:rPr>
          <w:strike/>
          <w:sz w:val="24"/>
          <w:szCs w:val="24"/>
        </w:rPr>
      </w:pPr>
      <w:r w:rsidRPr="005D6C96">
        <w:rPr>
          <w:strike/>
          <w:sz w:val="24"/>
          <w:szCs w:val="24"/>
        </w:rPr>
        <w:t xml:space="preserve">§ 1º Aplica-se igual prazo, a contar da data da publicação desta Resolução, aos casos de fusão, cisão, incorporação, sucessão ou mudança de razão </w:t>
      </w:r>
      <w:proofErr w:type="gramStart"/>
      <w:r w:rsidRPr="005D6C96">
        <w:rPr>
          <w:strike/>
          <w:sz w:val="24"/>
          <w:szCs w:val="24"/>
        </w:rPr>
        <w:t>social praticados</w:t>
      </w:r>
      <w:proofErr w:type="gramEnd"/>
      <w:r w:rsidRPr="005D6C96">
        <w:rPr>
          <w:strike/>
          <w:sz w:val="24"/>
          <w:szCs w:val="24"/>
        </w:rPr>
        <w:t xml:space="preserve"> antes da sua vigência, não comunicados a ANVISA, seja para alteração de titularidade, seja para cancelamento de registro.</w:t>
      </w:r>
    </w:p>
    <w:p w:rsidR="00F574FD" w:rsidRPr="005D6C96" w:rsidRDefault="00F574FD">
      <w:pPr>
        <w:ind w:firstLine="567"/>
        <w:jc w:val="both"/>
        <w:rPr>
          <w:strike/>
          <w:sz w:val="24"/>
          <w:szCs w:val="24"/>
        </w:rPr>
      </w:pPr>
    </w:p>
    <w:p w:rsidR="00F574FD" w:rsidRPr="005D6C96" w:rsidRDefault="00F574FD">
      <w:pPr>
        <w:ind w:firstLine="567"/>
        <w:jc w:val="both"/>
        <w:rPr>
          <w:strike/>
          <w:sz w:val="24"/>
          <w:szCs w:val="24"/>
        </w:rPr>
      </w:pPr>
      <w:r w:rsidRPr="005D6C96">
        <w:rPr>
          <w:strike/>
          <w:sz w:val="24"/>
          <w:szCs w:val="24"/>
        </w:rPr>
        <w:lastRenderedPageBreak/>
        <w:t xml:space="preserve">§ 2º A inobservância do disposto no </w:t>
      </w:r>
      <w:r w:rsidRPr="005D6C96">
        <w:rPr>
          <w:i/>
          <w:iCs/>
          <w:strike/>
          <w:sz w:val="24"/>
          <w:szCs w:val="24"/>
        </w:rPr>
        <w:t>caput</w:t>
      </w:r>
      <w:proofErr w:type="gramStart"/>
      <w:r w:rsidRPr="005D6C96">
        <w:rPr>
          <w:i/>
          <w:iCs/>
          <w:strike/>
          <w:sz w:val="24"/>
          <w:szCs w:val="24"/>
        </w:rPr>
        <w:t xml:space="preserve"> </w:t>
      </w:r>
      <w:r w:rsidRPr="005D6C96">
        <w:rPr>
          <w:strike/>
          <w:sz w:val="24"/>
          <w:szCs w:val="24"/>
        </w:rPr>
        <w:t xml:space="preserve"> </w:t>
      </w:r>
      <w:proofErr w:type="gramEnd"/>
      <w:r w:rsidRPr="005D6C96">
        <w:rPr>
          <w:strike/>
          <w:sz w:val="24"/>
          <w:szCs w:val="24"/>
        </w:rPr>
        <w:t>e § 1º deste artigo implicará no cancelamento do registro do produto.</w:t>
      </w:r>
    </w:p>
    <w:p w:rsidR="00F574FD" w:rsidRPr="005D6C96" w:rsidRDefault="00F574FD">
      <w:pPr>
        <w:ind w:firstLine="567"/>
        <w:jc w:val="both"/>
        <w:rPr>
          <w:strike/>
          <w:sz w:val="24"/>
          <w:szCs w:val="24"/>
        </w:rPr>
      </w:pPr>
    </w:p>
    <w:p w:rsidR="00F574FD" w:rsidRPr="005D6C96" w:rsidRDefault="00F574FD">
      <w:pPr>
        <w:pStyle w:val="Corpodetexto2"/>
        <w:ind w:firstLine="567"/>
        <w:rPr>
          <w:strike/>
          <w:color w:val="auto"/>
          <w:sz w:val="24"/>
          <w:szCs w:val="24"/>
        </w:rPr>
      </w:pPr>
      <w:r w:rsidRPr="005D6C96">
        <w:rPr>
          <w:strike/>
          <w:color w:val="auto"/>
          <w:sz w:val="24"/>
          <w:szCs w:val="24"/>
        </w:rPr>
        <w:t>Art. 3º A alteração de titularidade consiste na anotação no registro do produto da modificação da pessoa jurídica responsável, não implicando em novo registro.</w:t>
      </w:r>
    </w:p>
    <w:p w:rsidR="00BD7459" w:rsidRPr="005D6C96" w:rsidRDefault="00BD7459">
      <w:pPr>
        <w:pStyle w:val="Corpodetexto2"/>
        <w:ind w:firstLine="567"/>
        <w:rPr>
          <w:strike/>
          <w:color w:val="auto"/>
          <w:sz w:val="24"/>
          <w:szCs w:val="24"/>
        </w:rPr>
      </w:pPr>
    </w:p>
    <w:p w:rsidR="00F574FD" w:rsidRPr="005D6C96" w:rsidRDefault="00F574FD">
      <w:pPr>
        <w:pStyle w:val="Corpodetexto2"/>
        <w:ind w:firstLine="567"/>
        <w:rPr>
          <w:strike/>
          <w:color w:val="auto"/>
          <w:sz w:val="24"/>
          <w:szCs w:val="24"/>
        </w:rPr>
      </w:pPr>
    </w:p>
    <w:p w:rsidR="00F574FD" w:rsidRPr="005D6C96" w:rsidRDefault="00F574FD">
      <w:pPr>
        <w:pStyle w:val="Corpodetexto2"/>
        <w:ind w:firstLine="567"/>
        <w:rPr>
          <w:strike/>
          <w:color w:val="auto"/>
          <w:sz w:val="24"/>
          <w:szCs w:val="24"/>
        </w:rPr>
      </w:pPr>
      <w:r w:rsidRPr="005D6C96">
        <w:rPr>
          <w:strike/>
          <w:color w:val="auto"/>
          <w:sz w:val="24"/>
          <w:szCs w:val="24"/>
        </w:rPr>
        <w:t xml:space="preserve">Parágrafo único. A anotação de que trata o </w:t>
      </w:r>
      <w:r w:rsidRPr="005D6C96">
        <w:rPr>
          <w:i/>
          <w:iCs/>
          <w:strike/>
          <w:color w:val="auto"/>
          <w:sz w:val="24"/>
          <w:szCs w:val="24"/>
        </w:rPr>
        <w:t>caput</w:t>
      </w:r>
      <w:r w:rsidRPr="005D6C96">
        <w:rPr>
          <w:strike/>
          <w:color w:val="auto"/>
          <w:sz w:val="24"/>
          <w:szCs w:val="24"/>
        </w:rPr>
        <w:t xml:space="preserve"> deste artigo aperfeiçoar-se-á pela publicação, no Diário Oficial da União, da</w:t>
      </w:r>
      <w:proofErr w:type="gramStart"/>
      <w:r w:rsidRPr="005D6C96">
        <w:rPr>
          <w:strike/>
          <w:color w:val="auto"/>
          <w:sz w:val="24"/>
          <w:szCs w:val="24"/>
        </w:rPr>
        <w:t xml:space="preserve">  </w:t>
      </w:r>
      <w:proofErr w:type="gramEnd"/>
      <w:r w:rsidRPr="005D6C96">
        <w:rPr>
          <w:strike/>
          <w:color w:val="auto"/>
          <w:sz w:val="24"/>
          <w:szCs w:val="24"/>
        </w:rPr>
        <w:t xml:space="preserve">alteração do registro e do cancelamento do número anteriormente atribuído, na qual constará, obrigatoriamente, a data do ato de materialização da fusão, cisão, incorporação, sucessão ou mudança de razão social. </w:t>
      </w:r>
    </w:p>
    <w:p w:rsidR="00F574FD" w:rsidRPr="005D6C96" w:rsidRDefault="00F574FD">
      <w:pPr>
        <w:pStyle w:val="Corpodetexto2"/>
        <w:ind w:firstLine="567"/>
        <w:rPr>
          <w:strike/>
          <w:color w:val="auto"/>
          <w:sz w:val="24"/>
          <w:szCs w:val="24"/>
        </w:rPr>
      </w:pPr>
    </w:p>
    <w:p w:rsidR="00F574FD" w:rsidRPr="005D6C96" w:rsidRDefault="00F574FD">
      <w:pPr>
        <w:pStyle w:val="Corpodetexto2"/>
        <w:ind w:firstLine="567"/>
        <w:rPr>
          <w:strike/>
          <w:color w:val="auto"/>
          <w:sz w:val="24"/>
          <w:szCs w:val="24"/>
        </w:rPr>
      </w:pPr>
      <w:r w:rsidRPr="005D6C96">
        <w:rPr>
          <w:strike/>
          <w:color w:val="auto"/>
          <w:sz w:val="24"/>
          <w:szCs w:val="24"/>
        </w:rPr>
        <w:t>Art. 4º O requerimento de alteração da titularidade deverá ser instruído com os seguintes documentos:</w:t>
      </w:r>
    </w:p>
    <w:p w:rsidR="00F574FD" w:rsidRPr="005D6C96" w:rsidRDefault="00F574FD">
      <w:pPr>
        <w:pStyle w:val="Corpodetexto2"/>
        <w:ind w:firstLine="567"/>
        <w:rPr>
          <w:strike/>
          <w:color w:val="auto"/>
          <w:sz w:val="24"/>
          <w:szCs w:val="24"/>
        </w:rPr>
      </w:pPr>
    </w:p>
    <w:p w:rsidR="00F574FD" w:rsidRPr="005D6C96" w:rsidRDefault="00F574FD">
      <w:pPr>
        <w:pStyle w:val="Recuodecorpodetexto3"/>
        <w:ind w:firstLine="567"/>
        <w:rPr>
          <w:strike/>
          <w:color w:val="auto"/>
          <w:sz w:val="24"/>
          <w:szCs w:val="24"/>
        </w:rPr>
      </w:pPr>
      <w:r w:rsidRPr="005D6C96">
        <w:rPr>
          <w:strike/>
          <w:color w:val="auto"/>
          <w:sz w:val="24"/>
          <w:szCs w:val="24"/>
        </w:rPr>
        <w:t xml:space="preserve">I – comprovante de recolhimento da Taxa de Fiscalização de Vigilância Sanitária, por apresentação do produto cuja titularidade se pretenda alterar; </w:t>
      </w:r>
    </w:p>
    <w:p w:rsidR="00F574FD" w:rsidRPr="005D6C96" w:rsidRDefault="00F574FD">
      <w:pPr>
        <w:pStyle w:val="Recuodecorpodetexto3"/>
        <w:ind w:firstLine="567"/>
        <w:rPr>
          <w:strike/>
          <w:color w:val="auto"/>
          <w:sz w:val="24"/>
          <w:szCs w:val="24"/>
        </w:rPr>
      </w:pPr>
    </w:p>
    <w:p w:rsidR="00F574FD" w:rsidRPr="005D6C96" w:rsidRDefault="00F574FD">
      <w:pPr>
        <w:pStyle w:val="Recuodecorpodetexto3"/>
        <w:ind w:firstLine="567"/>
        <w:rPr>
          <w:strike/>
          <w:color w:val="auto"/>
          <w:sz w:val="24"/>
          <w:szCs w:val="24"/>
        </w:rPr>
      </w:pPr>
      <w:r w:rsidRPr="005D6C96">
        <w:rPr>
          <w:strike/>
          <w:color w:val="auto"/>
          <w:sz w:val="24"/>
          <w:szCs w:val="24"/>
        </w:rPr>
        <w:t>II – cópia autenticada do ato jurídico de formalização da fusão, cisão, incorporação ou sucessão;</w:t>
      </w:r>
    </w:p>
    <w:p w:rsidR="00F574FD" w:rsidRPr="005D6C96" w:rsidRDefault="00F574FD">
      <w:pPr>
        <w:pStyle w:val="Recuodecorpodetexto3"/>
        <w:ind w:firstLine="567"/>
        <w:rPr>
          <w:strike/>
          <w:color w:val="auto"/>
          <w:sz w:val="24"/>
          <w:szCs w:val="24"/>
        </w:rPr>
      </w:pPr>
    </w:p>
    <w:p w:rsidR="00F574FD" w:rsidRPr="005D6C96" w:rsidRDefault="00F574FD">
      <w:pPr>
        <w:pStyle w:val="Corpodetexto2"/>
        <w:ind w:firstLine="567"/>
        <w:rPr>
          <w:strike/>
          <w:color w:val="auto"/>
          <w:sz w:val="24"/>
          <w:szCs w:val="24"/>
        </w:rPr>
      </w:pPr>
      <w:r w:rsidRPr="005D6C96">
        <w:rPr>
          <w:strike/>
          <w:color w:val="auto"/>
          <w:sz w:val="24"/>
          <w:szCs w:val="24"/>
        </w:rPr>
        <w:t xml:space="preserve">III – declaração da empresa requerente de que mantém inalterados os requisitos previamente examinados, nos termos do Decreto nº 79.094, de </w:t>
      </w:r>
      <w:proofErr w:type="gramStart"/>
      <w:r w:rsidRPr="005D6C96">
        <w:rPr>
          <w:strike/>
          <w:color w:val="auto"/>
          <w:sz w:val="24"/>
          <w:szCs w:val="24"/>
        </w:rPr>
        <w:t>5</w:t>
      </w:r>
      <w:proofErr w:type="gramEnd"/>
      <w:r w:rsidRPr="005D6C96">
        <w:rPr>
          <w:strike/>
          <w:color w:val="auto"/>
          <w:sz w:val="24"/>
          <w:szCs w:val="24"/>
        </w:rPr>
        <w:t xml:space="preserve"> de janeiro de 1977, c/c art. 15 da Lei nº 6.360, de 23 de setembro de 1976;</w:t>
      </w:r>
    </w:p>
    <w:p w:rsidR="00F574FD" w:rsidRPr="00F5241A" w:rsidRDefault="00F574FD">
      <w:pPr>
        <w:pStyle w:val="Recuodecorpodetexto3"/>
        <w:ind w:firstLine="567"/>
        <w:rPr>
          <w:color w:val="auto"/>
          <w:sz w:val="24"/>
          <w:szCs w:val="24"/>
        </w:rPr>
      </w:pPr>
    </w:p>
    <w:p w:rsidR="00F574FD" w:rsidRPr="005D6C96" w:rsidRDefault="00F574FD">
      <w:pPr>
        <w:pStyle w:val="Recuodecorpodetexto3"/>
        <w:ind w:firstLine="567"/>
        <w:rPr>
          <w:strike/>
          <w:color w:val="auto"/>
          <w:sz w:val="24"/>
          <w:szCs w:val="24"/>
        </w:rPr>
      </w:pPr>
      <w:r w:rsidRPr="005D6C96">
        <w:rPr>
          <w:strike/>
          <w:color w:val="auto"/>
          <w:sz w:val="24"/>
          <w:szCs w:val="24"/>
        </w:rPr>
        <w:t>IV – cópia autenticada do registro e revalidação, quando for o caso, para cada uma das apresentações;</w:t>
      </w:r>
    </w:p>
    <w:p w:rsidR="00F574FD" w:rsidRPr="005D6C96" w:rsidRDefault="00F574FD">
      <w:pPr>
        <w:pStyle w:val="Recuodecorpodetexto3"/>
        <w:ind w:firstLine="567"/>
        <w:rPr>
          <w:strike/>
          <w:color w:val="auto"/>
          <w:sz w:val="24"/>
          <w:szCs w:val="24"/>
        </w:rPr>
      </w:pPr>
    </w:p>
    <w:p w:rsidR="00F574FD" w:rsidRPr="005D6C96" w:rsidRDefault="00F574FD">
      <w:pPr>
        <w:pStyle w:val="Recuodecorpodetexto3"/>
        <w:ind w:firstLine="567"/>
        <w:rPr>
          <w:strike/>
          <w:color w:val="auto"/>
          <w:sz w:val="24"/>
          <w:szCs w:val="24"/>
        </w:rPr>
      </w:pPr>
      <w:r w:rsidRPr="005D6C96">
        <w:rPr>
          <w:strike/>
          <w:color w:val="auto"/>
          <w:sz w:val="24"/>
          <w:szCs w:val="24"/>
        </w:rPr>
        <w:t>V – indicação do estoque remanescente, da data de fabricação e do número do último lote do produto fabricado pela empresa até então detentora do registro;</w:t>
      </w:r>
    </w:p>
    <w:p w:rsidR="00F574FD" w:rsidRPr="005D6C96" w:rsidRDefault="00F574FD">
      <w:pPr>
        <w:pStyle w:val="Recuodecorpodetexto3"/>
        <w:ind w:firstLine="567"/>
        <w:rPr>
          <w:strike/>
          <w:color w:val="auto"/>
          <w:sz w:val="24"/>
          <w:szCs w:val="24"/>
        </w:rPr>
      </w:pPr>
    </w:p>
    <w:p w:rsidR="00F574FD" w:rsidRPr="005D6C96" w:rsidRDefault="00F574FD">
      <w:pPr>
        <w:pStyle w:val="Recuodecorpodetexto3"/>
        <w:ind w:firstLine="567"/>
        <w:rPr>
          <w:strike/>
          <w:color w:val="auto"/>
          <w:sz w:val="24"/>
          <w:szCs w:val="24"/>
        </w:rPr>
      </w:pPr>
      <w:r w:rsidRPr="005D6C96">
        <w:rPr>
          <w:strike/>
          <w:color w:val="auto"/>
          <w:sz w:val="24"/>
          <w:szCs w:val="24"/>
        </w:rPr>
        <w:t>VI – cópia autenticada da Licença de Funcionamento ou do Alvará Sanitário;</w:t>
      </w:r>
    </w:p>
    <w:p w:rsidR="00F574FD" w:rsidRPr="005D6C96" w:rsidRDefault="00F574FD">
      <w:pPr>
        <w:pStyle w:val="Recuodecorpodetexto3"/>
        <w:ind w:firstLine="567"/>
        <w:rPr>
          <w:strike/>
          <w:color w:val="auto"/>
          <w:sz w:val="24"/>
          <w:szCs w:val="24"/>
        </w:rPr>
      </w:pPr>
    </w:p>
    <w:p w:rsidR="00F574FD" w:rsidRPr="005D6C96" w:rsidRDefault="00F574FD">
      <w:pPr>
        <w:pStyle w:val="Recuodecorpodetexto3"/>
        <w:ind w:firstLine="567"/>
        <w:rPr>
          <w:strike/>
          <w:color w:val="auto"/>
          <w:sz w:val="24"/>
          <w:szCs w:val="24"/>
        </w:rPr>
      </w:pPr>
      <w:r w:rsidRPr="005D6C96">
        <w:rPr>
          <w:strike/>
          <w:color w:val="auto"/>
          <w:sz w:val="24"/>
          <w:szCs w:val="24"/>
        </w:rPr>
        <w:t xml:space="preserve">VII – cópia autenticada do comprovante de atualização da Licença de Funcionamento da empresa, quando for o caso; </w:t>
      </w:r>
      <w:proofErr w:type="gramStart"/>
      <w:r w:rsidRPr="005D6C96">
        <w:rPr>
          <w:strike/>
          <w:color w:val="auto"/>
          <w:sz w:val="24"/>
          <w:szCs w:val="24"/>
        </w:rPr>
        <w:t>e</w:t>
      </w:r>
      <w:proofErr w:type="gramEnd"/>
    </w:p>
    <w:p w:rsidR="00F574FD" w:rsidRPr="005D6C96" w:rsidRDefault="00F574FD">
      <w:pPr>
        <w:pStyle w:val="Recuodecorpodetexto3"/>
        <w:ind w:firstLine="567"/>
        <w:rPr>
          <w:strike/>
          <w:color w:val="auto"/>
          <w:sz w:val="24"/>
          <w:szCs w:val="24"/>
        </w:rPr>
      </w:pPr>
    </w:p>
    <w:p w:rsidR="00F574FD" w:rsidRPr="005D6C96" w:rsidRDefault="00F574FD">
      <w:pPr>
        <w:pStyle w:val="Recuodecorpodetexto3"/>
        <w:ind w:firstLine="567"/>
        <w:rPr>
          <w:strike/>
          <w:color w:val="auto"/>
          <w:sz w:val="24"/>
          <w:szCs w:val="24"/>
        </w:rPr>
      </w:pPr>
      <w:r w:rsidRPr="005D6C96">
        <w:rPr>
          <w:strike/>
          <w:color w:val="auto"/>
          <w:sz w:val="24"/>
          <w:szCs w:val="24"/>
        </w:rPr>
        <w:t xml:space="preserve">VIII – apresentação dos modelos de bula e rotulagem, na conformidade da legislação vigente; </w:t>
      </w:r>
    </w:p>
    <w:p w:rsidR="00F574FD" w:rsidRPr="00F5241A" w:rsidRDefault="00F574FD">
      <w:pPr>
        <w:pStyle w:val="Recuodecorpodetexto3"/>
        <w:ind w:firstLine="567"/>
        <w:rPr>
          <w:color w:val="auto"/>
          <w:sz w:val="24"/>
          <w:szCs w:val="24"/>
        </w:rPr>
      </w:pPr>
    </w:p>
    <w:p w:rsidR="00F574FD" w:rsidRPr="005D6C96" w:rsidRDefault="00F574FD">
      <w:pPr>
        <w:pStyle w:val="Recuodecorpodetexto3"/>
        <w:ind w:firstLine="567"/>
        <w:rPr>
          <w:strike/>
          <w:color w:val="auto"/>
          <w:sz w:val="24"/>
          <w:szCs w:val="24"/>
        </w:rPr>
      </w:pPr>
      <w:r w:rsidRPr="005D6C96">
        <w:rPr>
          <w:strike/>
          <w:color w:val="auto"/>
          <w:sz w:val="24"/>
          <w:szCs w:val="24"/>
        </w:rPr>
        <w:t xml:space="preserve">Parágrafo único. Para os fins de cancelamento de registro e solicitação de novo registro, será indispensável </w:t>
      </w:r>
      <w:proofErr w:type="gramStart"/>
      <w:r w:rsidRPr="005D6C96">
        <w:rPr>
          <w:strike/>
          <w:color w:val="auto"/>
          <w:sz w:val="24"/>
          <w:szCs w:val="24"/>
        </w:rPr>
        <w:t>a</w:t>
      </w:r>
      <w:proofErr w:type="gramEnd"/>
      <w:r w:rsidRPr="005D6C96">
        <w:rPr>
          <w:strike/>
          <w:color w:val="auto"/>
          <w:sz w:val="24"/>
          <w:szCs w:val="24"/>
        </w:rPr>
        <w:t xml:space="preserve"> apresentação dos indicados nos incisos II, IV e V deste artigo, além dos documentos exigidos pela legislação em vigor.</w:t>
      </w:r>
    </w:p>
    <w:p w:rsidR="00F574FD" w:rsidRPr="005D6C96" w:rsidRDefault="00F574FD">
      <w:pPr>
        <w:pStyle w:val="Recuodecorpodetexto3"/>
        <w:ind w:firstLine="567"/>
        <w:rPr>
          <w:strike/>
          <w:color w:val="auto"/>
          <w:sz w:val="24"/>
          <w:szCs w:val="24"/>
        </w:rPr>
      </w:pPr>
    </w:p>
    <w:p w:rsidR="00F574FD" w:rsidRPr="005D6C96" w:rsidRDefault="00F574FD">
      <w:pPr>
        <w:pStyle w:val="Recuodecorpodetexto3"/>
        <w:ind w:firstLine="567"/>
        <w:rPr>
          <w:strike/>
          <w:color w:val="auto"/>
          <w:sz w:val="24"/>
          <w:szCs w:val="24"/>
        </w:rPr>
      </w:pPr>
      <w:r w:rsidRPr="005D6C96">
        <w:rPr>
          <w:strike/>
          <w:color w:val="auto"/>
          <w:sz w:val="24"/>
          <w:szCs w:val="24"/>
        </w:rPr>
        <w:t xml:space="preserve">Art. 5º Na hipótese de alteração de titularidade ou cancelamento de registro, a responsabilidade pelo produto e pelo estoque remanescente recairá sobre a empresa sucessora, a contar da data da materialização da fusão, cisão, incorporação ou sucessão. </w:t>
      </w:r>
    </w:p>
    <w:p w:rsidR="00F574FD" w:rsidRPr="005D6C96" w:rsidRDefault="00F574FD">
      <w:pPr>
        <w:ind w:firstLine="567"/>
        <w:jc w:val="both"/>
        <w:rPr>
          <w:strike/>
          <w:sz w:val="24"/>
          <w:szCs w:val="24"/>
        </w:rPr>
      </w:pPr>
    </w:p>
    <w:p w:rsidR="00F574FD" w:rsidRPr="005D6C96" w:rsidRDefault="00F574FD">
      <w:pPr>
        <w:pStyle w:val="Recuodecorpodetexto3"/>
        <w:ind w:firstLine="567"/>
        <w:rPr>
          <w:strike/>
          <w:color w:val="auto"/>
          <w:sz w:val="24"/>
          <w:szCs w:val="24"/>
        </w:rPr>
      </w:pPr>
      <w:r w:rsidRPr="005D6C96">
        <w:rPr>
          <w:strike/>
          <w:color w:val="auto"/>
          <w:sz w:val="24"/>
          <w:szCs w:val="24"/>
        </w:rPr>
        <w:t>§ 1º Fica proibido, após 180 (cento e oitenta) dias, contados da data de publicação da transferência de titularidade pela Agência Nacional de Vigilância Sanitária, a exposição à venda ou entrega ao consumo do estoque remanescente do produto, fabricado pelo antigo titular.</w:t>
      </w:r>
    </w:p>
    <w:p w:rsidR="00F574FD" w:rsidRPr="00F5241A" w:rsidRDefault="00F574FD">
      <w:pPr>
        <w:pStyle w:val="Recuodecorpodetexto3"/>
        <w:ind w:firstLine="567"/>
        <w:rPr>
          <w:color w:val="auto"/>
          <w:sz w:val="24"/>
          <w:szCs w:val="24"/>
        </w:rPr>
      </w:pPr>
    </w:p>
    <w:p w:rsidR="00F574FD" w:rsidRPr="005D6C96" w:rsidRDefault="00F574FD">
      <w:pPr>
        <w:pStyle w:val="Recuodecorpodetexto3"/>
        <w:ind w:firstLine="567"/>
        <w:rPr>
          <w:strike/>
          <w:color w:val="auto"/>
          <w:sz w:val="24"/>
          <w:szCs w:val="24"/>
        </w:rPr>
      </w:pPr>
      <w:r w:rsidRPr="005D6C96">
        <w:rPr>
          <w:strike/>
          <w:color w:val="auto"/>
          <w:sz w:val="24"/>
          <w:szCs w:val="24"/>
        </w:rPr>
        <w:lastRenderedPageBreak/>
        <w:t>§ 2º Findo o prazo de que trata o § 1º deste artigo, o estoque remanescente exposto à venda ou entregue ao consumo deverá ser recolhido e substituído pela empresa</w:t>
      </w:r>
      <w:proofErr w:type="gramStart"/>
      <w:r w:rsidRPr="005D6C96">
        <w:rPr>
          <w:strike/>
          <w:color w:val="auto"/>
          <w:sz w:val="24"/>
          <w:szCs w:val="24"/>
        </w:rPr>
        <w:t xml:space="preserve">  </w:t>
      </w:r>
      <w:proofErr w:type="gramEnd"/>
      <w:r w:rsidRPr="005D6C96">
        <w:rPr>
          <w:strike/>
          <w:color w:val="auto"/>
          <w:sz w:val="24"/>
          <w:szCs w:val="24"/>
        </w:rPr>
        <w:t>sucessora, sob pena de incorrer em infração sanitária.</w:t>
      </w:r>
    </w:p>
    <w:p w:rsidR="00F574FD" w:rsidRPr="005D6C96" w:rsidRDefault="00F574FD">
      <w:pPr>
        <w:ind w:firstLine="567"/>
        <w:jc w:val="both"/>
        <w:rPr>
          <w:strike/>
          <w:sz w:val="24"/>
          <w:szCs w:val="24"/>
        </w:rPr>
      </w:pPr>
    </w:p>
    <w:p w:rsidR="00F574FD" w:rsidRPr="005D6C96" w:rsidRDefault="00F574FD">
      <w:pPr>
        <w:pStyle w:val="Corpodetexto"/>
        <w:ind w:firstLine="567"/>
        <w:rPr>
          <w:strike/>
          <w:sz w:val="24"/>
          <w:szCs w:val="24"/>
        </w:rPr>
      </w:pPr>
      <w:r w:rsidRPr="005D6C96">
        <w:rPr>
          <w:strike/>
          <w:sz w:val="24"/>
          <w:szCs w:val="24"/>
        </w:rPr>
        <w:t xml:space="preserve">Art. 6º Excetuam-se do disposto no art. 1º, toda e qualquer operação ou transação que resulte na modificação da fabricação do produto que resultará no cancelamento do registro anterior e solicitação de novo registro. </w:t>
      </w:r>
    </w:p>
    <w:p w:rsidR="00F574FD" w:rsidRPr="005D6C96" w:rsidRDefault="00F574FD">
      <w:pPr>
        <w:pStyle w:val="Corpodetexto"/>
        <w:ind w:firstLine="567"/>
        <w:rPr>
          <w:strike/>
          <w:sz w:val="24"/>
          <w:szCs w:val="24"/>
        </w:rPr>
      </w:pPr>
    </w:p>
    <w:p w:rsidR="00F574FD" w:rsidRPr="005D6C96" w:rsidRDefault="00F574FD">
      <w:pPr>
        <w:pStyle w:val="Corpodetexto"/>
        <w:ind w:firstLine="567"/>
        <w:rPr>
          <w:strike/>
          <w:sz w:val="24"/>
          <w:szCs w:val="24"/>
        </w:rPr>
      </w:pPr>
      <w:r w:rsidRPr="005D6C96">
        <w:rPr>
          <w:strike/>
          <w:sz w:val="24"/>
          <w:szCs w:val="24"/>
        </w:rPr>
        <w:t>Parágrafo único. Aplica-se a hipótese de cancelamento de registro e publicação de novo registro a obrigatoriedade referida no parágrafo único do art. 3º desta Resolução.</w:t>
      </w:r>
    </w:p>
    <w:p w:rsidR="00F574FD" w:rsidRPr="005D6C96" w:rsidRDefault="00F574FD">
      <w:pPr>
        <w:ind w:firstLine="567"/>
        <w:jc w:val="both"/>
        <w:rPr>
          <w:strike/>
          <w:sz w:val="24"/>
          <w:szCs w:val="24"/>
        </w:rPr>
      </w:pPr>
    </w:p>
    <w:p w:rsidR="00F574FD" w:rsidRPr="005D6C96" w:rsidRDefault="00F574FD">
      <w:pPr>
        <w:pStyle w:val="Corpodetexto"/>
        <w:ind w:firstLine="567"/>
        <w:rPr>
          <w:strike/>
          <w:sz w:val="24"/>
          <w:szCs w:val="24"/>
        </w:rPr>
      </w:pPr>
      <w:r w:rsidRPr="005D6C96">
        <w:rPr>
          <w:strike/>
          <w:sz w:val="24"/>
          <w:szCs w:val="24"/>
        </w:rPr>
        <w:t>Art. 7º A omissão ou a prestação de informações falsas ou enganosas, em desacordo com o disposto nesta Resolução, constitui infração sanitária, sujeitando o infrator às penalidades previstas na Lei nº 6.437, de 20 de agosto de 1977, e demais normas cabíveis.</w:t>
      </w:r>
    </w:p>
    <w:p w:rsidR="00F574FD" w:rsidRPr="00F5241A" w:rsidRDefault="00F574FD">
      <w:pPr>
        <w:pStyle w:val="Recuodecorpodetexto3"/>
        <w:ind w:firstLine="567"/>
        <w:rPr>
          <w:color w:val="auto"/>
          <w:sz w:val="24"/>
          <w:szCs w:val="24"/>
        </w:rPr>
      </w:pPr>
    </w:p>
    <w:p w:rsidR="00F574FD" w:rsidRPr="005D6C96" w:rsidRDefault="00F574FD">
      <w:pPr>
        <w:pStyle w:val="Recuodecorpodetexto3"/>
        <w:ind w:firstLine="567"/>
        <w:rPr>
          <w:strike/>
          <w:color w:val="auto"/>
          <w:sz w:val="24"/>
          <w:szCs w:val="24"/>
        </w:rPr>
      </w:pPr>
      <w:r w:rsidRPr="005D6C96">
        <w:rPr>
          <w:strike/>
          <w:color w:val="auto"/>
          <w:sz w:val="24"/>
          <w:szCs w:val="24"/>
        </w:rPr>
        <w:t xml:space="preserve">Art. 8º A descrição do fato gerador de que trata o item 4.2.6 da Tabela de Descontos da Taxa de Fiscalização de Vigilância Sanitária, constante no Anexo I da Resolução da Diretoria Colegiada – RDC nº 6, de </w:t>
      </w:r>
      <w:proofErr w:type="gramStart"/>
      <w:r w:rsidRPr="005D6C96">
        <w:rPr>
          <w:strike/>
          <w:color w:val="auto"/>
          <w:sz w:val="24"/>
          <w:szCs w:val="24"/>
        </w:rPr>
        <w:t>2</w:t>
      </w:r>
      <w:proofErr w:type="gramEnd"/>
      <w:r w:rsidRPr="005D6C96">
        <w:rPr>
          <w:strike/>
          <w:color w:val="auto"/>
          <w:sz w:val="24"/>
          <w:szCs w:val="24"/>
        </w:rPr>
        <w:t xml:space="preserve"> de janeiro de 2001, passa a vigorar com a seguinte redação: “Alteração de local de fabricação sem alteração de titularidade”.</w:t>
      </w:r>
    </w:p>
    <w:p w:rsidR="00F574FD" w:rsidRPr="005D6C96" w:rsidRDefault="00F574FD">
      <w:pPr>
        <w:pStyle w:val="Recuodecorpodetexto3"/>
        <w:ind w:firstLine="567"/>
        <w:rPr>
          <w:strike/>
          <w:color w:val="auto"/>
          <w:sz w:val="24"/>
          <w:szCs w:val="24"/>
        </w:rPr>
      </w:pPr>
    </w:p>
    <w:p w:rsidR="00F574FD" w:rsidRPr="005D6C96" w:rsidRDefault="00F574FD">
      <w:pPr>
        <w:pStyle w:val="Recuodecorpodetexto3"/>
        <w:ind w:firstLine="567"/>
        <w:rPr>
          <w:strike/>
          <w:color w:val="auto"/>
          <w:sz w:val="24"/>
          <w:szCs w:val="24"/>
        </w:rPr>
      </w:pPr>
      <w:r w:rsidRPr="005D6C96">
        <w:rPr>
          <w:strike/>
          <w:color w:val="auto"/>
          <w:sz w:val="24"/>
          <w:szCs w:val="24"/>
        </w:rPr>
        <w:t xml:space="preserve">Art. 9º Ficam revogados os itens 4.2.1 e 4.2.3 da Tabela de Descontos da Taxa de Fiscalização de Vigilância Sanitária, constantes no Anexo I da Resolução da Diretoria Colegiada – RDC nº 6, de </w:t>
      </w:r>
      <w:proofErr w:type="gramStart"/>
      <w:r w:rsidRPr="005D6C96">
        <w:rPr>
          <w:strike/>
          <w:color w:val="auto"/>
          <w:sz w:val="24"/>
          <w:szCs w:val="24"/>
        </w:rPr>
        <w:t>2</w:t>
      </w:r>
      <w:proofErr w:type="gramEnd"/>
      <w:r w:rsidRPr="005D6C96">
        <w:rPr>
          <w:strike/>
          <w:color w:val="auto"/>
          <w:sz w:val="24"/>
          <w:szCs w:val="24"/>
        </w:rPr>
        <w:t xml:space="preserve"> de janeiro de 2001.</w:t>
      </w:r>
    </w:p>
    <w:p w:rsidR="00F574FD" w:rsidRPr="005D6C96" w:rsidRDefault="00F574FD">
      <w:pPr>
        <w:pStyle w:val="Recuodecorpodetexto3"/>
        <w:ind w:firstLine="567"/>
        <w:rPr>
          <w:strike/>
          <w:color w:val="auto"/>
          <w:sz w:val="24"/>
          <w:szCs w:val="24"/>
        </w:rPr>
      </w:pPr>
    </w:p>
    <w:p w:rsidR="00F574FD" w:rsidRPr="005D6C96" w:rsidRDefault="00F574FD">
      <w:pPr>
        <w:pStyle w:val="Recuodecorpodetexto3"/>
        <w:ind w:firstLine="567"/>
        <w:rPr>
          <w:strike/>
          <w:color w:val="auto"/>
          <w:sz w:val="24"/>
          <w:szCs w:val="24"/>
        </w:rPr>
      </w:pPr>
      <w:r w:rsidRPr="005D6C96">
        <w:rPr>
          <w:strike/>
          <w:color w:val="auto"/>
          <w:sz w:val="24"/>
          <w:szCs w:val="24"/>
        </w:rPr>
        <w:t>Art. 10 Esta Resolução de Diretoria Colegiada entra em vigor na data de sua publicação.</w:t>
      </w:r>
    </w:p>
    <w:p w:rsidR="00F574FD" w:rsidRPr="005D6C96" w:rsidRDefault="00F574FD">
      <w:pPr>
        <w:pStyle w:val="Recuodecorpodetexto3"/>
        <w:ind w:firstLine="567"/>
        <w:rPr>
          <w:strike/>
          <w:color w:val="auto"/>
          <w:sz w:val="24"/>
          <w:szCs w:val="24"/>
        </w:rPr>
      </w:pPr>
    </w:p>
    <w:p w:rsidR="00F574FD" w:rsidRPr="00F5241A" w:rsidRDefault="00F574FD">
      <w:pPr>
        <w:pStyle w:val="Recuodecorpodetexto3"/>
        <w:ind w:firstLine="567"/>
        <w:rPr>
          <w:color w:val="auto"/>
          <w:sz w:val="24"/>
          <w:szCs w:val="24"/>
        </w:rPr>
      </w:pPr>
    </w:p>
    <w:p w:rsidR="00F574FD" w:rsidRDefault="00F574FD">
      <w:pPr>
        <w:pStyle w:val="Recuodecorpodetexto3"/>
        <w:ind w:firstLine="567"/>
        <w:jc w:val="center"/>
        <w:rPr>
          <w:color w:val="auto"/>
          <w:sz w:val="24"/>
          <w:szCs w:val="24"/>
        </w:rPr>
      </w:pPr>
      <w:r w:rsidRPr="00F5241A">
        <w:rPr>
          <w:color w:val="auto"/>
          <w:sz w:val="24"/>
          <w:szCs w:val="24"/>
        </w:rPr>
        <w:t>GONZALO VECINA NETO</w:t>
      </w:r>
    </w:p>
    <w:p w:rsidR="00F574FD" w:rsidRDefault="00F574FD">
      <w:pPr>
        <w:pStyle w:val="Recuodecorpodetexto3"/>
        <w:ind w:firstLine="0"/>
        <w:rPr>
          <w:color w:val="auto"/>
          <w:sz w:val="24"/>
          <w:szCs w:val="24"/>
        </w:rPr>
      </w:pPr>
    </w:p>
    <w:p w:rsidR="00CD04AC" w:rsidRPr="00F5241A" w:rsidRDefault="00CD04AC">
      <w:pPr>
        <w:pStyle w:val="Recuodecorpodetexto3"/>
        <w:ind w:firstLine="0"/>
        <w:rPr>
          <w:color w:val="auto"/>
          <w:sz w:val="24"/>
          <w:szCs w:val="24"/>
        </w:rPr>
      </w:pPr>
    </w:p>
    <w:p w:rsidR="002A6FC4" w:rsidRPr="005D6C96" w:rsidRDefault="002A6FC4" w:rsidP="002A6FC4">
      <w:pPr>
        <w:pStyle w:val="Recuodecorpodetexto3"/>
        <w:ind w:firstLine="0"/>
        <w:rPr>
          <w:bCs/>
          <w:strike/>
          <w:color w:val="auto"/>
          <w:sz w:val="24"/>
          <w:szCs w:val="24"/>
        </w:rPr>
      </w:pPr>
      <w:r w:rsidRPr="005D6C96">
        <w:rPr>
          <w:bCs/>
          <w:strike/>
          <w:color w:val="auto"/>
          <w:sz w:val="24"/>
          <w:szCs w:val="24"/>
        </w:rPr>
        <w:t>(*) Republicada por ter saído com incorreção, do original, no DO nº 234, de 10-12-2001, Seção 1, pág. 47.</w:t>
      </w:r>
    </w:p>
    <w:p w:rsidR="002A6FC4" w:rsidRPr="005D6C96" w:rsidRDefault="002A6FC4" w:rsidP="002A6FC4">
      <w:pPr>
        <w:pStyle w:val="Recuodecorpodetexto3"/>
        <w:ind w:firstLine="0"/>
        <w:rPr>
          <w:bCs/>
          <w:strike/>
          <w:color w:val="auto"/>
          <w:sz w:val="24"/>
          <w:szCs w:val="24"/>
        </w:rPr>
      </w:pPr>
    </w:p>
    <w:p w:rsidR="002A6FC4" w:rsidRPr="005D6C96" w:rsidRDefault="002A6FC4" w:rsidP="002A6FC4">
      <w:pPr>
        <w:pStyle w:val="Recuodecorpodetexto3"/>
        <w:ind w:firstLine="0"/>
        <w:rPr>
          <w:bCs/>
          <w:strike/>
          <w:color w:val="auto"/>
          <w:sz w:val="24"/>
          <w:szCs w:val="24"/>
        </w:rPr>
      </w:pPr>
      <w:r w:rsidRPr="005D6C96">
        <w:rPr>
          <w:bCs/>
          <w:strike/>
          <w:color w:val="auto"/>
          <w:sz w:val="24"/>
          <w:szCs w:val="24"/>
        </w:rPr>
        <w:t>(Of. El. nº 55/2002)</w:t>
      </w:r>
    </w:p>
    <w:p w:rsidR="002A6FC4" w:rsidRPr="005D6C96" w:rsidRDefault="002A6FC4">
      <w:pPr>
        <w:pStyle w:val="Recuodecorpodetexto3"/>
        <w:ind w:firstLine="0"/>
        <w:rPr>
          <w:b/>
          <w:bCs/>
          <w:strike/>
          <w:color w:val="auto"/>
          <w:sz w:val="24"/>
          <w:szCs w:val="24"/>
        </w:rPr>
      </w:pPr>
    </w:p>
    <w:sectPr w:rsidR="002A6FC4" w:rsidRPr="005D6C96" w:rsidSect="00E60A1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07" w:h="16840" w:code="9"/>
      <w:pgMar w:top="567" w:right="850" w:bottom="278" w:left="1134" w:header="0" w:footer="184" w:gutter="0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0A1E" w:rsidRDefault="00E60A1E" w:rsidP="00E60A1E">
      <w:r>
        <w:separator/>
      </w:r>
    </w:p>
  </w:endnote>
  <w:endnote w:type="continuationSeparator" w:id="0">
    <w:p w:rsidR="00E60A1E" w:rsidRDefault="00E60A1E" w:rsidP="00E60A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0A1E" w:rsidRDefault="00E60A1E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0A1E" w:rsidRPr="00E60A1E" w:rsidRDefault="00E60A1E" w:rsidP="00E60A1E">
    <w:pPr>
      <w:tabs>
        <w:tab w:val="center" w:pos="4252"/>
        <w:tab w:val="right" w:pos="8504"/>
      </w:tabs>
      <w:autoSpaceDE/>
      <w:autoSpaceDN/>
      <w:jc w:val="center"/>
      <w:rPr>
        <w:rFonts w:ascii="Calibri" w:eastAsia="Calibri" w:hAnsi="Calibri"/>
        <w:sz w:val="22"/>
        <w:szCs w:val="22"/>
        <w:lang w:eastAsia="en-US"/>
      </w:rPr>
    </w:pPr>
    <w:bookmarkStart w:id="0" w:name="_GoBack"/>
    <w:bookmarkEnd w:id="0"/>
    <w:r w:rsidRPr="00E60A1E">
      <w:rPr>
        <w:rFonts w:ascii="Calibri" w:eastAsia="Times New Roman" w:hAnsi="Calibri"/>
        <w:color w:val="943634"/>
        <w:sz w:val="22"/>
        <w:szCs w:val="22"/>
        <w:lang w:eastAsia="en-US"/>
      </w:rPr>
      <w:t>Este texto não substitui o(s) publicado(s) em Diário Oficial da União.</w:t>
    </w:r>
  </w:p>
  <w:p w:rsidR="00E60A1E" w:rsidRDefault="00E60A1E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0A1E" w:rsidRDefault="00E60A1E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0A1E" w:rsidRDefault="00E60A1E" w:rsidP="00E60A1E">
      <w:r>
        <w:separator/>
      </w:r>
    </w:p>
  </w:footnote>
  <w:footnote w:type="continuationSeparator" w:id="0">
    <w:p w:rsidR="00E60A1E" w:rsidRDefault="00E60A1E" w:rsidP="00E60A1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0A1E" w:rsidRDefault="00E60A1E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0A1E" w:rsidRDefault="00E60A1E">
    <w:pPr>
      <w:pStyle w:val="Cabealho"/>
    </w:pPr>
  </w:p>
  <w:p w:rsidR="00E60A1E" w:rsidRPr="00E60A1E" w:rsidRDefault="00E60A1E" w:rsidP="00E60A1E">
    <w:pPr>
      <w:tabs>
        <w:tab w:val="center" w:pos="4252"/>
        <w:tab w:val="right" w:pos="8504"/>
      </w:tabs>
      <w:autoSpaceDE/>
      <w:autoSpaceDN/>
      <w:jc w:val="center"/>
      <w:rPr>
        <w:rFonts w:ascii="Calibri" w:eastAsia="Times New Roman" w:hAnsi="Calibri"/>
        <w:sz w:val="22"/>
        <w:szCs w:val="22"/>
        <w:lang w:eastAsia="en-US"/>
      </w:rPr>
    </w:pPr>
    <w:r w:rsidRPr="00E60A1E">
      <w:rPr>
        <w:rFonts w:ascii="Calibri" w:eastAsia="Times New Roman" w:hAnsi="Calibri"/>
        <w:noProof/>
        <w:sz w:val="22"/>
        <w:szCs w:val="22"/>
      </w:rPr>
      <w:drawing>
        <wp:inline distT="0" distB="0" distL="0" distR="0" wp14:anchorId="6DDE7661" wp14:editId="0A706A4B">
          <wp:extent cx="657225" cy="647700"/>
          <wp:effectExtent l="0" t="0" r="9525" b="0"/>
          <wp:docPr id="1" name="Imagem 1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E60A1E" w:rsidRPr="00E60A1E" w:rsidRDefault="00E60A1E" w:rsidP="00E60A1E">
    <w:pPr>
      <w:tabs>
        <w:tab w:val="center" w:pos="4252"/>
        <w:tab w:val="right" w:pos="8504"/>
      </w:tabs>
      <w:autoSpaceDE/>
      <w:autoSpaceDN/>
      <w:jc w:val="center"/>
      <w:rPr>
        <w:rFonts w:ascii="Calibri" w:eastAsia="Times New Roman" w:hAnsi="Calibri"/>
        <w:b/>
        <w:sz w:val="24"/>
        <w:szCs w:val="22"/>
        <w:lang w:eastAsia="en-US"/>
      </w:rPr>
    </w:pPr>
    <w:r w:rsidRPr="00E60A1E">
      <w:rPr>
        <w:rFonts w:ascii="Calibri" w:eastAsia="Times New Roman" w:hAnsi="Calibri"/>
        <w:b/>
        <w:sz w:val="24"/>
        <w:szCs w:val="22"/>
        <w:lang w:eastAsia="en-US"/>
      </w:rPr>
      <w:t>Ministério da Saúde - MS</w:t>
    </w:r>
  </w:p>
  <w:p w:rsidR="00E60A1E" w:rsidRPr="00E60A1E" w:rsidRDefault="00E60A1E" w:rsidP="00E60A1E">
    <w:pPr>
      <w:tabs>
        <w:tab w:val="center" w:pos="4252"/>
        <w:tab w:val="right" w:pos="8504"/>
      </w:tabs>
      <w:autoSpaceDE/>
      <w:autoSpaceDN/>
      <w:jc w:val="center"/>
      <w:rPr>
        <w:rFonts w:ascii="Calibri" w:eastAsia="Times New Roman" w:hAnsi="Calibri"/>
        <w:b/>
        <w:sz w:val="24"/>
        <w:szCs w:val="22"/>
        <w:lang w:eastAsia="en-US"/>
      </w:rPr>
    </w:pPr>
    <w:r w:rsidRPr="00E60A1E">
      <w:rPr>
        <w:rFonts w:ascii="Calibri" w:eastAsia="Times New Roman" w:hAnsi="Calibri"/>
        <w:b/>
        <w:sz w:val="24"/>
        <w:szCs w:val="22"/>
        <w:lang w:eastAsia="en-US"/>
      </w:rPr>
      <w:t>Agência Nacional de Vigilância Sanitária - ANVISA</w:t>
    </w:r>
  </w:p>
  <w:p w:rsidR="00E60A1E" w:rsidRDefault="00E60A1E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0A1E" w:rsidRDefault="00E60A1E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5768DA"/>
    <w:multiLevelType w:val="multilevel"/>
    <w:tmpl w:val="6BF619FC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55F57152"/>
    <w:multiLevelType w:val="singleLevel"/>
    <w:tmpl w:val="F0663B0C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>
    <w:nsid w:val="613C18BE"/>
    <w:multiLevelType w:val="singleLevel"/>
    <w:tmpl w:val="F0663B0C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6DF51ADE"/>
    <w:multiLevelType w:val="singleLevel"/>
    <w:tmpl w:val="F0663B0C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7"/>
  <w:embedSystemFonts/>
  <w:proofState w:spelling="clean" w:grammar="clean"/>
  <w:defaultTabStop w:val="1418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djustLineHeightInTable/>
    <w:useFELayout/>
    <w:compatSetting w:name="compatibilityMode" w:uri="http://schemas.microsoft.com/office/word" w:val="12"/>
  </w:compat>
  <w:rsids>
    <w:rsidRoot w:val="00F574FD"/>
    <w:rsid w:val="00155AE8"/>
    <w:rsid w:val="002A6FC4"/>
    <w:rsid w:val="004A273D"/>
    <w:rsid w:val="00543935"/>
    <w:rsid w:val="005D6C96"/>
    <w:rsid w:val="008473AF"/>
    <w:rsid w:val="0089693A"/>
    <w:rsid w:val="009D61A8"/>
    <w:rsid w:val="00A406E8"/>
    <w:rsid w:val="00BD7459"/>
    <w:rsid w:val="00C34C80"/>
    <w:rsid w:val="00C73DF2"/>
    <w:rsid w:val="00CD04AC"/>
    <w:rsid w:val="00DE1F34"/>
    <w:rsid w:val="00E60A1E"/>
    <w:rsid w:val="00E75484"/>
    <w:rsid w:val="00F5241A"/>
    <w:rsid w:val="00F55BF1"/>
    <w:rsid w:val="00F57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Body Text" w:unhideWhenUsed="0"/>
    <w:lsdException w:name="Subtitle" w:semiHidden="0" w:uiPriority="11" w:unhideWhenUsed="0" w:qFormat="1"/>
    <w:lsdException w:name="Body Text 2" w:unhideWhenUsed="0"/>
    <w:lsdException w:name="Body Text 3" w:unhideWhenUsed="0"/>
    <w:lsdException w:name="Body Text Indent 2" w:unhideWhenUsed="0"/>
    <w:lsdException w:name="Body Text Indent 3" w:unhideWhenUsed="0"/>
    <w:lsdException w:name="Block Text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5BF1"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paragraph" w:styleId="Ttulo1">
    <w:name w:val="heading 1"/>
    <w:basedOn w:val="Normal"/>
    <w:next w:val="Normal"/>
    <w:link w:val="Ttulo1Char"/>
    <w:uiPriority w:val="99"/>
    <w:qFormat/>
    <w:rsid w:val="00F55BF1"/>
    <w:pPr>
      <w:keepNext/>
      <w:outlineLvl w:val="0"/>
    </w:pPr>
    <w:rPr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9"/>
    <w:qFormat/>
    <w:rsid w:val="00F55BF1"/>
    <w:pPr>
      <w:keepNext/>
      <w:outlineLvl w:val="1"/>
    </w:pPr>
    <w:rPr>
      <w:color w:val="FF0000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9"/>
    <w:qFormat/>
    <w:rsid w:val="00F55BF1"/>
    <w:pPr>
      <w:keepNext/>
      <w:jc w:val="center"/>
      <w:outlineLvl w:val="2"/>
    </w:pPr>
    <w:rPr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locked/>
    <w:rsid w:val="00F55BF1"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locked/>
    <w:rsid w:val="00F55BF1"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locked/>
    <w:rsid w:val="00F55BF1"/>
    <w:rPr>
      <w:rFonts w:asciiTheme="majorHAnsi" w:eastAsiaTheme="majorEastAsia" w:hAnsiTheme="majorHAnsi" w:cs="Times New Roman"/>
      <w:b/>
      <w:bCs/>
      <w:sz w:val="26"/>
      <w:szCs w:val="26"/>
    </w:rPr>
  </w:style>
  <w:style w:type="paragraph" w:styleId="Corpodetexto2">
    <w:name w:val="Body Text 2"/>
    <w:basedOn w:val="Normal"/>
    <w:link w:val="Corpodetexto2Char"/>
    <w:uiPriority w:val="99"/>
    <w:rsid w:val="00F55BF1"/>
    <w:pPr>
      <w:jc w:val="both"/>
    </w:pPr>
    <w:rPr>
      <w:color w:val="FF0000"/>
      <w:sz w:val="28"/>
      <w:szCs w:val="28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locked/>
    <w:rsid w:val="00F55BF1"/>
    <w:rPr>
      <w:rFonts w:ascii="Times New Roman" w:hAnsi="Times New Roman" w:cs="Times New Roman"/>
      <w:sz w:val="20"/>
      <w:szCs w:val="20"/>
    </w:rPr>
  </w:style>
  <w:style w:type="paragraph" w:styleId="Corpodetexto">
    <w:name w:val="Body Text"/>
    <w:basedOn w:val="Normal"/>
    <w:link w:val="CorpodetextoChar"/>
    <w:uiPriority w:val="99"/>
    <w:rsid w:val="00F55BF1"/>
    <w:pPr>
      <w:jc w:val="both"/>
    </w:pPr>
    <w:rPr>
      <w:sz w:val="28"/>
      <w:szCs w:val="28"/>
    </w:rPr>
  </w:style>
  <w:style w:type="character" w:customStyle="1" w:styleId="CorpodetextoChar">
    <w:name w:val="Corpo de texto Char"/>
    <w:basedOn w:val="Fontepargpadro"/>
    <w:link w:val="Corpodetexto"/>
    <w:uiPriority w:val="99"/>
    <w:semiHidden/>
    <w:locked/>
    <w:rsid w:val="00F55BF1"/>
    <w:rPr>
      <w:rFonts w:ascii="Times New Roman" w:hAnsi="Times New Roman" w:cs="Times New Roman"/>
      <w:sz w:val="20"/>
      <w:szCs w:val="20"/>
    </w:rPr>
  </w:style>
  <w:style w:type="paragraph" w:styleId="Recuodecorpodetexto2">
    <w:name w:val="Body Text Indent 2"/>
    <w:basedOn w:val="Normal"/>
    <w:link w:val="Recuodecorpodetexto2Char"/>
    <w:uiPriority w:val="99"/>
    <w:rsid w:val="00F55BF1"/>
    <w:pPr>
      <w:ind w:firstLine="708"/>
      <w:jc w:val="both"/>
    </w:pPr>
    <w:rPr>
      <w:sz w:val="28"/>
      <w:szCs w:val="28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locked/>
    <w:rsid w:val="00F55BF1"/>
    <w:rPr>
      <w:rFonts w:ascii="Times New Roman" w:hAnsi="Times New Roman" w:cs="Times New Roman"/>
      <w:sz w:val="20"/>
      <w:szCs w:val="20"/>
    </w:rPr>
  </w:style>
  <w:style w:type="paragraph" w:styleId="Recuodecorpodetexto3">
    <w:name w:val="Body Text Indent 3"/>
    <w:basedOn w:val="Normal"/>
    <w:link w:val="Recuodecorpodetexto3Char"/>
    <w:uiPriority w:val="99"/>
    <w:rsid w:val="00F55BF1"/>
    <w:pPr>
      <w:ind w:firstLine="708"/>
      <w:jc w:val="both"/>
    </w:pPr>
    <w:rPr>
      <w:color w:val="FF0000"/>
      <w:sz w:val="28"/>
      <w:szCs w:val="28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locked/>
    <w:rsid w:val="00F55BF1"/>
    <w:rPr>
      <w:rFonts w:ascii="Times New Roman" w:hAnsi="Times New Roman" w:cs="Times New Roman"/>
      <w:sz w:val="16"/>
      <w:szCs w:val="16"/>
    </w:rPr>
  </w:style>
  <w:style w:type="paragraph" w:styleId="Corpodetexto3">
    <w:name w:val="Body Text 3"/>
    <w:basedOn w:val="Normal"/>
    <w:link w:val="Corpodetexto3Char"/>
    <w:uiPriority w:val="99"/>
    <w:rsid w:val="00F55BF1"/>
    <w:rPr>
      <w:sz w:val="28"/>
      <w:szCs w:val="28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locked/>
    <w:rsid w:val="00F55BF1"/>
    <w:rPr>
      <w:rFonts w:ascii="Times New Roman" w:hAnsi="Times New Roman" w:cs="Times New Roman"/>
      <w:sz w:val="16"/>
      <w:szCs w:val="16"/>
    </w:rPr>
  </w:style>
  <w:style w:type="paragraph" w:styleId="Textoembloco">
    <w:name w:val="Block Text"/>
    <w:basedOn w:val="Normal"/>
    <w:uiPriority w:val="99"/>
    <w:rsid w:val="00F55BF1"/>
    <w:pPr>
      <w:ind w:left="1702" w:right="284" w:firstLine="1132"/>
    </w:pPr>
    <w:rPr>
      <w:b/>
      <w:bCs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E60A1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E60A1E"/>
    <w:rPr>
      <w:rFonts w:ascii="Times New Roman" w:hAnsi="Times New Roman"/>
      <w:sz w:val="20"/>
      <w:szCs w:val="20"/>
    </w:rPr>
  </w:style>
  <w:style w:type="paragraph" w:styleId="Rodap">
    <w:name w:val="footer"/>
    <w:basedOn w:val="Normal"/>
    <w:link w:val="RodapChar"/>
    <w:uiPriority w:val="99"/>
    <w:unhideWhenUsed/>
    <w:rsid w:val="00E60A1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E60A1E"/>
    <w:rPr>
      <w:rFonts w:ascii="Times New Roman" w:hAnsi="Times New Roman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60A1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60A1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Body Text" w:unhideWhenUsed="0"/>
    <w:lsdException w:name="Subtitle" w:semiHidden="0" w:uiPriority="11" w:unhideWhenUsed="0" w:qFormat="1"/>
    <w:lsdException w:name="Body Text 2" w:unhideWhenUsed="0"/>
    <w:lsdException w:name="Body Text 3" w:unhideWhenUsed="0"/>
    <w:lsdException w:name="Body Text Indent 2" w:unhideWhenUsed="0"/>
    <w:lsdException w:name="Body Text Indent 3" w:unhideWhenUsed="0"/>
    <w:lsdException w:name="Block Text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paragraph" w:styleId="Ttulo1">
    <w:name w:val="heading 1"/>
    <w:basedOn w:val="Normal"/>
    <w:next w:val="Normal"/>
    <w:link w:val="Ttulo1Char"/>
    <w:uiPriority w:val="99"/>
    <w:qFormat/>
    <w:pPr>
      <w:keepNext/>
      <w:outlineLvl w:val="0"/>
    </w:pPr>
    <w:rPr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9"/>
    <w:qFormat/>
    <w:pPr>
      <w:keepNext/>
      <w:outlineLvl w:val="1"/>
    </w:pPr>
    <w:rPr>
      <w:color w:val="FF0000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9"/>
    <w:qFormat/>
    <w:pPr>
      <w:keepNext/>
      <w:jc w:val="center"/>
      <w:outlineLvl w:val="2"/>
    </w:pPr>
    <w:rPr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paragraph" w:styleId="Corpodetexto2">
    <w:name w:val="Body Text 2"/>
    <w:basedOn w:val="Normal"/>
    <w:link w:val="Corpodetexto2Char"/>
    <w:uiPriority w:val="99"/>
    <w:pPr>
      <w:jc w:val="both"/>
    </w:pPr>
    <w:rPr>
      <w:color w:val="FF0000"/>
      <w:sz w:val="28"/>
      <w:szCs w:val="28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locked/>
    <w:rPr>
      <w:rFonts w:ascii="Times New Roman" w:hAnsi="Times New Roman" w:cs="Times New Roman"/>
      <w:sz w:val="20"/>
      <w:szCs w:val="20"/>
    </w:rPr>
  </w:style>
  <w:style w:type="paragraph" w:styleId="Corpodetexto">
    <w:name w:val="Body Text"/>
    <w:basedOn w:val="Normal"/>
    <w:link w:val="CorpodetextoChar"/>
    <w:uiPriority w:val="99"/>
    <w:pPr>
      <w:jc w:val="both"/>
    </w:pPr>
    <w:rPr>
      <w:sz w:val="28"/>
      <w:szCs w:val="28"/>
    </w:rPr>
  </w:style>
  <w:style w:type="character" w:customStyle="1" w:styleId="CorpodetextoChar">
    <w:name w:val="Corpo de texto Char"/>
    <w:basedOn w:val="Fontepargpadro"/>
    <w:link w:val="Corpodetexto"/>
    <w:uiPriority w:val="99"/>
    <w:semiHidden/>
    <w:locked/>
    <w:rPr>
      <w:rFonts w:ascii="Times New Roman" w:hAnsi="Times New Roman" w:cs="Times New Roman"/>
      <w:sz w:val="20"/>
      <w:szCs w:val="20"/>
    </w:rPr>
  </w:style>
  <w:style w:type="paragraph" w:styleId="Recuodecorpodetexto2">
    <w:name w:val="Body Text Indent 2"/>
    <w:basedOn w:val="Normal"/>
    <w:link w:val="Recuodecorpodetexto2Char"/>
    <w:uiPriority w:val="99"/>
    <w:pPr>
      <w:ind w:firstLine="708"/>
      <w:jc w:val="both"/>
    </w:pPr>
    <w:rPr>
      <w:sz w:val="28"/>
      <w:szCs w:val="28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locked/>
    <w:rPr>
      <w:rFonts w:ascii="Times New Roman" w:hAnsi="Times New Roman" w:cs="Times New Roman"/>
      <w:sz w:val="20"/>
      <w:szCs w:val="20"/>
    </w:rPr>
  </w:style>
  <w:style w:type="paragraph" w:styleId="Recuodecorpodetexto3">
    <w:name w:val="Body Text Indent 3"/>
    <w:basedOn w:val="Normal"/>
    <w:link w:val="Recuodecorpodetexto3Char"/>
    <w:uiPriority w:val="99"/>
    <w:pPr>
      <w:ind w:firstLine="708"/>
      <w:jc w:val="both"/>
    </w:pPr>
    <w:rPr>
      <w:color w:val="FF0000"/>
      <w:sz w:val="28"/>
      <w:szCs w:val="28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locked/>
    <w:rPr>
      <w:rFonts w:ascii="Times New Roman" w:hAnsi="Times New Roman" w:cs="Times New Roman"/>
      <w:sz w:val="16"/>
      <w:szCs w:val="16"/>
    </w:rPr>
  </w:style>
  <w:style w:type="paragraph" w:styleId="Corpodetexto3">
    <w:name w:val="Body Text 3"/>
    <w:basedOn w:val="Normal"/>
    <w:link w:val="Corpodetexto3Char"/>
    <w:uiPriority w:val="99"/>
    <w:rPr>
      <w:sz w:val="28"/>
      <w:szCs w:val="28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locked/>
    <w:rPr>
      <w:rFonts w:ascii="Times New Roman" w:hAnsi="Times New Roman" w:cs="Times New Roman"/>
      <w:sz w:val="16"/>
      <w:szCs w:val="16"/>
    </w:rPr>
  </w:style>
  <w:style w:type="paragraph" w:styleId="Textoembloco">
    <w:name w:val="Block Text"/>
    <w:basedOn w:val="Normal"/>
    <w:uiPriority w:val="99"/>
    <w:pPr>
      <w:ind w:left="1702" w:right="284" w:firstLine="1132"/>
    </w:pPr>
    <w:rPr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customXml" Target="../customXml/item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customXml" Target="../customXml/item2.xml"/><Relationship Id="rId2" Type="http://schemas.openxmlformats.org/officeDocument/2006/relationships/styles" Target="styles.xml"/><Relationship Id="rId16" Type="http://schemas.openxmlformats.org/officeDocument/2006/relationships/customXml" Target="../customXml/item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5B67490-E1FD-4C8E-8A30-08BCD80F576E}"/>
</file>

<file path=customXml/itemProps2.xml><?xml version="1.0" encoding="utf-8"?>
<ds:datastoreItem xmlns:ds="http://schemas.openxmlformats.org/officeDocument/2006/customXml" ds:itemID="{FA6881B7-8354-46AB-929F-A81005E91BED}"/>
</file>

<file path=customXml/itemProps3.xml><?xml version="1.0" encoding="utf-8"?>
<ds:datastoreItem xmlns:ds="http://schemas.openxmlformats.org/officeDocument/2006/customXml" ds:itemID="{917E5C9D-2864-44F6-B6D9-B56575E6C6F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1087</Words>
  <Characters>5766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“ Atos e Contratos de Alienação”</vt:lpstr>
    </vt:vector>
  </TitlesOfParts>
  <Company>anvs</Company>
  <LinksUpToDate>false</LinksUpToDate>
  <CharactersWithSpaces>6840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“ Atos e Contratos de Alienação”</dc:title>
  <dc:creator>Mariene.Castilho</dc:creator>
  <dc:description>ORIGEM:36688_x000d_
TIPO:79_x000d_
NUMERO:221_x000d_
CORREIO:marcio.lisboa@anvisa.gov.br</dc:description>
  <cp:lastModifiedBy>THAIS.PEREIRA</cp:lastModifiedBy>
  <cp:revision>17</cp:revision>
  <cp:lastPrinted>2016-08-02T14:05:00Z</cp:lastPrinted>
  <dcterms:created xsi:type="dcterms:W3CDTF">2015-09-23T17:22:00Z</dcterms:created>
  <dcterms:modified xsi:type="dcterms:W3CDTF">2016-08-02T14:05:00Z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