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7B5" w:rsidRDefault="009C27B5">
      <w:pPr>
        <w:ind w:firstLine="567"/>
        <w:jc w:val="both"/>
        <w:rPr>
          <w:b/>
          <w:bCs/>
          <w:sz w:val="16"/>
          <w:szCs w:val="16"/>
        </w:rPr>
      </w:pPr>
      <w:bookmarkStart w:id="0" w:name="_GoBack"/>
      <w:bookmarkEnd w:id="0"/>
      <w:r>
        <w:rPr>
          <w:sz w:val="16"/>
          <w:szCs w:val="16"/>
        </w:rPr>
        <w:t xml:space="preserve">##ATO </w:t>
      </w:r>
      <w:r>
        <w:rPr>
          <w:b/>
          <w:bCs/>
          <w:sz w:val="16"/>
          <w:szCs w:val="16"/>
        </w:rPr>
        <w:t>Resolução da Diretoria Colegiada - RDC nº 226, de 28 de agosto de 2003.</w:t>
      </w:r>
    </w:p>
    <w:p w:rsidR="009C27B5" w:rsidRDefault="009C27B5">
      <w:pPr>
        <w:ind w:firstLine="567"/>
        <w:jc w:val="both"/>
        <w:rPr>
          <w:sz w:val="16"/>
          <w:szCs w:val="16"/>
        </w:rPr>
      </w:pPr>
    </w:p>
    <w:p w:rsidR="009C27B5" w:rsidRDefault="009C27B5">
      <w:pPr>
        <w:pStyle w:val="Corpodetexto2"/>
        <w:ind w:firstLine="567"/>
        <w:rPr>
          <w:sz w:val="16"/>
          <w:szCs w:val="16"/>
        </w:rPr>
      </w:pPr>
      <w:r>
        <w:rPr>
          <w:sz w:val="16"/>
          <w:szCs w:val="16"/>
        </w:rPr>
        <w:t>##TEX A Diretoria Colegiada da Agência Nacional de Vigilância Sanitária, no uso da atribuição que lhe confere o art. 11, inciso IV, do Regulamento da ANVISA aprovado pelo Decreto nº 3.029, de 16 de abril de 1999, c/c o art. 111, inciso I, alínea “b”, § 1° do Regimento Interno aprovado pela Portaria  nº 593, de 25 de agosto de 2000, republicada no DOU de 22 de dezembro de 2000, em reunião realizada em 27 de agosto de 2003,</w:t>
      </w:r>
    </w:p>
    <w:p w:rsidR="009C27B5" w:rsidRDefault="009C27B5">
      <w:pPr>
        <w:ind w:firstLine="567"/>
        <w:jc w:val="both"/>
        <w:rPr>
          <w:sz w:val="16"/>
          <w:szCs w:val="16"/>
        </w:rPr>
      </w:pPr>
    </w:p>
    <w:p w:rsidR="009C27B5" w:rsidRDefault="009C27B5">
      <w:pPr>
        <w:ind w:firstLine="567"/>
        <w:jc w:val="both"/>
        <w:rPr>
          <w:sz w:val="16"/>
          <w:szCs w:val="16"/>
        </w:rPr>
      </w:pPr>
      <w:r>
        <w:rPr>
          <w:sz w:val="16"/>
          <w:szCs w:val="16"/>
        </w:rPr>
        <w:t>considerando que a ANVISA coordena o Comitê Técnico de Assessoramento para Agrotóxicos, CTA, no ano de 2003;</w:t>
      </w:r>
    </w:p>
    <w:p w:rsidR="009C27B5" w:rsidRDefault="009C27B5">
      <w:pPr>
        <w:ind w:firstLine="567"/>
        <w:jc w:val="both"/>
        <w:rPr>
          <w:sz w:val="16"/>
          <w:szCs w:val="16"/>
        </w:rPr>
      </w:pPr>
    </w:p>
    <w:p w:rsidR="009C27B5" w:rsidRDefault="009C27B5">
      <w:pPr>
        <w:ind w:firstLine="567"/>
        <w:jc w:val="both"/>
        <w:rPr>
          <w:sz w:val="16"/>
          <w:szCs w:val="16"/>
        </w:rPr>
      </w:pPr>
      <w:r>
        <w:rPr>
          <w:sz w:val="16"/>
          <w:szCs w:val="16"/>
        </w:rPr>
        <w:t>considerando o registro de agrotóxicos, seus componentes e afins para uso em emergências quarentenárias, fitossanitárias, sanitárias e ambientais, de que trata o Art. 18 de Decreto n° 4074 de 04 de janeiro de 2002, DOU de 08 de janeiro de 2002;</w:t>
      </w:r>
    </w:p>
    <w:p w:rsidR="009C27B5" w:rsidRDefault="009C27B5">
      <w:pPr>
        <w:ind w:firstLine="567"/>
        <w:jc w:val="both"/>
        <w:rPr>
          <w:sz w:val="16"/>
          <w:szCs w:val="16"/>
        </w:rPr>
      </w:pPr>
    </w:p>
    <w:p w:rsidR="009C27B5" w:rsidRDefault="009C27B5">
      <w:pPr>
        <w:ind w:firstLine="567"/>
        <w:jc w:val="both"/>
        <w:rPr>
          <w:sz w:val="16"/>
          <w:szCs w:val="16"/>
        </w:rPr>
      </w:pPr>
      <w:r>
        <w:rPr>
          <w:sz w:val="16"/>
          <w:szCs w:val="16"/>
        </w:rPr>
        <w:t>considerando as deliberações do Comitê Técnico de Assessoramento para Agrotóxicos – CTA, instituído pelo art. 95 do Decreto n° 4074, de 2002, na reunião realizada em 06 de agosto de 2003,</w:t>
      </w:r>
    </w:p>
    <w:p w:rsidR="009C27B5" w:rsidRDefault="009C27B5">
      <w:pPr>
        <w:ind w:firstLine="567"/>
        <w:jc w:val="both"/>
        <w:rPr>
          <w:sz w:val="16"/>
          <w:szCs w:val="16"/>
        </w:rPr>
      </w:pPr>
    </w:p>
    <w:p w:rsidR="009C27B5" w:rsidRDefault="009C27B5">
      <w:pPr>
        <w:ind w:firstLine="567"/>
        <w:jc w:val="both"/>
        <w:rPr>
          <w:sz w:val="16"/>
          <w:szCs w:val="16"/>
        </w:rPr>
      </w:pPr>
      <w:r>
        <w:rPr>
          <w:sz w:val="16"/>
          <w:szCs w:val="16"/>
        </w:rPr>
        <w:t>adota a seguinte Resolução e eu, Diretor-Presidente, determino a sua publicação:</w:t>
      </w:r>
    </w:p>
    <w:p w:rsidR="009C27B5" w:rsidRDefault="009C27B5">
      <w:pPr>
        <w:ind w:firstLine="567"/>
        <w:jc w:val="both"/>
        <w:rPr>
          <w:sz w:val="16"/>
          <w:szCs w:val="16"/>
        </w:rPr>
      </w:pPr>
    </w:p>
    <w:p w:rsidR="009C27B5" w:rsidRDefault="009C27B5">
      <w:pPr>
        <w:pStyle w:val="Recuodecorpodetexto2"/>
        <w:ind w:firstLine="567"/>
        <w:rPr>
          <w:sz w:val="16"/>
          <w:szCs w:val="16"/>
        </w:rPr>
      </w:pPr>
      <w:r>
        <w:rPr>
          <w:sz w:val="16"/>
          <w:szCs w:val="16"/>
        </w:rPr>
        <w:t>Art. 1º Autorizar a solicitação de registro, junto ao órgão competente, dos ingredientes ativos listados nos anexos, em caráter emergencial, de acordo com recomendações técnicas.</w:t>
      </w:r>
    </w:p>
    <w:p w:rsidR="009C27B5" w:rsidRDefault="009C27B5">
      <w:pPr>
        <w:pStyle w:val="Recuodecorpodetexto2"/>
        <w:tabs>
          <w:tab w:val="left" w:pos="5775"/>
        </w:tabs>
        <w:ind w:firstLine="567"/>
        <w:rPr>
          <w:sz w:val="16"/>
          <w:szCs w:val="16"/>
        </w:rPr>
      </w:pPr>
    </w:p>
    <w:p w:rsidR="009C27B5" w:rsidRDefault="009C27B5">
      <w:pPr>
        <w:pStyle w:val="Recuodecorpodetexto2"/>
        <w:ind w:firstLine="567"/>
        <w:rPr>
          <w:sz w:val="16"/>
          <w:szCs w:val="16"/>
        </w:rPr>
      </w:pPr>
      <w:r>
        <w:rPr>
          <w:sz w:val="16"/>
          <w:szCs w:val="16"/>
        </w:rPr>
        <w:t>Art. 2º As empresas interessadas em comercializar os agrotóxicos, contendo os ingredientes ativos citados nos anexos desta Resolução, em caráter emergencial, deverão estar cadastradas nos Estados, no Distrito Federal e na Coordenação de Fiscalização de Agrotóxicos, do Departamento de Defesa e Inspeção Vegetal – CFA/DDIV/DAS, como fabricante e formuladora de agrotóxicos.</w:t>
      </w:r>
    </w:p>
    <w:p w:rsidR="009C27B5" w:rsidRDefault="009C27B5">
      <w:pPr>
        <w:pStyle w:val="Recuodecorpodetexto2"/>
        <w:ind w:firstLine="567"/>
        <w:rPr>
          <w:sz w:val="16"/>
          <w:szCs w:val="16"/>
        </w:rPr>
      </w:pPr>
    </w:p>
    <w:p w:rsidR="009C27B5" w:rsidRDefault="009C27B5">
      <w:pPr>
        <w:pStyle w:val="Recuodecorpodetexto2"/>
        <w:ind w:firstLine="567"/>
        <w:rPr>
          <w:sz w:val="16"/>
          <w:szCs w:val="16"/>
        </w:rPr>
      </w:pPr>
      <w:r>
        <w:rPr>
          <w:sz w:val="16"/>
          <w:szCs w:val="16"/>
        </w:rPr>
        <w:t>Parágrafo único. As empresas interessadas deverão apresentar requerimento comprometendo-se a realizar os estudos de resíduos para os ingredientes ativos e culturas conforme anexos, de acordo com a Resolução – RDC n° 44, de 10 de agosto  de 2000, DOU de 15 de junho de 2000, retificada em 21 de junho de 2000.</w:t>
      </w:r>
    </w:p>
    <w:p w:rsidR="009C27B5" w:rsidRDefault="009C27B5">
      <w:pPr>
        <w:pStyle w:val="Recuodecorpodetexto2"/>
        <w:ind w:firstLine="567"/>
        <w:rPr>
          <w:sz w:val="16"/>
          <w:szCs w:val="16"/>
        </w:rPr>
      </w:pPr>
    </w:p>
    <w:p w:rsidR="009C27B5" w:rsidRDefault="009C27B5">
      <w:pPr>
        <w:pStyle w:val="Recuodecorpodetexto2"/>
        <w:ind w:firstLine="567"/>
        <w:rPr>
          <w:sz w:val="16"/>
          <w:szCs w:val="16"/>
        </w:rPr>
      </w:pPr>
      <w:r>
        <w:rPr>
          <w:sz w:val="16"/>
          <w:szCs w:val="16"/>
        </w:rPr>
        <w:t>Art. 3° Será cancelado o registro, em caráter emergencial, dos ingredientes ativos citados no anexo desta Resolução, se constatados problemas de ordem agronômica, toxicológica e ambiental.</w:t>
      </w:r>
    </w:p>
    <w:p w:rsidR="009C27B5" w:rsidRDefault="009C27B5">
      <w:pPr>
        <w:pStyle w:val="Recuodecorpodetexto2"/>
        <w:ind w:firstLine="567"/>
        <w:rPr>
          <w:sz w:val="16"/>
          <w:szCs w:val="16"/>
        </w:rPr>
      </w:pPr>
    </w:p>
    <w:p w:rsidR="009C27B5" w:rsidRDefault="009C27B5">
      <w:pPr>
        <w:pStyle w:val="Recuodecorpodetexto2"/>
        <w:ind w:firstLine="567"/>
        <w:rPr>
          <w:sz w:val="16"/>
          <w:szCs w:val="16"/>
        </w:rPr>
      </w:pPr>
      <w:r>
        <w:rPr>
          <w:sz w:val="16"/>
          <w:szCs w:val="16"/>
        </w:rPr>
        <w:t>Art. 4° Esta Resolução entra em vigor na data de sua publicação.</w:t>
      </w:r>
    </w:p>
    <w:p w:rsidR="009C27B5" w:rsidRDefault="009C27B5">
      <w:pPr>
        <w:pStyle w:val="Recuodecorpodetexto2"/>
        <w:ind w:firstLine="567"/>
        <w:rPr>
          <w:sz w:val="16"/>
          <w:szCs w:val="16"/>
        </w:rPr>
      </w:pPr>
    </w:p>
    <w:p w:rsidR="009C27B5" w:rsidRDefault="009C27B5">
      <w:pPr>
        <w:ind w:firstLine="567"/>
        <w:jc w:val="both"/>
        <w:rPr>
          <w:sz w:val="16"/>
          <w:szCs w:val="16"/>
        </w:rPr>
      </w:pPr>
    </w:p>
    <w:p w:rsidR="009C27B5" w:rsidRDefault="009C27B5">
      <w:pPr>
        <w:ind w:firstLine="567"/>
        <w:jc w:val="both"/>
        <w:rPr>
          <w:sz w:val="16"/>
          <w:szCs w:val="16"/>
        </w:rPr>
      </w:pPr>
    </w:p>
    <w:p w:rsidR="009C27B5" w:rsidRDefault="009C27B5">
      <w:pPr>
        <w:ind w:firstLine="567"/>
        <w:jc w:val="both"/>
        <w:rPr>
          <w:sz w:val="16"/>
          <w:szCs w:val="16"/>
        </w:rPr>
      </w:pPr>
    </w:p>
    <w:p w:rsidR="009C27B5" w:rsidRDefault="009C27B5">
      <w:pPr>
        <w:jc w:val="center"/>
        <w:rPr>
          <w:sz w:val="16"/>
          <w:szCs w:val="16"/>
        </w:rPr>
      </w:pPr>
      <w:r>
        <w:rPr>
          <w:sz w:val="16"/>
          <w:szCs w:val="16"/>
        </w:rPr>
        <w:t>##ASS CLAUDIO MAIEROVITCH PESSANHA HENRIQUES</w:t>
      </w:r>
    </w:p>
    <w:p w:rsidR="009C27B5" w:rsidRDefault="009C27B5">
      <w:pPr>
        <w:jc w:val="both"/>
        <w:rPr>
          <w:sz w:val="16"/>
          <w:szCs w:val="16"/>
        </w:rPr>
      </w:pPr>
    </w:p>
    <w:p w:rsidR="009C27B5" w:rsidRDefault="009C27B5">
      <w:pPr>
        <w:jc w:val="both"/>
        <w:rPr>
          <w:sz w:val="16"/>
          <w:szCs w:val="16"/>
        </w:rPr>
      </w:pPr>
    </w:p>
    <w:p w:rsidR="009C27B5" w:rsidRDefault="009C27B5">
      <w:pPr>
        <w:jc w:val="center"/>
        <w:rPr>
          <w:sz w:val="16"/>
          <w:szCs w:val="16"/>
        </w:rPr>
      </w:pPr>
      <w:r>
        <w:rPr>
          <w:sz w:val="16"/>
          <w:szCs w:val="16"/>
        </w:rPr>
        <w:t>ANEXO 1</w:t>
      </w:r>
    </w:p>
    <w:p w:rsidR="009C27B5" w:rsidRDefault="009C27B5">
      <w:pPr>
        <w:jc w:val="center"/>
        <w:rPr>
          <w:sz w:val="16"/>
          <w:szCs w:val="16"/>
        </w:rPr>
      </w:pPr>
    </w:p>
    <w:p w:rsidR="009C27B5" w:rsidRDefault="009C27B5">
      <w:pPr>
        <w:jc w:val="both"/>
        <w:rPr>
          <w:sz w:val="16"/>
          <w:szCs w:val="16"/>
        </w:rPr>
      </w:pPr>
      <w:r>
        <w:rPr>
          <w:sz w:val="16"/>
          <w:szCs w:val="16"/>
        </w:rPr>
        <w:t>1) Nome comum do ingrediente ativo: Brometo de Metila</w:t>
      </w:r>
    </w:p>
    <w:p w:rsidR="009C27B5" w:rsidRDefault="009C27B5">
      <w:pPr>
        <w:jc w:val="both"/>
        <w:rPr>
          <w:sz w:val="16"/>
          <w:szCs w:val="16"/>
        </w:rPr>
      </w:pPr>
      <w:r>
        <w:rPr>
          <w:sz w:val="16"/>
          <w:szCs w:val="16"/>
        </w:rPr>
        <w:t>1.1) Nome químico do ingrediente ativo: methyl bromide ou bromomethane</w:t>
      </w:r>
    </w:p>
    <w:p w:rsidR="009C27B5" w:rsidRDefault="009C27B5">
      <w:pPr>
        <w:jc w:val="both"/>
        <w:rPr>
          <w:sz w:val="16"/>
          <w:szCs w:val="16"/>
        </w:rPr>
      </w:pPr>
      <w:r>
        <w:rPr>
          <w:sz w:val="16"/>
          <w:szCs w:val="16"/>
        </w:rPr>
        <w:t>1.2) N° CAS: 74-83-9</w:t>
      </w:r>
    </w:p>
    <w:p w:rsidR="009C27B5" w:rsidRDefault="009C27B5">
      <w:pPr>
        <w:jc w:val="both"/>
        <w:rPr>
          <w:sz w:val="16"/>
          <w:szCs w:val="16"/>
        </w:rPr>
      </w:pPr>
      <w:r>
        <w:rPr>
          <w:sz w:val="16"/>
          <w:szCs w:val="16"/>
        </w:rPr>
        <w:t>1.3) Classe: formicida, fungicida, herbicida, inseticida e nematicida</w:t>
      </w:r>
    </w:p>
    <w:p w:rsidR="009C27B5" w:rsidRDefault="009C27B5">
      <w:pPr>
        <w:jc w:val="both"/>
        <w:rPr>
          <w:sz w:val="16"/>
          <w:szCs w:val="16"/>
          <w:lang w:val="es-ES_tradnl"/>
        </w:rPr>
      </w:pPr>
      <w:r>
        <w:rPr>
          <w:sz w:val="16"/>
          <w:szCs w:val="16"/>
          <w:lang w:val="es-ES_tradnl"/>
        </w:rPr>
        <w:t>1.4) Grupo químico: alifático halogenado</w:t>
      </w:r>
    </w:p>
    <w:p w:rsidR="009C27B5" w:rsidRDefault="009C27B5">
      <w:pPr>
        <w:jc w:val="both"/>
        <w:rPr>
          <w:sz w:val="16"/>
          <w:szCs w:val="16"/>
        </w:rPr>
      </w:pPr>
      <w:r>
        <w:rPr>
          <w:sz w:val="16"/>
          <w:szCs w:val="16"/>
        </w:rPr>
        <w:t>2) Indicação de uso concedido: algodão</w:t>
      </w:r>
    </w:p>
    <w:p w:rsidR="009C27B5" w:rsidRDefault="009C27B5">
      <w:pPr>
        <w:jc w:val="both"/>
        <w:rPr>
          <w:sz w:val="16"/>
          <w:szCs w:val="16"/>
        </w:rPr>
      </w:pPr>
      <w:r>
        <w:rPr>
          <w:sz w:val="16"/>
          <w:szCs w:val="16"/>
        </w:rPr>
        <w:t>3) Finalidade: utilização em procedimentos quarentenários e fitossanitários para fins de importação e exportação de algodão</w:t>
      </w:r>
    </w:p>
    <w:p w:rsidR="009C27B5" w:rsidRDefault="009C27B5">
      <w:pPr>
        <w:jc w:val="both"/>
        <w:rPr>
          <w:sz w:val="16"/>
          <w:szCs w:val="16"/>
        </w:rPr>
      </w:pPr>
      <w:r>
        <w:rPr>
          <w:sz w:val="16"/>
          <w:szCs w:val="16"/>
        </w:rPr>
        <w:t>4) Aplicação:</w:t>
      </w:r>
    </w:p>
    <w:p w:rsidR="009C27B5" w:rsidRDefault="009C27B5">
      <w:pPr>
        <w:tabs>
          <w:tab w:val="left" w:pos="540"/>
        </w:tabs>
        <w:jc w:val="both"/>
        <w:rPr>
          <w:sz w:val="16"/>
          <w:szCs w:val="16"/>
        </w:rPr>
      </w:pPr>
      <w:r>
        <w:rPr>
          <w:sz w:val="16"/>
          <w:szCs w:val="16"/>
        </w:rPr>
        <w:t>4.1) Modo de aplicação: as operações de fumigação deverão atender  o estabelecido no art. 1° da INC n° 1, de 14/02/03, que alterou o art. 5° da INC n° 1, de 10/09/02.</w:t>
      </w:r>
    </w:p>
    <w:p w:rsidR="009C27B5" w:rsidRDefault="009C27B5">
      <w:pPr>
        <w:tabs>
          <w:tab w:val="left" w:pos="540"/>
        </w:tabs>
        <w:jc w:val="both"/>
        <w:rPr>
          <w:sz w:val="16"/>
          <w:szCs w:val="16"/>
        </w:rPr>
      </w:pPr>
      <w:r>
        <w:rPr>
          <w:sz w:val="16"/>
          <w:szCs w:val="16"/>
        </w:rPr>
        <w:t>4.2) Freqüência de aplicação: única</w:t>
      </w:r>
    </w:p>
    <w:p w:rsidR="009C27B5" w:rsidRDefault="009C27B5">
      <w:pPr>
        <w:tabs>
          <w:tab w:val="left" w:pos="0"/>
        </w:tabs>
        <w:jc w:val="both"/>
        <w:rPr>
          <w:sz w:val="16"/>
          <w:szCs w:val="16"/>
        </w:rPr>
      </w:pPr>
      <w:r>
        <w:rPr>
          <w:sz w:val="16"/>
          <w:szCs w:val="16"/>
        </w:rPr>
        <w:t xml:space="preserve">4.3) Dose: </w:t>
      </w:r>
    </w:p>
    <w:p w:rsidR="009C27B5" w:rsidRDefault="009C27B5">
      <w:pPr>
        <w:tabs>
          <w:tab w:val="left" w:pos="360"/>
          <w:tab w:val="left" w:pos="540"/>
        </w:tabs>
        <w:jc w:val="both"/>
        <w:rPr>
          <w:sz w:val="16"/>
          <w:szCs w:val="16"/>
        </w:rPr>
      </w:pPr>
      <w:r>
        <w:rPr>
          <w:sz w:val="16"/>
          <w:szCs w:val="16"/>
        </w:rPr>
        <w:t>4.3.1) Para fins de importação: 30g PC / m</w:t>
      </w:r>
      <w:r>
        <w:rPr>
          <w:sz w:val="16"/>
          <w:szCs w:val="16"/>
          <w:vertAlign w:val="superscript"/>
        </w:rPr>
        <w:t>3</w:t>
      </w:r>
      <w:r>
        <w:rPr>
          <w:sz w:val="16"/>
          <w:szCs w:val="16"/>
        </w:rPr>
        <w:t xml:space="preserve"> de algodão (em temperatura superior a 27°C) e 38g PC / m</w:t>
      </w:r>
      <w:r>
        <w:rPr>
          <w:sz w:val="16"/>
          <w:szCs w:val="16"/>
          <w:vertAlign w:val="superscript"/>
        </w:rPr>
        <w:t>3</w:t>
      </w:r>
      <w:r>
        <w:rPr>
          <w:sz w:val="16"/>
          <w:szCs w:val="16"/>
        </w:rPr>
        <w:t xml:space="preserve"> de algodão (em temperaturas iguais ou inferiores a 27°C);</w:t>
      </w:r>
    </w:p>
    <w:p w:rsidR="009C27B5" w:rsidRDefault="009C27B5">
      <w:pPr>
        <w:tabs>
          <w:tab w:val="left" w:pos="360"/>
          <w:tab w:val="left" w:pos="540"/>
        </w:tabs>
        <w:jc w:val="both"/>
        <w:rPr>
          <w:sz w:val="16"/>
          <w:szCs w:val="16"/>
        </w:rPr>
      </w:pPr>
      <w:r>
        <w:rPr>
          <w:sz w:val="16"/>
          <w:szCs w:val="16"/>
        </w:rPr>
        <w:t>4.3.2) Para fins de exportação: de acordo com solicitação do país importador, conforme documentação oficial do mesmo.</w:t>
      </w:r>
    </w:p>
    <w:p w:rsidR="009C27B5" w:rsidRDefault="009C27B5">
      <w:pPr>
        <w:jc w:val="both"/>
        <w:rPr>
          <w:sz w:val="16"/>
          <w:szCs w:val="16"/>
        </w:rPr>
      </w:pPr>
      <w:r>
        <w:rPr>
          <w:sz w:val="16"/>
          <w:szCs w:val="16"/>
        </w:rPr>
        <w:t>5) Uso emergencial concedido por período de 6 meses a contar da data de publicação.</w:t>
      </w:r>
    </w:p>
    <w:p w:rsidR="009C27B5" w:rsidRDefault="009C27B5">
      <w:pPr>
        <w:jc w:val="both"/>
        <w:rPr>
          <w:sz w:val="16"/>
          <w:szCs w:val="16"/>
        </w:rPr>
      </w:pPr>
    </w:p>
    <w:p w:rsidR="009C27B5" w:rsidRDefault="009C27B5">
      <w:pPr>
        <w:jc w:val="both"/>
        <w:rPr>
          <w:sz w:val="16"/>
          <w:szCs w:val="16"/>
        </w:rPr>
      </w:pPr>
    </w:p>
    <w:p w:rsidR="009C27B5" w:rsidRDefault="009C27B5">
      <w:pPr>
        <w:jc w:val="center"/>
        <w:rPr>
          <w:sz w:val="16"/>
          <w:szCs w:val="16"/>
        </w:rPr>
      </w:pPr>
      <w:r>
        <w:rPr>
          <w:sz w:val="16"/>
          <w:szCs w:val="16"/>
        </w:rPr>
        <w:t>ANEXO 2</w:t>
      </w:r>
    </w:p>
    <w:p w:rsidR="009C27B5" w:rsidRDefault="009C27B5">
      <w:pPr>
        <w:jc w:val="center"/>
        <w:rPr>
          <w:sz w:val="16"/>
          <w:szCs w:val="16"/>
        </w:rPr>
      </w:pPr>
    </w:p>
    <w:p w:rsidR="009C27B5" w:rsidRDefault="009C27B5">
      <w:pPr>
        <w:jc w:val="both"/>
        <w:rPr>
          <w:sz w:val="16"/>
          <w:szCs w:val="16"/>
        </w:rPr>
      </w:pPr>
      <w:r>
        <w:rPr>
          <w:sz w:val="16"/>
          <w:szCs w:val="16"/>
        </w:rPr>
        <w:t>1) Nome comum do ingrediente ativo: Diflubenzurom</w:t>
      </w:r>
    </w:p>
    <w:p w:rsidR="009C27B5" w:rsidRDefault="009C27B5">
      <w:pPr>
        <w:jc w:val="both"/>
        <w:rPr>
          <w:sz w:val="16"/>
          <w:szCs w:val="16"/>
        </w:rPr>
      </w:pPr>
      <w:r>
        <w:rPr>
          <w:sz w:val="16"/>
          <w:szCs w:val="16"/>
        </w:rPr>
        <w:t>1.1) Nome químico do ingrediente ativo: 1-(4-chlorophenyl)-3-(2,6-difluorobenzoyl)urea</w:t>
      </w:r>
    </w:p>
    <w:p w:rsidR="009C27B5" w:rsidRDefault="009C27B5">
      <w:pPr>
        <w:jc w:val="both"/>
        <w:rPr>
          <w:sz w:val="16"/>
          <w:szCs w:val="16"/>
        </w:rPr>
      </w:pPr>
      <w:r>
        <w:rPr>
          <w:sz w:val="16"/>
          <w:szCs w:val="16"/>
        </w:rPr>
        <w:t>1.2) N° CAS: 35367-38-5</w:t>
      </w:r>
    </w:p>
    <w:p w:rsidR="009C27B5" w:rsidRDefault="009C27B5">
      <w:pPr>
        <w:jc w:val="both"/>
        <w:rPr>
          <w:sz w:val="16"/>
          <w:szCs w:val="16"/>
        </w:rPr>
      </w:pPr>
      <w:r>
        <w:rPr>
          <w:sz w:val="16"/>
          <w:szCs w:val="16"/>
        </w:rPr>
        <w:t>1.3) Classe: acaricida e inseticida</w:t>
      </w:r>
    </w:p>
    <w:p w:rsidR="009C27B5" w:rsidRDefault="009C27B5">
      <w:pPr>
        <w:jc w:val="both"/>
        <w:rPr>
          <w:sz w:val="16"/>
          <w:szCs w:val="16"/>
        </w:rPr>
      </w:pPr>
      <w:r>
        <w:rPr>
          <w:sz w:val="16"/>
          <w:szCs w:val="16"/>
        </w:rPr>
        <w:t>1.4) Grupo químico: benzoiluréia</w:t>
      </w:r>
    </w:p>
    <w:p w:rsidR="009C27B5" w:rsidRDefault="009C27B5">
      <w:pPr>
        <w:jc w:val="both"/>
        <w:rPr>
          <w:sz w:val="16"/>
          <w:szCs w:val="16"/>
        </w:rPr>
      </w:pPr>
      <w:r>
        <w:rPr>
          <w:sz w:val="16"/>
          <w:szCs w:val="16"/>
        </w:rPr>
        <w:t>2) Indicação de uso concedida: fumo</w:t>
      </w:r>
    </w:p>
    <w:p w:rsidR="009C27B5" w:rsidRDefault="009C27B5">
      <w:pPr>
        <w:jc w:val="both"/>
        <w:rPr>
          <w:sz w:val="16"/>
          <w:szCs w:val="16"/>
        </w:rPr>
      </w:pPr>
      <w:r>
        <w:rPr>
          <w:sz w:val="16"/>
          <w:szCs w:val="16"/>
        </w:rPr>
        <w:t>3) Praga: traça-da-batatinha (</w:t>
      </w:r>
      <w:r>
        <w:rPr>
          <w:i/>
          <w:iCs/>
          <w:sz w:val="16"/>
          <w:szCs w:val="16"/>
        </w:rPr>
        <w:t>Phthorimaea opeculella</w:t>
      </w:r>
      <w:r>
        <w:rPr>
          <w:sz w:val="16"/>
          <w:szCs w:val="16"/>
        </w:rPr>
        <w:t>)</w:t>
      </w:r>
    </w:p>
    <w:p w:rsidR="009C27B5" w:rsidRDefault="009C27B5">
      <w:pPr>
        <w:jc w:val="both"/>
        <w:rPr>
          <w:sz w:val="16"/>
          <w:szCs w:val="16"/>
        </w:rPr>
      </w:pPr>
      <w:r>
        <w:rPr>
          <w:sz w:val="16"/>
          <w:szCs w:val="16"/>
        </w:rPr>
        <w:t>4) Aplicação:</w:t>
      </w:r>
    </w:p>
    <w:p w:rsidR="009C27B5" w:rsidRDefault="009C27B5">
      <w:pPr>
        <w:tabs>
          <w:tab w:val="left" w:pos="426"/>
        </w:tabs>
        <w:jc w:val="both"/>
        <w:rPr>
          <w:sz w:val="16"/>
          <w:szCs w:val="16"/>
        </w:rPr>
      </w:pPr>
      <w:r>
        <w:rPr>
          <w:sz w:val="16"/>
          <w:szCs w:val="16"/>
        </w:rPr>
        <w:t>4.1) Modo de aplicação: terrestre</w:t>
      </w:r>
    </w:p>
    <w:p w:rsidR="009C27B5" w:rsidRDefault="009C27B5">
      <w:pPr>
        <w:tabs>
          <w:tab w:val="left" w:pos="540"/>
        </w:tabs>
        <w:jc w:val="both"/>
        <w:rPr>
          <w:sz w:val="16"/>
          <w:szCs w:val="16"/>
          <w:lang w:val="es-ES_tradnl"/>
        </w:rPr>
      </w:pPr>
      <w:r>
        <w:rPr>
          <w:sz w:val="16"/>
          <w:szCs w:val="16"/>
          <w:lang w:val="es-ES_tradnl"/>
        </w:rPr>
        <w:t>4.2) Dose: 125g IA / ha</w:t>
      </w:r>
    </w:p>
    <w:p w:rsidR="009C27B5" w:rsidRDefault="009C27B5">
      <w:pPr>
        <w:jc w:val="both"/>
        <w:rPr>
          <w:sz w:val="16"/>
          <w:szCs w:val="16"/>
        </w:rPr>
      </w:pPr>
      <w:r>
        <w:rPr>
          <w:sz w:val="16"/>
          <w:szCs w:val="16"/>
        </w:rPr>
        <w:t>5) Intervalo de segurança: não determinado por tratar-se de Uso Não Alimentar</w:t>
      </w:r>
    </w:p>
    <w:p w:rsidR="009C27B5" w:rsidRDefault="009C27B5">
      <w:pPr>
        <w:jc w:val="both"/>
        <w:rPr>
          <w:sz w:val="16"/>
          <w:szCs w:val="16"/>
        </w:rPr>
      </w:pPr>
      <w:r>
        <w:rPr>
          <w:sz w:val="16"/>
          <w:szCs w:val="16"/>
        </w:rPr>
        <w:t>6) Uso emergencial concedido pelo período de 18 (dezoito) meses, a contar da data da sua publicação.</w:t>
      </w:r>
    </w:p>
    <w:p w:rsidR="009C27B5" w:rsidRDefault="009C27B5">
      <w:pPr>
        <w:jc w:val="center"/>
        <w:rPr>
          <w:sz w:val="16"/>
          <w:szCs w:val="16"/>
        </w:rPr>
      </w:pPr>
    </w:p>
    <w:p w:rsidR="009C27B5" w:rsidRDefault="009C27B5">
      <w:pPr>
        <w:jc w:val="center"/>
        <w:rPr>
          <w:sz w:val="16"/>
          <w:szCs w:val="16"/>
        </w:rPr>
      </w:pPr>
      <w:r>
        <w:rPr>
          <w:sz w:val="16"/>
          <w:szCs w:val="16"/>
        </w:rPr>
        <w:t>ANEXO 3</w:t>
      </w:r>
    </w:p>
    <w:p w:rsidR="009C27B5" w:rsidRDefault="009C27B5">
      <w:pPr>
        <w:jc w:val="center"/>
        <w:rPr>
          <w:sz w:val="16"/>
          <w:szCs w:val="16"/>
        </w:rPr>
      </w:pPr>
    </w:p>
    <w:p w:rsidR="009C27B5" w:rsidRDefault="009C27B5">
      <w:pPr>
        <w:jc w:val="both"/>
        <w:rPr>
          <w:sz w:val="16"/>
          <w:szCs w:val="16"/>
        </w:rPr>
      </w:pPr>
      <w:r>
        <w:rPr>
          <w:sz w:val="16"/>
          <w:szCs w:val="16"/>
        </w:rPr>
        <w:t>1) Nome comum do ingrediente ativo: Teflubenzurom</w:t>
      </w:r>
    </w:p>
    <w:p w:rsidR="009C27B5" w:rsidRDefault="009C27B5">
      <w:pPr>
        <w:pStyle w:val="Corpodetexto2"/>
        <w:tabs>
          <w:tab w:val="left" w:pos="360"/>
        </w:tabs>
        <w:rPr>
          <w:sz w:val="16"/>
          <w:szCs w:val="16"/>
        </w:rPr>
      </w:pPr>
      <w:r>
        <w:rPr>
          <w:sz w:val="16"/>
          <w:szCs w:val="16"/>
        </w:rPr>
        <w:t>1.1)Nome químico do ingrediente ativo: 1-(3,5-dichloro-2,4-difluorophenyl)-3-(2,6-difluorobenzoyl)urea</w:t>
      </w:r>
    </w:p>
    <w:p w:rsidR="009C27B5" w:rsidRDefault="009C27B5">
      <w:pPr>
        <w:jc w:val="both"/>
        <w:rPr>
          <w:sz w:val="16"/>
          <w:szCs w:val="16"/>
        </w:rPr>
      </w:pPr>
      <w:r>
        <w:rPr>
          <w:sz w:val="16"/>
          <w:szCs w:val="16"/>
        </w:rPr>
        <w:t>1.2) N° CAS: 83121-18-0</w:t>
      </w:r>
    </w:p>
    <w:p w:rsidR="009C27B5" w:rsidRDefault="009C27B5">
      <w:pPr>
        <w:jc w:val="both"/>
        <w:rPr>
          <w:sz w:val="16"/>
          <w:szCs w:val="16"/>
        </w:rPr>
      </w:pPr>
      <w:r>
        <w:rPr>
          <w:sz w:val="16"/>
          <w:szCs w:val="16"/>
        </w:rPr>
        <w:t>1.3) Classe: inseticida</w:t>
      </w:r>
    </w:p>
    <w:p w:rsidR="009C27B5" w:rsidRDefault="009C27B5">
      <w:pPr>
        <w:jc w:val="both"/>
        <w:rPr>
          <w:sz w:val="16"/>
          <w:szCs w:val="16"/>
        </w:rPr>
      </w:pPr>
      <w:r>
        <w:rPr>
          <w:sz w:val="16"/>
          <w:szCs w:val="16"/>
        </w:rPr>
        <w:t>1.4) Grupo químico: benzoiluréia</w:t>
      </w:r>
    </w:p>
    <w:p w:rsidR="009C27B5" w:rsidRDefault="009C27B5">
      <w:pPr>
        <w:jc w:val="both"/>
        <w:rPr>
          <w:sz w:val="16"/>
          <w:szCs w:val="16"/>
        </w:rPr>
      </w:pPr>
      <w:r>
        <w:rPr>
          <w:sz w:val="16"/>
          <w:szCs w:val="16"/>
        </w:rPr>
        <w:t>2) Indicação de uso concedida: fumo</w:t>
      </w:r>
    </w:p>
    <w:p w:rsidR="009C27B5" w:rsidRDefault="009C27B5">
      <w:pPr>
        <w:jc w:val="both"/>
        <w:rPr>
          <w:sz w:val="16"/>
          <w:szCs w:val="16"/>
        </w:rPr>
      </w:pPr>
      <w:r>
        <w:rPr>
          <w:sz w:val="16"/>
          <w:szCs w:val="16"/>
        </w:rPr>
        <w:t>3) Praga: traça-da-batatinha (</w:t>
      </w:r>
      <w:r>
        <w:rPr>
          <w:i/>
          <w:iCs/>
          <w:sz w:val="16"/>
          <w:szCs w:val="16"/>
        </w:rPr>
        <w:t>Phthorimaea opeculella</w:t>
      </w:r>
      <w:r>
        <w:rPr>
          <w:sz w:val="16"/>
          <w:szCs w:val="16"/>
        </w:rPr>
        <w:t>)</w:t>
      </w:r>
    </w:p>
    <w:p w:rsidR="009C27B5" w:rsidRDefault="009C27B5">
      <w:pPr>
        <w:jc w:val="both"/>
        <w:rPr>
          <w:sz w:val="16"/>
          <w:szCs w:val="16"/>
        </w:rPr>
      </w:pPr>
      <w:r>
        <w:rPr>
          <w:sz w:val="16"/>
          <w:szCs w:val="16"/>
        </w:rPr>
        <w:t>4) Aplicação:</w:t>
      </w:r>
    </w:p>
    <w:p w:rsidR="009C27B5" w:rsidRDefault="009C27B5">
      <w:pPr>
        <w:tabs>
          <w:tab w:val="left" w:pos="540"/>
        </w:tabs>
        <w:jc w:val="both"/>
        <w:rPr>
          <w:sz w:val="16"/>
          <w:szCs w:val="16"/>
        </w:rPr>
      </w:pPr>
      <w:r>
        <w:rPr>
          <w:sz w:val="16"/>
          <w:szCs w:val="16"/>
        </w:rPr>
        <w:t>4.1) Modo de aplicação: terrestre</w:t>
      </w:r>
    </w:p>
    <w:p w:rsidR="009C27B5" w:rsidRDefault="009C27B5">
      <w:pPr>
        <w:tabs>
          <w:tab w:val="left" w:pos="540"/>
        </w:tabs>
        <w:jc w:val="both"/>
        <w:rPr>
          <w:sz w:val="16"/>
          <w:szCs w:val="16"/>
        </w:rPr>
      </w:pPr>
      <w:r>
        <w:rPr>
          <w:sz w:val="16"/>
          <w:szCs w:val="16"/>
        </w:rPr>
        <w:t>4.2) Dose: 3,75g IA / 100L de água</w:t>
      </w:r>
    </w:p>
    <w:p w:rsidR="009C27B5" w:rsidRDefault="009C27B5">
      <w:pPr>
        <w:tabs>
          <w:tab w:val="left" w:pos="540"/>
        </w:tabs>
        <w:jc w:val="both"/>
        <w:rPr>
          <w:sz w:val="16"/>
          <w:szCs w:val="16"/>
        </w:rPr>
      </w:pPr>
      <w:r>
        <w:rPr>
          <w:sz w:val="16"/>
          <w:szCs w:val="16"/>
        </w:rPr>
        <w:t>5) Intervalo de segurança: não determinado por tratar-se de Uso Não Alimentar</w:t>
      </w:r>
    </w:p>
    <w:p w:rsidR="009C27B5" w:rsidRDefault="009C27B5">
      <w:pPr>
        <w:jc w:val="both"/>
        <w:rPr>
          <w:sz w:val="16"/>
          <w:szCs w:val="16"/>
        </w:rPr>
      </w:pPr>
      <w:r>
        <w:rPr>
          <w:sz w:val="16"/>
          <w:szCs w:val="16"/>
        </w:rPr>
        <w:t>6) Uso emergencial concedido pelo período de 18 (dezoito) meses, a contar da data da sua publicação.</w:t>
      </w:r>
    </w:p>
    <w:p w:rsidR="009C27B5" w:rsidRDefault="009C27B5">
      <w:pPr>
        <w:jc w:val="center"/>
        <w:rPr>
          <w:sz w:val="16"/>
          <w:szCs w:val="16"/>
        </w:rPr>
      </w:pPr>
    </w:p>
    <w:p w:rsidR="009C27B5" w:rsidRDefault="009C27B5">
      <w:pPr>
        <w:jc w:val="center"/>
        <w:rPr>
          <w:sz w:val="16"/>
          <w:szCs w:val="16"/>
        </w:rPr>
      </w:pPr>
      <w:r>
        <w:rPr>
          <w:sz w:val="16"/>
          <w:szCs w:val="16"/>
        </w:rPr>
        <w:t>ANEXO 4</w:t>
      </w:r>
    </w:p>
    <w:p w:rsidR="009C27B5" w:rsidRDefault="009C27B5">
      <w:pPr>
        <w:jc w:val="center"/>
        <w:rPr>
          <w:sz w:val="16"/>
          <w:szCs w:val="16"/>
        </w:rPr>
      </w:pPr>
    </w:p>
    <w:p w:rsidR="009C27B5" w:rsidRDefault="009C27B5">
      <w:pPr>
        <w:jc w:val="both"/>
        <w:rPr>
          <w:sz w:val="16"/>
          <w:szCs w:val="16"/>
        </w:rPr>
      </w:pPr>
      <w:r>
        <w:rPr>
          <w:sz w:val="16"/>
          <w:szCs w:val="16"/>
        </w:rPr>
        <w:t>1) Nome comum do ingrediente ativo: Triflumurom</w:t>
      </w:r>
    </w:p>
    <w:p w:rsidR="009C27B5" w:rsidRDefault="009C27B5">
      <w:pPr>
        <w:jc w:val="both"/>
        <w:rPr>
          <w:sz w:val="16"/>
          <w:szCs w:val="16"/>
        </w:rPr>
      </w:pPr>
      <w:r>
        <w:rPr>
          <w:sz w:val="16"/>
          <w:szCs w:val="16"/>
        </w:rPr>
        <w:t>1.1) Nome químico do ingrediente ativo: 1-(2-chlorobenzoyl)-3-(4-trifluoromethoxyphenyl)urea</w:t>
      </w:r>
    </w:p>
    <w:p w:rsidR="009C27B5" w:rsidRDefault="009C27B5">
      <w:pPr>
        <w:jc w:val="both"/>
        <w:rPr>
          <w:sz w:val="16"/>
          <w:szCs w:val="16"/>
        </w:rPr>
      </w:pPr>
      <w:r>
        <w:rPr>
          <w:sz w:val="16"/>
          <w:szCs w:val="16"/>
        </w:rPr>
        <w:t>1.2) N° CAS: 64628-44-0</w:t>
      </w:r>
    </w:p>
    <w:p w:rsidR="009C27B5" w:rsidRDefault="009C27B5">
      <w:pPr>
        <w:jc w:val="both"/>
        <w:rPr>
          <w:sz w:val="16"/>
          <w:szCs w:val="16"/>
        </w:rPr>
      </w:pPr>
      <w:r>
        <w:rPr>
          <w:sz w:val="16"/>
          <w:szCs w:val="16"/>
        </w:rPr>
        <w:t>1.3) Classe: inseticida</w:t>
      </w:r>
    </w:p>
    <w:p w:rsidR="009C27B5" w:rsidRDefault="009C27B5">
      <w:pPr>
        <w:jc w:val="both"/>
        <w:rPr>
          <w:sz w:val="16"/>
          <w:szCs w:val="16"/>
        </w:rPr>
      </w:pPr>
      <w:r>
        <w:rPr>
          <w:sz w:val="16"/>
          <w:szCs w:val="16"/>
        </w:rPr>
        <w:t>1.4) Grupo químico: benzoiluréia</w:t>
      </w:r>
    </w:p>
    <w:p w:rsidR="009C27B5" w:rsidRDefault="009C27B5">
      <w:pPr>
        <w:jc w:val="both"/>
        <w:rPr>
          <w:sz w:val="16"/>
          <w:szCs w:val="16"/>
        </w:rPr>
      </w:pPr>
      <w:r>
        <w:rPr>
          <w:sz w:val="16"/>
          <w:szCs w:val="16"/>
        </w:rPr>
        <w:t>2) Indicação de uso concedida: fumo</w:t>
      </w:r>
    </w:p>
    <w:p w:rsidR="009C27B5" w:rsidRDefault="009C27B5">
      <w:pPr>
        <w:jc w:val="both"/>
        <w:rPr>
          <w:sz w:val="16"/>
          <w:szCs w:val="16"/>
        </w:rPr>
      </w:pPr>
      <w:r>
        <w:rPr>
          <w:sz w:val="16"/>
          <w:szCs w:val="16"/>
        </w:rPr>
        <w:t>3) Praga: traça-da-batatinha (</w:t>
      </w:r>
      <w:r>
        <w:rPr>
          <w:i/>
          <w:iCs/>
          <w:sz w:val="16"/>
          <w:szCs w:val="16"/>
        </w:rPr>
        <w:t>Phthorimaea opeculella</w:t>
      </w:r>
      <w:r>
        <w:rPr>
          <w:sz w:val="16"/>
          <w:szCs w:val="16"/>
        </w:rPr>
        <w:t>)</w:t>
      </w:r>
    </w:p>
    <w:p w:rsidR="009C27B5" w:rsidRDefault="009C27B5">
      <w:pPr>
        <w:jc w:val="both"/>
        <w:rPr>
          <w:sz w:val="16"/>
          <w:szCs w:val="16"/>
        </w:rPr>
      </w:pPr>
      <w:r>
        <w:rPr>
          <w:sz w:val="16"/>
          <w:szCs w:val="16"/>
        </w:rPr>
        <w:t>4) Aplicação:</w:t>
      </w:r>
    </w:p>
    <w:p w:rsidR="009C27B5" w:rsidRDefault="009C27B5">
      <w:pPr>
        <w:tabs>
          <w:tab w:val="left" w:pos="540"/>
        </w:tabs>
        <w:jc w:val="both"/>
        <w:rPr>
          <w:sz w:val="16"/>
          <w:szCs w:val="16"/>
        </w:rPr>
      </w:pPr>
      <w:r>
        <w:rPr>
          <w:sz w:val="16"/>
          <w:szCs w:val="16"/>
        </w:rPr>
        <w:t>4.1) Modo de aplicação: terrestre</w:t>
      </w:r>
    </w:p>
    <w:p w:rsidR="009C27B5" w:rsidRDefault="009C27B5">
      <w:pPr>
        <w:tabs>
          <w:tab w:val="left" w:pos="540"/>
        </w:tabs>
        <w:jc w:val="both"/>
        <w:rPr>
          <w:sz w:val="16"/>
          <w:szCs w:val="16"/>
        </w:rPr>
      </w:pPr>
      <w:r>
        <w:rPr>
          <w:sz w:val="16"/>
          <w:szCs w:val="16"/>
        </w:rPr>
        <w:t>4.2) Dose: 144 a 192g IA / ha</w:t>
      </w:r>
    </w:p>
    <w:p w:rsidR="009C27B5" w:rsidRDefault="009C27B5">
      <w:pPr>
        <w:jc w:val="both"/>
        <w:rPr>
          <w:sz w:val="16"/>
          <w:szCs w:val="16"/>
        </w:rPr>
      </w:pPr>
      <w:r>
        <w:rPr>
          <w:sz w:val="16"/>
          <w:szCs w:val="16"/>
        </w:rPr>
        <w:t>5) Intervalo de segurança: não determinado por tratar-se de Uso Não Alimentar</w:t>
      </w:r>
    </w:p>
    <w:p w:rsidR="009C27B5" w:rsidRDefault="009C27B5">
      <w:pPr>
        <w:pStyle w:val="Corpodetexto2"/>
        <w:rPr>
          <w:sz w:val="16"/>
          <w:szCs w:val="16"/>
        </w:rPr>
      </w:pPr>
      <w:r>
        <w:rPr>
          <w:sz w:val="16"/>
          <w:szCs w:val="16"/>
        </w:rPr>
        <w:t>6) Uso emergencial concedido pelo período de 18 (dezoito) meses, a contar da data da sua publicação.</w:t>
      </w:r>
    </w:p>
    <w:p w:rsidR="009C27B5" w:rsidRDefault="009C27B5">
      <w:pPr>
        <w:jc w:val="both"/>
        <w:rPr>
          <w:sz w:val="16"/>
          <w:szCs w:val="16"/>
        </w:rPr>
      </w:pPr>
    </w:p>
    <w:p w:rsidR="009C27B5" w:rsidRDefault="009C27B5">
      <w:pPr>
        <w:jc w:val="center"/>
        <w:rPr>
          <w:sz w:val="16"/>
          <w:szCs w:val="16"/>
        </w:rPr>
      </w:pPr>
      <w:r>
        <w:rPr>
          <w:sz w:val="16"/>
          <w:szCs w:val="16"/>
        </w:rPr>
        <w:t>ANEXO 5</w:t>
      </w:r>
    </w:p>
    <w:p w:rsidR="009C27B5" w:rsidRDefault="009C27B5">
      <w:pPr>
        <w:jc w:val="center"/>
        <w:rPr>
          <w:sz w:val="16"/>
          <w:szCs w:val="16"/>
        </w:rPr>
      </w:pPr>
    </w:p>
    <w:p w:rsidR="009C27B5" w:rsidRDefault="009C27B5">
      <w:pPr>
        <w:jc w:val="both"/>
        <w:rPr>
          <w:sz w:val="16"/>
          <w:szCs w:val="16"/>
        </w:rPr>
      </w:pPr>
      <w:r>
        <w:rPr>
          <w:sz w:val="16"/>
          <w:szCs w:val="16"/>
        </w:rPr>
        <w:t>1) Nome comum do ingrediente ativo: Imazalil</w:t>
      </w:r>
    </w:p>
    <w:p w:rsidR="009C27B5" w:rsidRDefault="009C27B5">
      <w:pPr>
        <w:pStyle w:val="Corpodetexto2"/>
        <w:rPr>
          <w:sz w:val="16"/>
          <w:szCs w:val="16"/>
        </w:rPr>
      </w:pPr>
      <w:r>
        <w:rPr>
          <w:sz w:val="16"/>
          <w:szCs w:val="16"/>
        </w:rPr>
        <w:t xml:space="preserve">1.1) Nome químico do ingrediente ativo: 1-[2-(2,4-dichlorophenyl)-2-(2-propenyloxy)ethyl]-1H-imidazole </w:t>
      </w:r>
    </w:p>
    <w:p w:rsidR="009C27B5" w:rsidRDefault="009C27B5">
      <w:pPr>
        <w:jc w:val="both"/>
        <w:rPr>
          <w:sz w:val="16"/>
          <w:szCs w:val="16"/>
        </w:rPr>
      </w:pPr>
      <w:r>
        <w:rPr>
          <w:sz w:val="16"/>
          <w:szCs w:val="16"/>
        </w:rPr>
        <w:t xml:space="preserve">1.2) N° CAS: 35554-44-0 </w:t>
      </w:r>
    </w:p>
    <w:p w:rsidR="009C27B5" w:rsidRDefault="009C27B5">
      <w:pPr>
        <w:jc w:val="both"/>
        <w:rPr>
          <w:sz w:val="16"/>
          <w:szCs w:val="16"/>
        </w:rPr>
      </w:pPr>
      <w:r>
        <w:rPr>
          <w:sz w:val="16"/>
          <w:szCs w:val="16"/>
        </w:rPr>
        <w:t>1.3) Classe: Fungicida</w:t>
      </w:r>
    </w:p>
    <w:p w:rsidR="009C27B5" w:rsidRDefault="009C27B5">
      <w:pPr>
        <w:jc w:val="both"/>
        <w:rPr>
          <w:sz w:val="16"/>
          <w:szCs w:val="16"/>
        </w:rPr>
      </w:pPr>
      <w:r>
        <w:rPr>
          <w:sz w:val="16"/>
          <w:szCs w:val="16"/>
        </w:rPr>
        <w:t>1.4) Grupo químico: imidazol</w:t>
      </w:r>
    </w:p>
    <w:p w:rsidR="009C27B5" w:rsidRDefault="009C27B5">
      <w:pPr>
        <w:jc w:val="both"/>
        <w:rPr>
          <w:sz w:val="16"/>
          <w:szCs w:val="16"/>
        </w:rPr>
      </w:pPr>
      <w:r>
        <w:rPr>
          <w:sz w:val="16"/>
          <w:szCs w:val="16"/>
        </w:rPr>
        <w:t>2) Indicação de uso concedida: melão</w:t>
      </w:r>
    </w:p>
    <w:p w:rsidR="009C27B5" w:rsidRDefault="009C27B5">
      <w:pPr>
        <w:jc w:val="both"/>
        <w:rPr>
          <w:sz w:val="16"/>
          <w:szCs w:val="16"/>
        </w:rPr>
      </w:pPr>
      <w:r>
        <w:rPr>
          <w:sz w:val="16"/>
          <w:szCs w:val="16"/>
        </w:rPr>
        <w:t>3) Aplicação:</w:t>
      </w:r>
    </w:p>
    <w:p w:rsidR="009C27B5" w:rsidRDefault="009C27B5">
      <w:pPr>
        <w:tabs>
          <w:tab w:val="left" w:pos="540"/>
        </w:tabs>
        <w:jc w:val="both"/>
        <w:rPr>
          <w:sz w:val="16"/>
          <w:szCs w:val="16"/>
        </w:rPr>
      </w:pPr>
      <w:r>
        <w:rPr>
          <w:sz w:val="16"/>
          <w:szCs w:val="16"/>
        </w:rPr>
        <w:t>3.1) Modo de aplicação: pincelamento dos pedúnculos</w:t>
      </w:r>
    </w:p>
    <w:p w:rsidR="009C27B5" w:rsidRDefault="009C27B5">
      <w:pPr>
        <w:tabs>
          <w:tab w:val="left" w:pos="540"/>
        </w:tabs>
        <w:jc w:val="both"/>
        <w:rPr>
          <w:sz w:val="16"/>
          <w:szCs w:val="16"/>
        </w:rPr>
      </w:pPr>
      <w:r>
        <w:rPr>
          <w:sz w:val="16"/>
          <w:szCs w:val="16"/>
        </w:rPr>
        <w:t>3.2) Dose: 1g IA / L de água</w:t>
      </w:r>
    </w:p>
    <w:p w:rsidR="009C27B5" w:rsidRDefault="009C27B5">
      <w:pPr>
        <w:jc w:val="both"/>
        <w:rPr>
          <w:sz w:val="16"/>
          <w:szCs w:val="16"/>
        </w:rPr>
      </w:pPr>
      <w:r>
        <w:rPr>
          <w:sz w:val="16"/>
          <w:szCs w:val="16"/>
        </w:rPr>
        <w:t>4) Intervalo de segurança: 3 dias</w:t>
      </w:r>
    </w:p>
    <w:p w:rsidR="009C27B5" w:rsidRDefault="009C27B5">
      <w:pPr>
        <w:jc w:val="both"/>
        <w:rPr>
          <w:sz w:val="16"/>
          <w:szCs w:val="16"/>
        </w:rPr>
      </w:pPr>
      <w:r>
        <w:rPr>
          <w:sz w:val="16"/>
          <w:szCs w:val="16"/>
        </w:rPr>
        <w:t>5) Uso emergencial concedido pelo período de 18 (dezoito) meses, a contar da data da sua publicação.</w:t>
      </w:r>
    </w:p>
    <w:sectPr w:rsidR="009C27B5" w:rsidSect="009C27B5">
      <w:pgSz w:w="11907" w:h="16840" w:code="9"/>
      <w:pgMar w:top="567" w:right="352" w:bottom="278" w:left="56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99418C9"/>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2" w15:restartNumberingAfterBreak="0">
    <w:nsid w:val="0A38292B"/>
    <w:multiLevelType w:val="singleLevel"/>
    <w:tmpl w:val="F02EC60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5F12BC"/>
    <w:multiLevelType w:val="multilevel"/>
    <w:tmpl w:val="EAB6ED6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19657326"/>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5" w15:restartNumberingAfterBreak="0">
    <w:nsid w:val="1C1224DF"/>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6" w15:restartNumberingAfterBreak="0">
    <w:nsid w:val="28FB59AF"/>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7" w15:restartNumberingAfterBreak="0">
    <w:nsid w:val="38393106"/>
    <w:multiLevelType w:val="multilevel"/>
    <w:tmpl w:val="D4961F0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3B2E18A2"/>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9" w15:restartNumberingAfterBreak="0">
    <w:nsid w:val="3E271E9E"/>
    <w:multiLevelType w:val="multilevel"/>
    <w:tmpl w:val="8B385DD8"/>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3E283674"/>
    <w:multiLevelType w:val="multilevel"/>
    <w:tmpl w:val="9F167940"/>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3E3B0CFD"/>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12" w15:restartNumberingAfterBreak="0">
    <w:nsid w:val="49307EA4"/>
    <w:multiLevelType w:val="multilevel"/>
    <w:tmpl w:val="64B4C152"/>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4A641563"/>
    <w:multiLevelType w:val="multilevel"/>
    <w:tmpl w:val="311A09B8"/>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15:restartNumberingAfterBreak="0">
    <w:nsid w:val="4EF43123"/>
    <w:multiLevelType w:val="hybridMultilevel"/>
    <w:tmpl w:val="6AF4ACB2"/>
    <w:lvl w:ilvl="0" w:tplc="04160011">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50482EAD"/>
    <w:multiLevelType w:val="multilevel"/>
    <w:tmpl w:val="B45EF32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59497C85"/>
    <w:multiLevelType w:val="multilevel"/>
    <w:tmpl w:val="96A845E6"/>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5A577399"/>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18" w15:restartNumberingAfterBreak="0">
    <w:nsid w:val="5ABE63EA"/>
    <w:multiLevelType w:val="multilevel"/>
    <w:tmpl w:val="871CE812"/>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5C196CB2"/>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20" w15:restartNumberingAfterBreak="0">
    <w:nsid w:val="5D3A4CAD"/>
    <w:multiLevelType w:val="multilevel"/>
    <w:tmpl w:val="BA8E69E4"/>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5E890A76"/>
    <w:multiLevelType w:val="multilevel"/>
    <w:tmpl w:val="0D8AA914"/>
    <w:lvl w:ilvl="0">
      <w:start w:val="4"/>
      <w:numFmt w:val="decimal"/>
      <w:lvlText w:val="%1."/>
      <w:lvlJc w:val="left"/>
      <w:pPr>
        <w:tabs>
          <w:tab w:val="num" w:pos="495"/>
        </w:tabs>
        <w:ind w:left="495" w:hanging="495"/>
      </w:pPr>
      <w:rPr>
        <w:rFonts w:cs="Times New Roman" w:hint="default"/>
      </w:rPr>
    </w:lvl>
    <w:lvl w:ilvl="1">
      <w:start w:val="3"/>
      <w:numFmt w:val="decimal"/>
      <w:lvlText w:val="%1.%2."/>
      <w:lvlJc w:val="left"/>
      <w:pPr>
        <w:tabs>
          <w:tab w:val="num" w:pos="847"/>
        </w:tabs>
        <w:ind w:left="847" w:hanging="495"/>
      </w:pPr>
      <w:rPr>
        <w:rFonts w:cs="Times New Roman" w:hint="default"/>
      </w:rPr>
    </w:lvl>
    <w:lvl w:ilvl="2">
      <w:start w:val="1"/>
      <w:numFmt w:val="decimal"/>
      <w:lvlText w:val="%1.%2.%3)"/>
      <w:lvlJc w:val="left"/>
      <w:pPr>
        <w:tabs>
          <w:tab w:val="num" w:pos="1424"/>
        </w:tabs>
        <w:ind w:left="1424" w:hanging="720"/>
      </w:pPr>
      <w:rPr>
        <w:rFonts w:cs="Times New Roman" w:hint="default"/>
      </w:rPr>
    </w:lvl>
    <w:lvl w:ilvl="3">
      <w:start w:val="1"/>
      <w:numFmt w:val="decimal"/>
      <w:lvlText w:val="%1.%2.%3)%4."/>
      <w:lvlJc w:val="left"/>
      <w:pPr>
        <w:tabs>
          <w:tab w:val="num" w:pos="1776"/>
        </w:tabs>
        <w:ind w:left="1776" w:hanging="720"/>
      </w:pPr>
      <w:rPr>
        <w:rFonts w:cs="Times New Roman" w:hint="default"/>
      </w:rPr>
    </w:lvl>
    <w:lvl w:ilvl="4">
      <w:start w:val="1"/>
      <w:numFmt w:val="decimal"/>
      <w:lvlText w:val="%1.%2.%3)%4.%5."/>
      <w:lvlJc w:val="left"/>
      <w:pPr>
        <w:tabs>
          <w:tab w:val="num" w:pos="2488"/>
        </w:tabs>
        <w:ind w:left="2488" w:hanging="1080"/>
      </w:pPr>
      <w:rPr>
        <w:rFonts w:cs="Times New Roman" w:hint="default"/>
      </w:rPr>
    </w:lvl>
    <w:lvl w:ilvl="5">
      <w:start w:val="1"/>
      <w:numFmt w:val="decimal"/>
      <w:lvlText w:val="%1.%2.%3)%4.%5.%6."/>
      <w:lvlJc w:val="left"/>
      <w:pPr>
        <w:tabs>
          <w:tab w:val="num" w:pos="2840"/>
        </w:tabs>
        <w:ind w:left="2840" w:hanging="1080"/>
      </w:pPr>
      <w:rPr>
        <w:rFonts w:cs="Times New Roman" w:hint="default"/>
      </w:rPr>
    </w:lvl>
    <w:lvl w:ilvl="6">
      <w:start w:val="1"/>
      <w:numFmt w:val="decimal"/>
      <w:lvlText w:val="%1.%2.%3)%4.%5.%6.%7."/>
      <w:lvlJc w:val="left"/>
      <w:pPr>
        <w:tabs>
          <w:tab w:val="num" w:pos="3552"/>
        </w:tabs>
        <w:ind w:left="3552" w:hanging="1440"/>
      </w:pPr>
      <w:rPr>
        <w:rFonts w:cs="Times New Roman" w:hint="default"/>
      </w:rPr>
    </w:lvl>
    <w:lvl w:ilvl="7">
      <w:start w:val="1"/>
      <w:numFmt w:val="decimal"/>
      <w:lvlText w:val="%1.%2.%3)%4.%5.%6.%7.%8."/>
      <w:lvlJc w:val="left"/>
      <w:pPr>
        <w:tabs>
          <w:tab w:val="num" w:pos="3904"/>
        </w:tabs>
        <w:ind w:left="3904" w:hanging="1440"/>
      </w:pPr>
      <w:rPr>
        <w:rFonts w:cs="Times New Roman" w:hint="default"/>
      </w:rPr>
    </w:lvl>
    <w:lvl w:ilvl="8">
      <w:start w:val="1"/>
      <w:numFmt w:val="decimal"/>
      <w:lvlText w:val="%1.%2.%3)%4.%5.%6.%7.%8.%9."/>
      <w:lvlJc w:val="left"/>
      <w:pPr>
        <w:tabs>
          <w:tab w:val="num" w:pos="4616"/>
        </w:tabs>
        <w:ind w:left="4616" w:hanging="1800"/>
      </w:pPr>
      <w:rPr>
        <w:rFonts w:cs="Times New Roman" w:hint="default"/>
      </w:rPr>
    </w:lvl>
  </w:abstractNum>
  <w:abstractNum w:abstractNumId="22" w15:restartNumberingAfterBreak="0">
    <w:nsid w:val="65B77312"/>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23" w15:restartNumberingAfterBreak="0">
    <w:nsid w:val="6CD75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F334DFE"/>
    <w:multiLevelType w:val="multilevel"/>
    <w:tmpl w:val="AC16669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3"/>
  </w:num>
  <w:num w:numId="3">
    <w:abstractNumId w:val="17"/>
  </w:num>
  <w:num w:numId="4">
    <w:abstractNumId w:val="22"/>
  </w:num>
  <w:num w:numId="5">
    <w:abstractNumId w:val="2"/>
  </w:num>
  <w:num w:numId="6">
    <w:abstractNumId w:val="4"/>
  </w:num>
  <w:num w:numId="7">
    <w:abstractNumId w:val="19"/>
  </w:num>
  <w:num w:numId="8">
    <w:abstractNumId w:val="8"/>
  </w:num>
  <w:num w:numId="9">
    <w:abstractNumId w:val="11"/>
  </w:num>
  <w:num w:numId="10">
    <w:abstractNumId w:val="1"/>
  </w:num>
  <w:num w:numId="11">
    <w:abstractNumId w:val="5"/>
  </w:num>
  <w:num w:numId="12">
    <w:abstractNumId w:val="6"/>
  </w:num>
  <w:num w:numId="13">
    <w:abstractNumId w:val="18"/>
  </w:num>
  <w:num w:numId="14">
    <w:abstractNumId w:val="13"/>
  </w:num>
  <w:num w:numId="15">
    <w:abstractNumId w:val="21"/>
  </w:num>
  <w:num w:numId="16">
    <w:abstractNumId w:val="14"/>
  </w:num>
  <w:num w:numId="17">
    <w:abstractNumId w:val="15"/>
  </w:num>
  <w:num w:numId="18">
    <w:abstractNumId w:val="20"/>
  </w:num>
  <w:num w:numId="19">
    <w:abstractNumId w:val="16"/>
  </w:num>
  <w:num w:numId="20">
    <w:abstractNumId w:val="12"/>
  </w:num>
  <w:num w:numId="21">
    <w:abstractNumId w:val="7"/>
  </w:num>
  <w:num w:numId="22">
    <w:abstractNumId w:val="24"/>
  </w:num>
  <w:num w:numId="23">
    <w:abstractNumId w:val="3"/>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C27B5"/>
    <w:rsid w:val="009C27B5"/>
    <w:rsid w:val="00BE2E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b/>
      <w:bCs/>
      <w:sz w:val="28"/>
      <w:szCs w:val="28"/>
    </w:rPr>
  </w:style>
  <w:style w:type="paragraph" w:styleId="Ttulo4">
    <w:name w:val="heading 4"/>
    <w:basedOn w:val="Normal"/>
    <w:next w:val="Normal"/>
    <w:link w:val="Ttulo4Char"/>
    <w:uiPriority w:val="99"/>
    <w:qFormat/>
    <w:pPr>
      <w:keepNext/>
      <w:spacing w:line="240" w:lineRule="exact"/>
      <w:jc w:val="both"/>
      <w:outlineLvl w:val="3"/>
    </w:pPr>
    <w:rPr>
      <w:b/>
      <w:bCs/>
      <w:sz w:val="24"/>
      <w:szCs w:val="24"/>
    </w:rPr>
  </w:style>
  <w:style w:type="paragraph" w:styleId="Ttulo7">
    <w:name w:val="heading 7"/>
    <w:basedOn w:val="Normal"/>
    <w:next w:val="Normal"/>
    <w:link w:val="Ttulo7Char"/>
    <w:uiPriority w:val="99"/>
    <w:qFormat/>
    <w:pPr>
      <w:keepNext/>
      <w:ind w:right="-234"/>
      <w:jc w:val="both"/>
      <w:outlineLvl w:val="6"/>
    </w:pPr>
    <w:rPr>
      <w:sz w:val="24"/>
      <w:szCs w:val="24"/>
    </w:rPr>
  </w:style>
  <w:style w:type="paragraph" w:styleId="Ttulo8">
    <w:name w:val="heading 8"/>
    <w:basedOn w:val="Normal"/>
    <w:next w:val="Normal"/>
    <w:link w:val="Ttulo8Char"/>
    <w:uiPriority w:val="99"/>
    <w:qFormat/>
    <w:pPr>
      <w:keepNext/>
      <w:jc w:val="center"/>
      <w:outlineLvl w:val="7"/>
    </w:pPr>
    <w:rPr>
      <w:b/>
      <w:bCs/>
      <w:cap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paragraph" w:styleId="Corpodetexto2">
    <w:name w:val="Body Text 2"/>
    <w:basedOn w:val="Normal"/>
    <w:link w:val="Corpodetexto2Char"/>
    <w:uiPriority w:val="99"/>
    <w:pPr>
      <w:jc w:val="both"/>
    </w:p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ind w:right="-234"/>
      <w:jc w:val="both"/>
    </w:pPr>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Normal"/>
    <w:uiPriority w:val="99"/>
    <w:pPr>
      <w:spacing w:before="100" w:after="100"/>
    </w:pPr>
    <w:rPr>
      <w:sz w:val="24"/>
      <w:szCs w:val="24"/>
    </w:rPr>
  </w:style>
  <w:style w:type="paragraph" w:styleId="Recuodecorpodetexto2">
    <w:name w:val="Body Text Indent 2"/>
    <w:basedOn w:val="Normal"/>
    <w:link w:val="Recuodecorpodetexto2Char"/>
    <w:uiPriority w:val="99"/>
    <w:pPr>
      <w:ind w:firstLine="708"/>
      <w:jc w:val="both"/>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872</Words>
  <Characters>4711</Characters>
  <Application>Microsoft Office Word</Application>
  <DocSecurity>0</DocSecurity>
  <Lines>39</Lines>
  <Paragraphs>11</Paragraphs>
  <ScaleCrop>false</ScaleCrop>
  <Company>BASF S.A.</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 </dc:title>
  <dc:subject/>
  <dc:creator>wanda</dc:creator>
  <cp:keywords/>
  <dc:description/>
  <cp:lastModifiedBy>Julia de Souza Ferreira</cp:lastModifiedBy>
  <cp:revision>2</cp:revision>
  <cp:lastPrinted>2003-08-29T13:09:00Z</cp:lastPrinted>
  <dcterms:created xsi:type="dcterms:W3CDTF">2018-11-27T16:06:00Z</dcterms:created>
  <dcterms:modified xsi:type="dcterms:W3CDTF">2018-11-27T16:06:00Z</dcterms:modified>
</cp:coreProperties>
</file>