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92439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232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792439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E777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0</w:t>
      </w:r>
      <w:r w:rsidR="00DF79D9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JUNHO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DF79D9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120, de 25 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  <w:bookmarkStart w:id="0" w:name="_GoBack"/>
      <w:bookmarkEnd w:id="0"/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Dispõe sobre a obrigatoriedade de inclusão de código de barras linear ou bidimensional em etiquetas de rastreabilidade de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para artérias coronárias,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farmacológicos para artérias coronárias, e implantes para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artroplastia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de quadril e de joelho.</w:t>
      </w:r>
    </w:p>
    <w:p w:rsidR="001A7CF5" w:rsidRDefault="001A7CF5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A </w:t>
      </w:r>
      <w:r w:rsidRPr="00E77793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792439">
        <w:rPr>
          <w:rFonts w:ascii="Times New Roman" w:hAnsi="Times New Roman" w:cs="Times New Roman"/>
          <w:sz w:val="24"/>
          <w:szCs w:val="24"/>
        </w:rPr>
        <w:t>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12 de junho de 2018, e eu, Diretor-Presidente Substituto, determino a sua publicação.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Art. 1º Fica estabelecida a obrigatoriedade de inclusão de código de barras linear ou bidimensional, em conformidade com o documento IMDRF/UDI WG/N7 Final: 2013 - UDI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(UDI)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, em etiquetas de rastreabilidade para identificação única de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para artérias coronárias,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farmacológicos para artérias coronárias, e implantes para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artroplastia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de quadril e de joelho, para fins de rastreabilidade e controle a serem realizados no âmbito do Registro Nacional de Implantes- RNI.             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§1º Os padrões das agências GS1 ou Health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Business Communications (HIBCC) ficam reconhecidos para o atendimento das condições citadas no caput.</w:t>
      </w:r>
    </w:p>
    <w:p w:rsidR="00792439" w:rsidRPr="00756FCE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6FCE">
        <w:rPr>
          <w:rFonts w:ascii="Times New Roman" w:hAnsi="Times New Roman" w:cs="Times New Roman"/>
          <w:sz w:val="24"/>
          <w:szCs w:val="24"/>
        </w:rPr>
        <w:t>§</w:t>
      </w:r>
      <w:r w:rsidR="00AB19F5" w:rsidRPr="00756FCE">
        <w:rPr>
          <w:rFonts w:ascii="Times New Roman" w:hAnsi="Times New Roman" w:cs="Times New Roman"/>
          <w:sz w:val="24"/>
          <w:szCs w:val="24"/>
        </w:rPr>
        <w:t xml:space="preserve"> </w:t>
      </w:r>
      <w:r w:rsidRPr="00756FCE">
        <w:rPr>
          <w:rFonts w:ascii="Times New Roman" w:hAnsi="Times New Roman" w:cs="Times New Roman"/>
          <w:sz w:val="24"/>
          <w:szCs w:val="24"/>
        </w:rPr>
        <w:t>2º A ANVISA poderá reconhecer outras agências emissoras globais para codificação em barras linear e bidimensional. Esta Resolução entra em vigor na data de sua publicação.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§</w:t>
      </w:r>
      <w:r w:rsidR="00AB19F5">
        <w:rPr>
          <w:rFonts w:ascii="Times New Roman" w:hAnsi="Times New Roman" w:cs="Times New Roman"/>
          <w:sz w:val="24"/>
          <w:szCs w:val="24"/>
        </w:rPr>
        <w:t xml:space="preserve"> </w:t>
      </w:r>
      <w:r w:rsidRPr="00792439">
        <w:rPr>
          <w:rFonts w:ascii="Times New Roman" w:hAnsi="Times New Roman" w:cs="Times New Roman"/>
          <w:sz w:val="24"/>
          <w:szCs w:val="24"/>
        </w:rPr>
        <w:t xml:space="preserve">3º As etiquetas de rastreabilidade mencionadas no caput são aquelas definidas nas Resoluções da Diretoria Colegiada - RDC nº 59, de 25 de agosto de 2008, </w:t>
      </w:r>
      <w:proofErr w:type="gramStart"/>
      <w:r w:rsidRPr="00792439">
        <w:rPr>
          <w:rFonts w:ascii="Times New Roman" w:hAnsi="Times New Roman" w:cs="Times New Roman"/>
          <w:sz w:val="24"/>
          <w:szCs w:val="24"/>
        </w:rPr>
        <w:t>e  nº</w:t>
      </w:r>
      <w:proofErr w:type="gramEnd"/>
      <w:r w:rsidRPr="00792439">
        <w:rPr>
          <w:rFonts w:ascii="Times New Roman" w:hAnsi="Times New Roman" w:cs="Times New Roman"/>
          <w:sz w:val="24"/>
          <w:szCs w:val="24"/>
        </w:rPr>
        <w:t xml:space="preserve"> 14, de 5 de abril de 2011.</w:t>
      </w:r>
    </w:p>
    <w:p w:rsid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§</w:t>
      </w:r>
      <w:r w:rsidR="00AB19F5">
        <w:rPr>
          <w:rFonts w:ascii="Times New Roman" w:hAnsi="Times New Roman" w:cs="Times New Roman"/>
          <w:sz w:val="24"/>
          <w:szCs w:val="24"/>
        </w:rPr>
        <w:t xml:space="preserve"> </w:t>
      </w:r>
      <w:r w:rsidRPr="00792439">
        <w:rPr>
          <w:rFonts w:ascii="Times New Roman" w:hAnsi="Times New Roman" w:cs="Times New Roman"/>
          <w:sz w:val="24"/>
          <w:szCs w:val="24"/>
        </w:rPr>
        <w:t>4º Deve ser assegurada a leitura da etiqueta de rastreabilidade por mecanismos de captura eletrônica dos dados durante o prazo de vida útil do produto.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2º Para efeito desta Resolução são adotadas as seguintes definições: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I- Identificador do Dispositivo: é um código numérico ou alfanumérico único e específico que permite a identificação exclusiva e inequívoca de cada código de referência, versão, modelo comercial ou componente do dispositivo médico;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lastRenderedPageBreak/>
        <w:t xml:space="preserve">II- Registro Nacional de Implantes – RNI: Sistema informatizado de âmbito nacional para registros de procedimentos cirúrgicos envolvendo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para artérias coronárias,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stents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farmacológicos para artérias coronárias, e implantes para </w:t>
      </w:r>
      <w:proofErr w:type="spellStart"/>
      <w:r w:rsidRPr="00792439">
        <w:rPr>
          <w:rFonts w:ascii="Times New Roman" w:hAnsi="Times New Roman" w:cs="Times New Roman"/>
          <w:sz w:val="24"/>
          <w:szCs w:val="24"/>
        </w:rPr>
        <w:t>artroplastia</w:t>
      </w:r>
      <w:proofErr w:type="spellEnd"/>
      <w:r w:rsidRPr="00792439">
        <w:rPr>
          <w:rFonts w:ascii="Times New Roman" w:hAnsi="Times New Roman" w:cs="Times New Roman"/>
          <w:sz w:val="24"/>
          <w:szCs w:val="24"/>
        </w:rPr>
        <w:t xml:space="preserve"> de quadril e de joelho.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3º O código de barras deve conter os seguintes dados: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 w:rsidRPr="00792439">
        <w:rPr>
          <w:rFonts w:ascii="Times New Roman" w:hAnsi="Times New Roman" w:cs="Times New Roman"/>
          <w:sz w:val="24"/>
          <w:szCs w:val="24"/>
        </w:rPr>
        <w:t>identificador</w:t>
      </w:r>
      <w:proofErr w:type="gramEnd"/>
      <w:r w:rsidRPr="00792439">
        <w:rPr>
          <w:rFonts w:ascii="Times New Roman" w:hAnsi="Times New Roman" w:cs="Times New Roman"/>
          <w:sz w:val="24"/>
          <w:szCs w:val="24"/>
        </w:rPr>
        <w:t xml:space="preserve"> do dispositivo;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II – </w:t>
      </w:r>
      <w:proofErr w:type="gramStart"/>
      <w:r w:rsidRPr="0079243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792439">
        <w:rPr>
          <w:rFonts w:ascii="Times New Roman" w:hAnsi="Times New Roman" w:cs="Times New Roman"/>
          <w:sz w:val="24"/>
          <w:szCs w:val="24"/>
        </w:rPr>
        <w:t xml:space="preserve"> de validade; e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III – número do lote ou série.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4º A disposição do código de barras não deverá prejudicar a visualização das demais informações previstas na legislação vigente para etiquetas de rastreabilidade.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5º As etiquetas de rastreabilidade devem ser disponibilizadas nas embalagens dos dispositivos médicos em um número mínimo de 03 (três) cópias para fixação obrigatória: no prontuário clínico, no documento a ser entregue ao paciente e na documentação fiscal que gera a cobrança.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6º Não pode constar na etiqueta de rastreabilidade outro código de barras além do especificado nesta Resolução.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7º A disponibilização das etiquetas de rastreabilidade contendo o código de barras nas embalagens dos dispositivos médicos deve ser realizada pelo fabricante ou importador.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8º A inclusão do código de barras nas etiquetas de rastreabilidade não será considerada uma alteração para fins de registro, dispensando autorização ou notificação à ANVISA.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Parágrafo único. Os dispositivos médicos fabricados antes da vigência desta Resolução estão isentos dos requisitos estabelecidos neste regulamento.</w:t>
      </w:r>
    </w:p>
    <w:p w:rsid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9º O não cumprimento do disposto na presente norma configura infração sanitária e sujeitará o detentor do registro às penalidades previstas na Lei n° 6.437, de 20 de agosto de 1977, sem prejuízo a outras cominações legais e penais aplicáveis.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>Art. 10 Esta Resolução entra em vigor em 2 (dois) anos após sua publicação</w:t>
      </w:r>
    </w:p>
    <w:p w:rsidR="00792439" w:rsidRPr="00792439" w:rsidRDefault="00792439" w:rsidP="00792439">
      <w:pPr>
        <w:autoSpaceDE w:val="0"/>
        <w:autoSpaceDN w:val="0"/>
        <w:adjustRightInd w:val="0"/>
        <w:spacing w:after="2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4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0D1" w:rsidRPr="00FA16E7" w:rsidRDefault="00792439" w:rsidP="00792439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6E7">
        <w:rPr>
          <w:rFonts w:ascii="Times New Roman" w:hAnsi="Times New Roman" w:cs="Times New Roman"/>
          <w:b/>
          <w:sz w:val="24"/>
          <w:szCs w:val="24"/>
        </w:rPr>
        <w:t>FERNANDO MENDES GARCIA NETO</w:t>
      </w:r>
    </w:p>
    <w:sectPr w:rsidR="009560D1" w:rsidRPr="00FA16E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A3"/>
    <w:rsid w:val="000F161E"/>
    <w:rsid w:val="00111FAE"/>
    <w:rsid w:val="001A7CF5"/>
    <w:rsid w:val="002A421A"/>
    <w:rsid w:val="002C6AA7"/>
    <w:rsid w:val="00353B8D"/>
    <w:rsid w:val="003B5F95"/>
    <w:rsid w:val="004F13F9"/>
    <w:rsid w:val="006939A3"/>
    <w:rsid w:val="006C5052"/>
    <w:rsid w:val="006D318F"/>
    <w:rsid w:val="00756FCE"/>
    <w:rsid w:val="00792439"/>
    <w:rsid w:val="007D2E00"/>
    <w:rsid w:val="008632EF"/>
    <w:rsid w:val="00946AD5"/>
    <w:rsid w:val="009560D1"/>
    <w:rsid w:val="009F4755"/>
    <w:rsid w:val="00A6021F"/>
    <w:rsid w:val="00AB19F5"/>
    <w:rsid w:val="00B866AE"/>
    <w:rsid w:val="00CA04FB"/>
    <w:rsid w:val="00CC7CB4"/>
    <w:rsid w:val="00CE4E12"/>
    <w:rsid w:val="00CF7EBC"/>
    <w:rsid w:val="00DF5E98"/>
    <w:rsid w:val="00DF79D9"/>
    <w:rsid w:val="00E319E5"/>
    <w:rsid w:val="00E77793"/>
    <w:rsid w:val="00E84874"/>
    <w:rsid w:val="00EA44C1"/>
    <w:rsid w:val="00EE5A4C"/>
    <w:rsid w:val="00FA16E7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21A45BB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9D0753-8FFE-4501-A97D-92C495501776}"/>
</file>

<file path=customXml/itemProps2.xml><?xml version="1.0" encoding="utf-8"?>
<ds:datastoreItem xmlns:ds="http://schemas.openxmlformats.org/officeDocument/2006/customXml" ds:itemID="{F7755E00-492B-449F-AA55-9DE3C90A5C62}"/>
</file>

<file path=customXml/itemProps3.xml><?xml version="1.0" encoding="utf-8"?>
<ds:datastoreItem xmlns:ds="http://schemas.openxmlformats.org/officeDocument/2006/customXml" ds:itemID="{EB9FC3B0-AD7D-413F-9E22-D9793AAF11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10</cp:revision>
  <cp:lastPrinted>2018-06-25T13:39:00Z</cp:lastPrinted>
  <dcterms:created xsi:type="dcterms:W3CDTF">2018-06-25T13:40:00Z</dcterms:created>
  <dcterms:modified xsi:type="dcterms:W3CDTF">2018-06-26T11:54:00Z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