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D32240" w:rsidRDefault="00496C35" w:rsidP="00D32240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D32240">
        <w:rPr>
          <w:rFonts w:ascii="Times New Roman" w:hAnsi="Times New Roman" w:cs="Times New Roman"/>
          <w:b/>
          <w:szCs w:val="24"/>
        </w:rPr>
        <w:t xml:space="preserve">RESOLUÇÃO </w:t>
      </w:r>
      <w:r w:rsidR="00D32240" w:rsidRPr="00D32240">
        <w:rPr>
          <w:rFonts w:ascii="Times New Roman" w:hAnsi="Times New Roman" w:cs="Times New Roman"/>
          <w:b/>
          <w:szCs w:val="24"/>
        </w:rPr>
        <w:t xml:space="preserve">DA DIRETORIA COLEGIADA </w:t>
      </w:r>
      <w:r w:rsidR="00D32240">
        <w:rPr>
          <w:rFonts w:ascii="Times New Roman" w:hAnsi="Times New Roman" w:cs="Times New Roman"/>
          <w:b/>
          <w:szCs w:val="24"/>
        </w:rPr>
        <w:t xml:space="preserve">– RDC Nº 238, DE </w:t>
      </w:r>
      <w:r w:rsidRPr="00D32240">
        <w:rPr>
          <w:rFonts w:ascii="Times New Roman" w:hAnsi="Times New Roman" w:cs="Times New Roman"/>
          <w:b/>
          <w:szCs w:val="24"/>
        </w:rPr>
        <w:t>5 DE SETEMBRO DE 2003</w:t>
      </w:r>
    </w:p>
    <w:p w:rsidR="00496C35" w:rsidRPr="00D32240" w:rsidRDefault="00D32240" w:rsidP="00496C3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174, de </w:t>
      </w:r>
      <w:r w:rsidR="00496C35" w:rsidRPr="00D32240">
        <w:rPr>
          <w:rFonts w:ascii="Times New Roman" w:hAnsi="Times New Roman" w:cs="Times New Roman"/>
          <w:b/>
          <w:color w:val="0000FF"/>
          <w:sz w:val="24"/>
          <w:szCs w:val="24"/>
        </w:rPr>
        <w:t>9 de setembro de 2003)</w:t>
      </w:r>
    </w:p>
    <w:p w:rsidR="00385CCF" w:rsidRPr="00D32240" w:rsidRDefault="00385CCF" w:rsidP="00496C3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32240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274, de 12 de novembro de 2004)</w:t>
      </w:r>
    </w:p>
    <w:p w:rsidR="006126EB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D32240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</w:t>
      </w: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t>11 inciso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IV do Regulamento da ANVISA aprovado pelo Decreto nº 3.029, de 16 de abril de 1999, c/c o § 1º do Art. 111 do Regimento Interno aprovado pela Portaria nº 593, de 25 de agosto de 2000, republicada no DOU de 22 de dezembro de 2000, em reunião realizada em 3 de setembro de 2003;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a relevância das ações de saúde, no âmbito do poder fiscalizador do Estado, visando promover e assegurar a saúde pública nos termos da Constituição Federal, consolidada no art. 8º e no art. 41º da Lei n.º 9.782, de 26 de janeiro de 1999;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o disposto no artículos 6º e 7º da Lei n.º 6.360, de 23 de setembro de 1976, que submete produtos e serviços ao regime de vigilância sanitária;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o contido no art. 8º do Decreto n.º 79.094, de 5 de janeiro de 1977, que regulamenta a Lei n.º 6.360/76;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os dados do Centro Brasileiro de Informações de Medicamentos que registra que desde 1985, foram relatados espontaneamente casos de Síndrome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Guillan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Barré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(SGB) na Alemanha, Itália e Espanha;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a recomendação do “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Comitee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for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Proprietary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Medicinal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Products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(CPMP)”, para a suspensão, como medida de precaução, da licença de mercado para todas as associações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e a suspensão de autorização e comercialização para o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monossialogangliosídeo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até finalização da avaliação em desenvolvimento por esse comitê;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que desde o seu registro no Brasil, em 1979, os medicamentos à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são fabricados e comercializados, utilizando matéria prima importada;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que as empresas importadoras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vem apresentando certificados comprobatórios da origem da matéria prima;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que a Agência Nacional de Vigilância Sanitária - ANVISA dispõe de planos de trabalhos em operação ou em fase implementação pela Unidade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Farmacovigilância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- UFARM, que contemplam, entre outro: a notificação de suspeita de reações adversas a medicamentos, análise de segurança de medicamentos a partir de queixas técnicas, uso seguro e vigilância de medicamento em hospitais e reavaliação da relação risco/beneficio de medicamentos comercializados;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lastRenderedPageBreak/>
        <w:t>considerando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que os planos de trabalho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farmacovigilância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da ANVISA estabelecem que para medicamentos de uso ambulatorial a UFARM contará com redes de profissionais NOTIFICADORES ATIVOS, a fim de identificar, precocemente, problemas de segurança e efetividade;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a decisão judicial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nºs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486/2001 e 75/2002 da 22ª Vara Judiciária - Seção Judiciária do Distrito Federal, de manter no mercado brasileiro os produtos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Sygem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Sinixial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ambos medicamentos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os termos da decisão proferida nos autos de Agravo de Instrumento 20002.01.0030144-0, publicado no Diário Oficial da Justiça de 24 se setembro de 2002;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o interesse público de manter a segurança dos usuários de medicamentos, bem como a necessidade de confirmação da efetividade e fixação da relação risco/beneficio dos produtos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Adotou a seguinte Resolução e eu, Diretor-Presidente, determino a sua publicação: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Art.1º A importação das matérias primas, a fabricação, a distribuição, a comercialização, a prescrição médica e a aplicação dos medicamentos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serão totalmente controlados pela ANVISA, na forma prevista nesta Resolução.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Art. 2º O importador das matérias primas a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que deve ser o detentor de registro de medicamentos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deve solicitar autorização previa da Licença de Importação (L.I) à ANVISA. A matéria prima à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deve cumprir as exigências da Resolução RDC nº 118/2001 eu suas posteriores atualizações.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Parágrafo único: Para que a área técnica da ANVISA (Unidade de Produtos Biológicos 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Hemoterápicos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- UPBIH) aprove a L.I, é necessário que o solicitante apresente (protocole) os seguintes documentos relativos aos lotes de matéria prima a serem importados: a) Certificado de origem e liberação do tecido nervoso, utilizado como matéria prima, b) Protocolo de produção do lote dos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emitido pelo fabricante e c) Protocolo de controle de qualidade e Certificado de liberação do lote de matérias primas para produzir medicamentos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Art. 3º O fabricante de medicamentos à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deve enviar mensalmente (até o dia 30 do mês seguinte) à UPBIH da ANVISA, as seguintes informações: a) números dos lotes do medicamento produzidos com cada lote de matéria prima importada, b) quantidades de unidades produzidas em cada lote, c) apresentação de cada lote e d) rendimento de cada lote de matéria prima e explicação da perda ocorrida</w:t>
      </w:r>
      <w:r w:rsidR="00D32240">
        <w:rPr>
          <w:rFonts w:ascii="Times New Roman" w:hAnsi="Times New Roman" w:cs="Times New Roman"/>
          <w:strike/>
          <w:sz w:val="24"/>
          <w:szCs w:val="24"/>
        </w:rPr>
        <w:t>.</w:t>
      </w: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4º O fabricante de medicamentos à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deve enviar mensalmente (até o dia 30 do mês seguinte) à UPBIH da ANVISA, o Relatório de Distribuição dos lotes de medicamentos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Art. 5º A empresa detentora do registro de medicamentos à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deve, no prazo máximo, de 90 dias após a publicação da presente Resolução, incluir nas bulas do produto as seguintes advertências: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a) “Medicamento à base de tecido nervoso que pode desencadear a Síndrome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Guillan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Barre (</w:t>
      </w: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t>SGB)”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6126EB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>b) “Medicamento à base de tecido nervoso bovino. Os tecidos bovinos estão associados à aparição da Encefalite Espongiforme Bovina, variável humana”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Art. 6º Os médicos responsáveis pelo tratamento devem prescrever os medicamentos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no receituário branco em duas vias (retenção de receita) de forma clara, legível e sem rasuras.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Art. 7º Os medicamentos à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passam a fazer parte da Lista “C1”, Outras Substâncias sujeitas a Controle Especial do Anexo I da Portaria SVS/MS nº 344, de 12 de maio de 1998, republicada no Diário Oficial da União de 1º de fevereiro de 1999, portanto, devem ser dispensados somente com a retenção da receita nos pontos de venda.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Parágrafo único: As empresas detentoras do registro de medicamentos à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ficam isentas do cumprimento das exigências estabelecidas na Portaria SVS/MS nº 344 de 12 de maio de 1998, no referente à Autorização Especial de Funcionamento, ficando as farmácias, distribuidores 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prescritores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sujeitos aos referidos controles e ainda àqueles especificamente determinados nesta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Resolu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ção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Art. 8º As Farmácias ou Drogarias que comercializem medicamentos à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devem enviar trimestralmente, por via eletrônica, obrigatoriamente, (na primeira semana do trimestre seguinte) à UPBIH da ANVISA, o Balanço do Medicamento, Princípios Ativos e Outras Substância sujeitas a Controle Especial (BMPO) dos referidos medicamentos, devendo manter as receitas retidas e disponíveis para eventuais solicitações da ANVISA.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Art. 9º O monitoramento da utilização de medicamentos à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será realizado através da rede de profissionais NOTIFICADORES ATIVOS, intitulados “Médicos Sentinelas”, que serão recrutados pela UFARM da ANVISA entre os médicos que prescrevem os referidos medicamentos.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Art. 10 Os médicos sentinelas serão responsáveis pela notificação para a UFARM da ANVISA, de qualquer evento adverso clínico ou laboratorial, falha terapêutica ou reação adversa aos medicamentos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11º A ANVISA a cada 6 meses, sob coordenação da UPBIH, realizará uma reunião com especialistas (grupo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Ad-doc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), com a participação de técnicos da indústria detentora do registro do medicamento, para avaliar a segurança e efetividade clinica dos medicamentos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Parágrafo primeiro: O estudo </w:t>
      </w:r>
      <w:r w:rsidR="000433A6" w:rsidRPr="00D32240">
        <w:rPr>
          <w:rFonts w:ascii="Times New Roman" w:hAnsi="Times New Roman" w:cs="Times New Roman"/>
          <w:strike/>
          <w:sz w:val="24"/>
          <w:szCs w:val="24"/>
        </w:rPr>
        <w:t>de segurança e efetividade clí</w:t>
      </w:r>
      <w:r w:rsidRPr="00D32240">
        <w:rPr>
          <w:rFonts w:ascii="Times New Roman" w:hAnsi="Times New Roman" w:cs="Times New Roman"/>
          <w:strike/>
          <w:sz w:val="24"/>
          <w:szCs w:val="24"/>
        </w:rPr>
        <w:t>nica terá a duração de 3 anos e utilizará como base para sua avaliação final: a) as notificações da rede de médicos sentinelas,</w:t>
      </w:r>
      <w:r w:rsidR="00D32240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b) os relatórios semestrais emitidos </w:t>
      </w:r>
      <w:proofErr w:type="gramStart"/>
      <w:r w:rsidRPr="00D32240">
        <w:rPr>
          <w:rFonts w:ascii="Times New Roman" w:hAnsi="Times New Roman" w:cs="Times New Roman"/>
          <w:strike/>
          <w:sz w:val="24"/>
          <w:szCs w:val="24"/>
        </w:rPr>
        <w:t>pelos grupo</w:t>
      </w:r>
      <w:proofErr w:type="gram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Ad-doc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; c) as pesquisas clínicas e epidemiológicas, nacionais ou internacionais, que vieram a ser realizadas com esta finalidade,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Parágrafo segundo: A ANVISA previamente à realização das reuniões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supra-citadas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, informará aos especialistas e representantes da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industria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detentora de registro de medicamentos à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os dados e elementos reunidos sobre o assunto</w:t>
      </w:r>
      <w:r w:rsidR="00D32240">
        <w:rPr>
          <w:rFonts w:ascii="Times New Roman" w:hAnsi="Times New Roman" w:cs="Times New Roman"/>
          <w:strike/>
          <w:sz w:val="24"/>
          <w:szCs w:val="24"/>
        </w:rPr>
        <w:t>,</w:t>
      </w: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Parágrafo terceiro: Após a frase mencionada no parágrafo anterior, se os medicamentos tiverem demonstrado segurança e efetividade clínica, serão liberados das exigências desta Resolução, caso contrario, os Registros dos produtos serão cancelados.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Art. 12º Fica proibida a manipulação de fórmulas magistrais à base de </w:t>
      </w:r>
      <w:proofErr w:type="spellStart"/>
      <w:r w:rsidRPr="00D32240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Art. 13º A inobservância dos preceitos desta Resolução configura infração sanitária, ficando o infrator sujeito às penalidades previstas na Lei nº 6437, de 20 de agosto de 1977.legislação vigente.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Art. 14º Fica revogada a Resolução RDC n° 298 de 06 de novembro de 2002, publicada no DOU do 07 de novembro de 2002. </w:t>
      </w:r>
    </w:p>
    <w:p w:rsidR="000433A6" w:rsidRPr="00D32240" w:rsidRDefault="006126EB" w:rsidP="00612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2240">
        <w:rPr>
          <w:rFonts w:ascii="Times New Roman" w:hAnsi="Times New Roman" w:cs="Times New Roman"/>
          <w:strike/>
          <w:sz w:val="24"/>
          <w:szCs w:val="24"/>
        </w:rPr>
        <w:t xml:space="preserve">Art. 15º Esta resolução entra em vigor na data de sua publicação. </w:t>
      </w:r>
    </w:p>
    <w:p w:rsidR="00E55683" w:rsidRDefault="00E55683" w:rsidP="000433A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6126EB" w:rsidRPr="00D32240" w:rsidRDefault="006126EB" w:rsidP="000433A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bookmarkStart w:id="0" w:name="_GoBack"/>
      <w:bookmarkEnd w:id="0"/>
      <w:r w:rsidRPr="00D32240">
        <w:rPr>
          <w:rFonts w:ascii="Times New Roman" w:hAnsi="Times New Roman" w:cs="Times New Roman"/>
          <w:strike/>
          <w:sz w:val="24"/>
          <w:szCs w:val="24"/>
        </w:rPr>
        <w:t>CLAUDIO MAIEROVITCH PESSANHA HENRIQUES</w:t>
      </w:r>
    </w:p>
    <w:sectPr w:rsidR="006126EB" w:rsidRPr="00D3224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240" w:rsidRDefault="00D32240" w:rsidP="00D32240">
      <w:pPr>
        <w:spacing w:after="0" w:line="240" w:lineRule="auto"/>
      </w:pPr>
      <w:r>
        <w:separator/>
      </w:r>
    </w:p>
  </w:endnote>
  <w:endnote w:type="continuationSeparator" w:id="0">
    <w:p w:rsidR="00D32240" w:rsidRDefault="00D32240" w:rsidP="00D32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240" w:rsidRPr="00D32240" w:rsidRDefault="00D32240" w:rsidP="00D322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240" w:rsidRDefault="00D32240" w:rsidP="00D32240">
      <w:pPr>
        <w:spacing w:after="0" w:line="240" w:lineRule="auto"/>
      </w:pPr>
      <w:r>
        <w:separator/>
      </w:r>
    </w:p>
  </w:footnote>
  <w:footnote w:type="continuationSeparator" w:id="0">
    <w:p w:rsidR="00D32240" w:rsidRDefault="00D32240" w:rsidP="00D32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240" w:rsidRPr="00B517AC" w:rsidRDefault="00D32240" w:rsidP="00D322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E4EE938" wp14:editId="4455DBE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32240" w:rsidRPr="00B517AC" w:rsidRDefault="00D32240" w:rsidP="00D322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D32240" w:rsidRPr="00B517AC" w:rsidRDefault="00D32240" w:rsidP="00D322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32240" w:rsidRDefault="00D322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35"/>
    <w:rsid w:val="000433A6"/>
    <w:rsid w:val="001E708B"/>
    <w:rsid w:val="00385CCF"/>
    <w:rsid w:val="00496C35"/>
    <w:rsid w:val="005D514B"/>
    <w:rsid w:val="006126EB"/>
    <w:rsid w:val="007441BF"/>
    <w:rsid w:val="00786686"/>
    <w:rsid w:val="00B30817"/>
    <w:rsid w:val="00D32240"/>
    <w:rsid w:val="00D621E1"/>
    <w:rsid w:val="00E55683"/>
    <w:rsid w:val="00EB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ADB13"/>
  <w15:docId w15:val="{A6F869A7-AF69-4906-BF20-A52189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2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2240"/>
  </w:style>
  <w:style w:type="paragraph" w:styleId="Rodap">
    <w:name w:val="footer"/>
    <w:basedOn w:val="Normal"/>
    <w:link w:val="RodapChar"/>
    <w:uiPriority w:val="99"/>
    <w:unhideWhenUsed/>
    <w:rsid w:val="00D32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CD352C-8559-4A52-9B1F-A734ABB43D28}"/>
</file>

<file path=customXml/itemProps2.xml><?xml version="1.0" encoding="utf-8"?>
<ds:datastoreItem xmlns:ds="http://schemas.openxmlformats.org/officeDocument/2006/customXml" ds:itemID="{44C49AF1-6B60-4928-8C57-EF96893093C5}"/>
</file>

<file path=customXml/itemProps3.xml><?xml version="1.0" encoding="utf-8"?>
<ds:datastoreItem xmlns:ds="http://schemas.openxmlformats.org/officeDocument/2006/customXml" ds:itemID="{EFCE7E26-F0E3-4D76-A655-CDBDADE3F5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1434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2015-09-25T15:59:00Z</dcterms:created>
  <dcterms:modified xsi:type="dcterms:W3CDTF">2017-03-24T20:30:00Z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