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A3" w:rsidRDefault="0025608F" w:rsidP="0025608F">
      <w:pPr>
        <w:pStyle w:val="NormalWeb"/>
        <w:tabs>
          <w:tab w:val="left" w:pos="1560"/>
        </w:tabs>
        <w:spacing w:before="0" w:beforeAutospacing="0" w:after="0" w:afterAutospacing="0"/>
        <w:ind w:left="-993" w:right="-851" w:firstLine="567"/>
        <w:jc w:val="center"/>
        <w:rPr>
          <w:rFonts w:ascii="Times New Roman" w:hAnsi="Times New Roman" w:cs="Times New Roman"/>
          <w:b/>
          <w:bCs/>
          <w:sz w:val="24"/>
          <w:szCs w:val="24"/>
        </w:rPr>
      </w:pPr>
      <w:bookmarkStart w:id="0" w:name="_GoBack"/>
      <w:bookmarkEnd w:id="0"/>
      <w:r w:rsidRPr="0025608F">
        <w:rPr>
          <w:rFonts w:ascii="Times New Roman" w:hAnsi="Times New Roman" w:cs="Times New Roman"/>
          <w:b/>
          <w:bCs/>
          <w:sz w:val="24"/>
          <w:szCs w:val="24"/>
        </w:rPr>
        <w:t>RESOLUÇÃO DA DIRETORIA COLEGIADA - RDC N</w:t>
      </w:r>
      <w:r>
        <w:rPr>
          <w:rFonts w:ascii="Times New Roman" w:hAnsi="Times New Roman" w:cs="Times New Roman"/>
          <w:b/>
          <w:bCs/>
          <w:sz w:val="24"/>
          <w:szCs w:val="24"/>
        </w:rPr>
        <w:t>° 250, DE 20 DE OUTUBRO DE 2004</w:t>
      </w:r>
    </w:p>
    <w:p w:rsidR="0025608F" w:rsidRDefault="0025608F" w:rsidP="0025608F">
      <w:pPr>
        <w:pStyle w:val="NormalWeb"/>
        <w:tabs>
          <w:tab w:val="left" w:pos="1560"/>
        </w:tabs>
        <w:spacing w:before="0" w:beforeAutospacing="0" w:after="0" w:afterAutospacing="0"/>
        <w:ind w:left="-993" w:right="-851" w:firstLine="567"/>
        <w:jc w:val="center"/>
        <w:rPr>
          <w:rFonts w:ascii="Times New Roman" w:hAnsi="Times New Roman" w:cs="Times New Roman"/>
          <w:b/>
          <w:bCs/>
          <w:sz w:val="24"/>
          <w:szCs w:val="24"/>
        </w:rPr>
      </w:pPr>
    </w:p>
    <w:p w:rsidR="0025608F" w:rsidRPr="0025608F" w:rsidRDefault="0025608F" w:rsidP="00BB1D27">
      <w:pPr>
        <w:jc w:val="center"/>
        <w:rPr>
          <w:b/>
          <w:bCs/>
          <w:sz w:val="24"/>
          <w:szCs w:val="24"/>
        </w:rPr>
      </w:pPr>
      <w:r>
        <w:rPr>
          <w:b/>
          <w:color w:val="0000FF"/>
          <w:sz w:val="24"/>
          <w:szCs w:val="24"/>
        </w:rPr>
        <w:t xml:space="preserve">(Publicada no </w:t>
      </w:r>
      <w:r w:rsidRPr="00455FB3">
        <w:rPr>
          <w:b/>
          <w:color w:val="0000FF"/>
          <w:sz w:val="24"/>
          <w:szCs w:val="24"/>
        </w:rPr>
        <w:t xml:space="preserve">DOU nº </w:t>
      </w:r>
      <w:r>
        <w:rPr>
          <w:b/>
          <w:color w:val="0000FF"/>
          <w:sz w:val="24"/>
          <w:szCs w:val="24"/>
        </w:rPr>
        <w:t>203</w:t>
      </w:r>
      <w:r w:rsidRPr="00455FB3">
        <w:rPr>
          <w:b/>
          <w:color w:val="0000FF"/>
          <w:sz w:val="24"/>
          <w:szCs w:val="24"/>
        </w:rPr>
        <w:t xml:space="preserve">, de </w:t>
      </w:r>
      <w:r>
        <w:rPr>
          <w:b/>
          <w:color w:val="0000FF"/>
          <w:sz w:val="24"/>
          <w:szCs w:val="24"/>
        </w:rPr>
        <w:t>21</w:t>
      </w:r>
      <w:r w:rsidRPr="00455FB3">
        <w:rPr>
          <w:b/>
          <w:color w:val="0000FF"/>
          <w:sz w:val="24"/>
          <w:szCs w:val="24"/>
        </w:rPr>
        <w:t xml:space="preserve"> de </w:t>
      </w:r>
      <w:r>
        <w:rPr>
          <w:b/>
          <w:color w:val="0000FF"/>
          <w:sz w:val="24"/>
          <w:szCs w:val="24"/>
        </w:rPr>
        <w:t>outubro</w:t>
      </w:r>
      <w:r w:rsidRPr="00455FB3">
        <w:rPr>
          <w:b/>
          <w:color w:val="0000FF"/>
          <w:sz w:val="24"/>
          <w:szCs w:val="24"/>
        </w:rPr>
        <w:t xml:space="preserve"> de 2004)</w:t>
      </w: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r w:rsidRPr="0025608F">
        <w:rPr>
          <w:rFonts w:ascii="Times New Roman" w:hAnsi="Times New Roman" w:cs="Times New Roman"/>
          <w:b/>
          <w:bCs/>
          <w:sz w:val="24"/>
          <w:szCs w:val="24"/>
        </w:rPr>
        <w:t>A Diretoria Colegiada da Agência Nacional de Vigilância Sanitária</w:t>
      </w:r>
      <w:r w:rsidRPr="0025608F">
        <w:rPr>
          <w:rFonts w:ascii="Times New Roman" w:hAnsi="Times New Roman" w:cs="Times New Roman"/>
          <w:sz w:val="24"/>
          <w:szCs w:val="24"/>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18 de outubro de 2004</w:t>
      </w: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r w:rsidRPr="0025608F">
        <w:rPr>
          <w:rFonts w:ascii="Times New Roman" w:hAnsi="Times New Roman" w:cs="Times New Roman"/>
          <w:sz w:val="24"/>
          <w:szCs w:val="24"/>
        </w:rPr>
        <w:t>considerando o disposto na Lei n.º 6.360, de 23 de setembro de 1976, na Lei n.º 810, de 6 de setembro de 1949, na Lei n.º 9.784, de 29 de janeiro de 1999 e no Decreto n.º 79.094, de 5 de janeiro de 1977;</w:t>
      </w: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r w:rsidRPr="0025608F">
        <w:rPr>
          <w:rFonts w:ascii="Times New Roman" w:hAnsi="Times New Roman" w:cs="Times New Roman"/>
          <w:sz w:val="24"/>
          <w:szCs w:val="24"/>
        </w:rPr>
        <w:t>adota a seguinte Resolução de Diretoria Colegiada, e eu, Diretor-Presidente, determino a sua publicação: </w:t>
      </w: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BF42B0" w:rsidRDefault="009259A3">
      <w:pPr>
        <w:ind w:firstLine="567"/>
        <w:jc w:val="both"/>
        <w:rPr>
          <w:strike/>
          <w:sz w:val="24"/>
          <w:szCs w:val="24"/>
        </w:rPr>
      </w:pPr>
      <w:r w:rsidRPr="00BF42B0">
        <w:rPr>
          <w:strike/>
          <w:sz w:val="24"/>
          <w:szCs w:val="24"/>
        </w:rPr>
        <w:t>Art. 1º A revalidação do registro deverá ser requerida no 1.º (primeiro) semestre do último ano do qüinqüênio de validade, considerando-se automaticamente revalidado nos termos da Lei n.º 6.360, de 23 de setembro de 1976, independentemente de decisão, se não houver sido proferida até a data do término daquele.</w:t>
      </w:r>
    </w:p>
    <w:p w:rsidR="00BF42B0" w:rsidRPr="00BF42B0" w:rsidRDefault="00BF42B0">
      <w:pPr>
        <w:ind w:firstLine="567"/>
        <w:jc w:val="both"/>
        <w:rPr>
          <w:strike/>
          <w:sz w:val="24"/>
          <w:szCs w:val="24"/>
        </w:rPr>
      </w:pPr>
    </w:p>
    <w:p w:rsidR="00BF42B0" w:rsidRPr="00BF42B0" w:rsidRDefault="00BF42B0" w:rsidP="00BF42B0">
      <w:pPr>
        <w:ind w:firstLine="567"/>
        <w:jc w:val="both"/>
        <w:rPr>
          <w:b/>
          <w:color w:val="0000FF"/>
          <w:sz w:val="24"/>
          <w:szCs w:val="24"/>
        </w:rPr>
      </w:pPr>
      <w:r w:rsidRPr="00BF42B0">
        <w:rPr>
          <w:sz w:val="24"/>
          <w:szCs w:val="24"/>
        </w:rPr>
        <w:t>Art. 1º A revalidação do registro deverá ser requerida</w:t>
      </w:r>
      <w:r>
        <w:rPr>
          <w:sz w:val="24"/>
          <w:szCs w:val="24"/>
        </w:rPr>
        <w:t xml:space="preserve"> </w:t>
      </w:r>
      <w:r w:rsidRPr="00BF42B0">
        <w:rPr>
          <w:sz w:val="24"/>
          <w:szCs w:val="24"/>
        </w:rPr>
        <w:t>com antecedência máxima de doze meses e mínima de seis meses</w:t>
      </w:r>
      <w:r>
        <w:rPr>
          <w:sz w:val="24"/>
          <w:szCs w:val="24"/>
        </w:rPr>
        <w:t xml:space="preserve"> </w:t>
      </w:r>
      <w:r w:rsidRPr="00BF42B0">
        <w:rPr>
          <w:sz w:val="24"/>
          <w:szCs w:val="24"/>
        </w:rPr>
        <w:t>do dia do vencimento do registro, considerando-se automaticamente</w:t>
      </w:r>
      <w:r>
        <w:rPr>
          <w:sz w:val="24"/>
          <w:szCs w:val="24"/>
        </w:rPr>
        <w:t xml:space="preserve"> </w:t>
      </w:r>
      <w:r w:rsidRPr="00BF42B0">
        <w:rPr>
          <w:sz w:val="24"/>
          <w:szCs w:val="24"/>
        </w:rPr>
        <w:t>revalidado, independentemente de decisão, se não houver</w:t>
      </w:r>
      <w:r>
        <w:rPr>
          <w:sz w:val="24"/>
          <w:szCs w:val="24"/>
        </w:rPr>
        <w:t xml:space="preserve"> </w:t>
      </w:r>
      <w:r w:rsidRPr="00BF42B0">
        <w:rPr>
          <w:sz w:val="24"/>
          <w:szCs w:val="24"/>
        </w:rPr>
        <w:t>sido esta proferida até o dia do término daquele.</w:t>
      </w:r>
      <w:r>
        <w:rPr>
          <w:sz w:val="24"/>
          <w:szCs w:val="24"/>
        </w:rPr>
        <w:t xml:space="preserve"> </w:t>
      </w:r>
      <w:r w:rsidRPr="00BF42B0">
        <w:rPr>
          <w:b/>
          <w:color w:val="0000FF"/>
          <w:sz w:val="24"/>
          <w:szCs w:val="24"/>
        </w:rPr>
        <w:t>(Redação dada pela Resolução – RDC nº 212, de 22 de janeiro de 2018)</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 xml:space="preserve">§ 1º Será declarada a caducidade do registro do produto cuja revalidação não tenha sido solicitada no prazo referido no </w:t>
      </w:r>
      <w:r w:rsidRPr="0025608F">
        <w:rPr>
          <w:i/>
          <w:iCs/>
          <w:sz w:val="24"/>
          <w:szCs w:val="24"/>
        </w:rPr>
        <w:t>caput</w:t>
      </w:r>
      <w:r w:rsidRPr="0025608F">
        <w:rPr>
          <w:sz w:val="24"/>
          <w:szCs w:val="24"/>
        </w:rPr>
        <w:t>.</w:t>
      </w:r>
    </w:p>
    <w:p w:rsidR="009259A3" w:rsidRPr="0025608F" w:rsidRDefault="009259A3">
      <w:pPr>
        <w:ind w:firstLine="567"/>
        <w:jc w:val="both"/>
        <w:rPr>
          <w:sz w:val="24"/>
          <w:szCs w:val="24"/>
        </w:rPr>
      </w:pPr>
    </w:p>
    <w:p w:rsidR="009259A3" w:rsidRPr="0025608F" w:rsidRDefault="009259A3">
      <w:pPr>
        <w:pStyle w:val="Corpodetexto"/>
        <w:ind w:firstLine="567"/>
        <w:rPr>
          <w:sz w:val="24"/>
          <w:szCs w:val="24"/>
        </w:rPr>
      </w:pPr>
      <w:r w:rsidRPr="0025608F">
        <w:rPr>
          <w:sz w:val="24"/>
          <w:szCs w:val="24"/>
        </w:rPr>
        <w:t>§ 2º A revalidação automática do registro será nos termos e condições da concessão ou da última revalidação do registro.</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 3º A revalidação automática não impedirá a continuação da análise da revalidação de registro requerida, podendo a Administração, se for o caso, indeferir o pedido de revalidação e cancelar o registro que tenha sido automaticamente revalidado, ou ratificá-lo, deferindo o pedido de revalidação.</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Art. 2º Os atos referentes ao registro e à revalidação do registro somente produzirão efeitos a partir da data da publicação dos despachos concessivos, não-concessivos e declaratórios no Diário Oficial da União.</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 1º O prazo de validade do registro concedido fluirá a partir da publicação no Diário Oficial da União.</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 2º Na publicação do despacho concessivo de revalidação, o prazo de validade do registro deverá ser sucessivo ao último dia do prazo do registro concedido ou do último registro revalidado.</w:t>
      </w:r>
    </w:p>
    <w:p w:rsidR="009F7280" w:rsidRPr="00BF42B0" w:rsidRDefault="009259A3" w:rsidP="009F7280">
      <w:pPr>
        <w:ind w:firstLine="567"/>
        <w:jc w:val="both"/>
        <w:rPr>
          <w:b/>
          <w:color w:val="0000FF"/>
          <w:sz w:val="24"/>
          <w:szCs w:val="24"/>
        </w:rPr>
      </w:pPr>
      <w:r w:rsidRPr="00FD00E8">
        <w:rPr>
          <w:strike/>
          <w:sz w:val="24"/>
          <w:szCs w:val="24"/>
        </w:rPr>
        <w:lastRenderedPageBreak/>
        <w:t>§ 3º Na publicação, seja dos despachos concessivos de registro ou de sua revalidação, seja da ratificação da revalidação automática, deverá ser indicada a data do início e do término da fluência do prazo de validade respectivo.</w:t>
      </w:r>
      <w:r w:rsidR="009F7280">
        <w:rPr>
          <w:sz w:val="24"/>
          <w:szCs w:val="24"/>
        </w:rPr>
        <w:t xml:space="preserve"> </w:t>
      </w:r>
      <w:r w:rsidR="009F7280" w:rsidRPr="00BF42B0">
        <w:rPr>
          <w:b/>
          <w:color w:val="0000FF"/>
          <w:sz w:val="24"/>
          <w:szCs w:val="24"/>
        </w:rPr>
        <w:t>(</w:t>
      </w:r>
      <w:r w:rsidR="009F7280">
        <w:rPr>
          <w:b/>
          <w:color w:val="0000FF"/>
          <w:sz w:val="24"/>
          <w:szCs w:val="24"/>
        </w:rPr>
        <w:t xml:space="preserve">Revogado </w:t>
      </w:r>
      <w:r w:rsidR="009F7280" w:rsidRPr="00BF42B0">
        <w:rPr>
          <w:b/>
          <w:color w:val="0000FF"/>
          <w:sz w:val="24"/>
          <w:szCs w:val="24"/>
        </w:rPr>
        <w:t>pela Resolução – RDC nº 212, de 22 de janeiro de 2018)</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 4º No despacho declaratório de revalidação automática, que também deverá ser publicado no Diário Oficial da União, o prazo de validade do registro automaticamente revalidado deverá, igualmente, ser sucessivo ao último dia do prazo do registro concedido ou do último registro revalidado.</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 5º Na publicação do despacho declaratório da revalidação automática, deverá ser indicada a data do início da fluência do prazo de validade, cuja duração estará condicionada à futura decisão a ser proferida pela Administração, conforme a conclusão da análise a ser efetivada nos termos da Lei.</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Art.</w:t>
      </w:r>
      <w:r w:rsidR="00895CDF">
        <w:rPr>
          <w:sz w:val="24"/>
          <w:szCs w:val="24"/>
        </w:rPr>
        <w:t xml:space="preserve"> </w:t>
      </w:r>
      <w:r w:rsidRPr="0025608F">
        <w:rPr>
          <w:sz w:val="24"/>
          <w:szCs w:val="24"/>
        </w:rPr>
        <w:t>3º Para efeito de contagem dos prazos a que se referem esta Resolução, será observado o seguinte:</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I – Os prazos fixados em meses e anos contam-se de data a data;</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II – considera-se ano o período de 12 (doze) meses contados do dia do início ao dia e mês correspondente do ano seguinte;</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III – considera-se mês o período do tempo contado do dia do início ao dia correspondente do mês seguinte;</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III - se no mês ou ano do vencimento não houver o dia equivalente àquele do início do prazo, este findará no primeiro dia subseqüente.</w:t>
      </w:r>
    </w:p>
    <w:p w:rsidR="009259A3" w:rsidRPr="0025608F" w:rsidRDefault="009259A3">
      <w:pPr>
        <w:ind w:firstLine="567"/>
        <w:jc w:val="both"/>
        <w:rPr>
          <w:sz w:val="24"/>
          <w:szCs w:val="24"/>
        </w:rPr>
      </w:pPr>
    </w:p>
    <w:p w:rsidR="009259A3" w:rsidRPr="009F7280" w:rsidRDefault="009259A3">
      <w:pPr>
        <w:ind w:firstLine="567"/>
        <w:jc w:val="both"/>
        <w:rPr>
          <w:strike/>
          <w:sz w:val="24"/>
          <w:szCs w:val="24"/>
        </w:rPr>
      </w:pPr>
      <w:r w:rsidRPr="009F7280">
        <w:rPr>
          <w:strike/>
          <w:sz w:val="24"/>
          <w:szCs w:val="24"/>
        </w:rPr>
        <w:t>Art. 4º Na contagem do prazo para se requerer a revalidação do registro, o dia final do qüinqüênio de validade  será considerado como dia do início para proceder a contagem regressiva do semestre nos termos do artigo anterior.</w:t>
      </w:r>
    </w:p>
    <w:p w:rsidR="009F7280" w:rsidRDefault="009F7280">
      <w:pPr>
        <w:ind w:firstLine="567"/>
        <w:jc w:val="both"/>
        <w:rPr>
          <w:sz w:val="24"/>
          <w:szCs w:val="24"/>
        </w:rPr>
      </w:pPr>
    </w:p>
    <w:p w:rsidR="009F7280" w:rsidRPr="00BF42B0" w:rsidRDefault="009F7280" w:rsidP="009F7280">
      <w:pPr>
        <w:ind w:firstLine="567"/>
        <w:jc w:val="both"/>
        <w:rPr>
          <w:b/>
          <w:color w:val="0000FF"/>
          <w:sz w:val="24"/>
          <w:szCs w:val="24"/>
        </w:rPr>
      </w:pPr>
      <w:r w:rsidRPr="009F7280">
        <w:rPr>
          <w:sz w:val="24"/>
          <w:szCs w:val="24"/>
        </w:rPr>
        <w:t>Art. 4º Na contagem do prazo para se requerer a revalidação</w:t>
      </w:r>
      <w:r>
        <w:rPr>
          <w:sz w:val="24"/>
          <w:szCs w:val="24"/>
        </w:rPr>
        <w:t xml:space="preserve"> </w:t>
      </w:r>
      <w:r w:rsidRPr="009F7280">
        <w:rPr>
          <w:sz w:val="24"/>
          <w:szCs w:val="24"/>
        </w:rPr>
        <w:t>do registro, o dia final da validade será considerado</w:t>
      </w:r>
      <w:r>
        <w:rPr>
          <w:sz w:val="24"/>
          <w:szCs w:val="24"/>
        </w:rPr>
        <w:t xml:space="preserve"> </w:t>
      </w:r>
      <w:r w:rsidRPr="009F7280">
        <w:rPr>
          <w:sz w:val="24"/>
          <w:szCs w:val="24"/>
        </w:rPr>
        <w:t>como dia do início para proceder a contagem regressiva da</w:t>
      </w:r>
      <w:r>
        <w:rPr>
          <w:sz w:val="24"/>
          <w:szCs w:val="24"/>
        </w:rPr>
        <w:t xml:space="preserve"> </w:t>
      </w:r>
      <w:r w:rsidRPr="009F7280">
        <w:rPr>
          <w:sz w:val="24"/>
          <w:szCs w:val="24"/>
        </w:rPr>
        <w:t>antecedência máxima de doze meses e mínima de seis meses do</w:t>
      </w:r>
      <w:r>
        <w:rPr>
          <w:sz w:val="24"/>
          <w:szCs w:val="24"/>
        </w:rPr>
        <w:t xml:space="preserve"> </w:t>
      </w:r>
      <w:r w:rsidRPr="009F7280">
        <w:rPr>
          <w:sz w:val="24"/>
          <w:szCs w:val="24"/>
        </w:rPr>
        <w:t>dia do vencimento do registro, nos termos do artigo anterior.</w:t>
      </w:r>
      <w:r>
        <w:rPr>
          <w:sz w:val="24"/>
          <w:szCs w:val="24"/>
        </w:rPr>
        <w:t xml:space="preserve"> </w:t>
      </w:r>
      <w:r w:rsidRPr="00BF42B0">
        <w:rPr>
          <w:b/>
          <w:color w:val="0000FF"/>
          <w:sz w:val="24"/>
          <w:szCs w:val="24"/>
        </w:rPr>
        <w:t>(Redação dada pela Resolução – RDC nº 212, de 22 de janeiro de 2018)</w:t>
      </w:r>
    </w:p>
    <w:p w:rsidR="009259A3" w:rsidRPr="0025608F" w:rsidRDefault="009259A3">
      <w:pPr>
        <w:ind w:firstLine="567"/>
        <w:jc w:val="both"/>
        <w:rPr>
          <w:sz w:val="24"/>
          <w:szCs w:val="24"/>
        </w:rPr>
      </w:pPr>
    </w:p>
    <w:p w:rsidR="009259A3" w:rsidRPr="0025608F" w:rsidRDefault="009259A3">
      <w:pPr>
        <w:ind w:firstLine="567"/>
        <w:jc w:val="both"/>
        <w:rPr>
          <w:sz w:val="24"/>
          <w:szCs w:val="24"/>
        </w:rPr>
      </w:pPr>
      <w:r w:rsidRPr="0025608F">
        <w:rPr>
          <w:sz w:val="24"/>
          <w:szCs w:val="24"/>
        </w:rPr>
        <w:t xml:space="preserve">Parágrafo único. Considera-se prorrogado o prazo até o primeiro dia útil seguinte se, após essa contagem regressiva, o final do prazo para se requerer a revalidação do registro cair em dia em que não houver expediente ou este for encerrado antes da hora normal. </w:t>
      </w: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r w:rsidRPr="0025608F">
        <w:rPr>
          <w:rFonts w:ascii="Times New Roman" w:hAnsi="Times New Roman" w:cs="Times New Roman"/>
          <w:sz w:val="24"/>
          <w:szCs w:val="24"/>
        </w:rPr>
        <w:t>Art. 5º Esta Resolução entra em vigor na data de sua publicação.</w:t>
      </w: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25608F" w:rsidRDefault="009259A3">
      <w:pPr>
        <w:pStyle w:val="NormalWeb"/>
        <w:spacing w:before="0" w:beforeAutospacing="0" w:after="0" w:afterAutospacing="0"/>
        <w:ind w:firstLine="567"/>
        <w:jc w:val="both"/>
        <w:rPr>
          <w:rFonts w:ascii="Times New Roman" w:hAnsi="Times New Roman" w:cs="Times New Roman"/>
          <w:sz w:val="24"/>
          <w:szCs w:val="24"/>
        </w:rPr>
      </w:pPr>
    </w:p>
    <w:p w:rsidR="009259A3" w:rsidRPr="00717E51" w:rsidRDefault="009259A3">
      <w:pPr>
        <w:pStyle w:val="NormalWeb"/>
        <w:spacing w:before="0" w:beforeAutospacing="0" w:after="0" w:afterAutospacing="0"/>
        <w:jc w:val="center"/>
        <w:rPr>
          <w:rFonts w:ascii="Times New Roman" w:hAnsi="Times New Roman" w:cs="Times New Roman"/>
          <w:b/>
          <w:sz w:val="24"/>
          <w:szCs w:val="24"/>
        </w:rPr>
      </w:pPr>
      <w:r w:rsidRPr="00717E51">
        <w:rPr>
          <w:rFonts w:ascii="Times New Roman" w:hAnsi="Times New Roman" w:cs="Times New Roman"/>
          <w:b/>
          <w:sz w:val="24"/>
          <w:szCs w:val="24"/>
        </w:rPr>
        <w:t>CLÁUDIO MAIEROVITCH PESSANHA HENRIQUES</w:t>
      </w:r>
    </w:p>
    <w:sectPr w:rsidR="009259A3" w:rsidRPr="00717E51" w:rsidSect="0025608F">
      <w:headerReference w:type="default" r:id="rId7"/>
      <w:headerReference w:type="first" r:id="rId8"/>
      <w:footerReference w:type="first" r:id="rId9"/>
      <w:pgSz w:w="11907" w:h="16840" w:code="9"/>
      <w:pgMar w:top="1417" w:right="1701" w:bottom="1417" w:left="1701" w:header="0"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4FF" w:rsidRDefault="00AD44FF">
      <w:r>
        <w:separator/>
      </w:r>
    </w:p>
  </w:endnote>
  <w:endnote w:type="continuationSeparator" w:id="0">
    <w:p w:rsidR="00AD44FF" w:rsidRDefault="00AD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8F" w:rsidRPr="00B517AC" w:rsidRDefault="0025608F" w:rsidP="0025608F">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25608F" w:rsidRDefault="0025608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4FF" w:rsidRDefault="00AD44FF">
      <w:r>
        <w:separator/>
      </w:r>
    </w:p>
  </w:footnote>
  <w:footnote w:type="continuationSeparator" w:id="0">
    <w:p w:rsidR="00AD44FF" w:rsidRDefault="00AD4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9A3" w:rsidRDefault="009259A3">
    <w:pPr>
      <w:pStyle w:val="Cabealho"/>
      <w:ind w:right="360"/>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08F" w:rsidRPr="00B517AC" w:rsidRDefault="0025608F" w:rsidP="0025608F">
    <w:pPr>
      <w:tabs>
        <w:tab w:val="center" w:pos="4252"/>
        <w:tab w:val="right" w:pos="8504"/>
      </w:tabs>
      <w:jc w:val="center"/>
      <w:rPr>
        <w:rFonts w:ascii="Calibri" w:hAnsi="Calibri"/>
      </w:rPr>
    </w:pPr>
    <w:r w:rsidRPr="0025608F">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25608F" w:rsidRPr="00B517AC" w:rsidRDefault="0025608F" w:rsidP="0025608F">
    <w:pPr>
      <w:tabs>
        <w:tab w:val="center" w:pos="4252"/>
        <w:tab w:val="right" w:pos="8504"/>
      </w:tabs>
      <w:jc w:val="center"/>
      <w:rPr>
        <w:rFonts w:ascii="Calibri" w:hAnsi="Calibri"/>
        <w:b/>
        <w:sz w:val="24"/>
      </w:rPr>
    </w:pPr>
    <w:r w:rsidRPr="00B517AC">
      <w:rPr>
        <w:rFonts w:ascii="Calibri" w:hAnsi="Calibri"/>
        <w:b/>
        <w:sz w:val="24"/>
      </w:rPr>
      <w:t>Ministério da Saúde - MS</w:t>
    </w:r>
  </w:p>
  <w:p w:rsidR="0025608F" w:rsidRPr="00B517AC" w:rsidRDefault="0025608F" w:rsidP="0025608F">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25608F" w:rsidRDefault="0025608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368F3"/>
    <w:multiLevelType w:val="singleLevel"/>
    <w:tmpl w:val="FDA442F2"/>
    <w:lvl w:ilvl="0">
      <w:start w:val="1"/>
      <w:numFmt w:val="decimal"/>
      <w:lvlText w:val="%1."/>
      <w:lvlJc w:val="left"/>
      <w:pPr>
        <w:tabs>
          <w:tab w:val="num" w:pos="2835"/>
        </w:tabs>
        <w:ind w:left="2835" w:hanging="2835"/>
      </w:pPr>
      <w:rPr>
        <w:rFonts w:cs="Times New Roman" w:hint="default"/>
      </w:rPr>
    </w:lvl>
  </w:abstractNum>
  <w:abstractNum w:abstractNumId="1" w15:restartNumberingAfterBreak="0">
    <w:nsid w:val="1F355D01"/>
    <w:multiLevelType w:val="singleLevel"/>
    <w:tmpl w:val="641AA090"/>
    <w:lvl w:ilvl="0">
      <w:start w:val="1"/>
      <w:numFmt w:val="bullet"/>
      <w:lvlText w:val="-"/>
      <w:lvlJc w:val="left"/>
      <w:pPr>
        <w:tabs>
          <w:tab w:val="num" w:pos="360"/>
        </w:tabs>
        <w:ind w:left="360" w:hanging="360"/>
      </w:pPr>
      <w:rPr>
        <w:rFonts w:hint="default"/>
      </w:rPr>
    </w:lvl>
  </w:abstractNum>
  <w:abstractNum w:abstractNumId="2" w15:restartNumberingAfterBreak="0">
    <w:nsid w:val="3791672E"/>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3" w15:restartNumberingAfterBreak="0">
    <w:nsid w:val="37A20E79"/>
    <w:multiLevelType w:val="singleLevel"/>
    <w:tmpl w:val="BB08B8A0"/>
    <w:lvl w:ilvl="0">
      <w:numFmt w:val="bullet"/>
      <w:lvlText w:val="-"/>
      <w:lvlJc w:val="left"/>
      <w:pPr>
        <w:tabs>
          <w:tab w:val="num" w:pos="2345"/>
        </w:tabs>
        <w:ind w:left="2345" w:hanging="360"/>
      </w:pPr>
      <w:rPr>
        <w:rFonts w:hint="default"/>
      </w:rPr>
    </w:lvl>
  </w:abstractNum>
  <w:abstractNum w:abstractNumId="4" w15:restartNumberingAfterBreak="0">
    <w:nsid w:val="38BC3DAF"/>
    <w:multiLevelType w:val="singleLevel"/>
    <w:tmpl w:val="563A5418"/>
    <w:lvl w:ilvl="0">
      <w:numFmt w:val="bullet"/>
      <w:lvlText w:val="-"/>
      <w:lvlJc w:val="left"/>
      <w:pPr>
        <w:tabs>
          <w:tab w:val="num" w:pos="2061"/>
        </w:tabs>
        <w:ind w:left="2061" w:hanging="360"/>
      </w:pPr>
      <w:rPr>
        <w:rFonts w:hint="default"/>
      </w:rPr>
    </w:lvl>
  </w:abstractNum>
  <w:abstractNum w:abstractNumId="5" w15:restartNumberingAfterBreak="0">
    <w:nsid w:val="45DC5CF2"/>
    <w:multiLevelType w:val="singleLevel"/>
    <w:tmpl w:val="04160017"/>
    <w:lvl w:ilvl="0">
      <w:start w:val="1"/>
      <w:numFmt w:val="lowerLetter"/>
      <w:lvlText w:val="%1)"/>
      <w:lvlJc w:val="left"/>
      <w:pPr>
        <w:tabs>
          <w:tab w:val="num" w:pos="360"/>
        </w:tabs>
        <w:ind w:left="360" w:hanging="360"/>
      </w:pPr>
      <w:rPr>
        <w:rFonts w:cs="Times New Roman"/>
      </w:rPr>
    </w:lvl>
  </w:abstractNum>
  <w:abstractNum w:abstractNumId="6" w15:restartNumberingAfterBreak="0">
    <w:nsid w:val="485D6AD4"/>
    <w:multiLevelType w:val="singleLevel"/>
    <w:tmpl w:val="011A8F58"/>
    <w:lvl w:ilvl="0">
      <w:start w:val="3"/>
      <w:numFmt w:val="lowerLetter"/>
      <w:lvlText w:val="%1)"/>
      <w:lvlJc w:val="left"/>
      <w:pPr>
        <w:tabs>
          <w:tab w:val="num" w:pos="360"/>
        </w:tabs>
        <w:ind w:left="360" w:hanging="360"/>
      </w:pPr>
      <w:rPr>
        <w:rFonts w:cs="Times New Roman"/>
      </w:rPr>
    </w:lvl>
  </w:abstractNum>
  <w:abstractNum w:abstractNumId="7" w15:restartNumberingAfterBreak="0">
    <w:nsid w:val="4D736827"/>
    <w:multiLevelType w:val="singleLevel"/>
    <w:tmpl w:val="D58AAAEC"/>
    <w:lvl w:ilvl="0">
      <w:start w:val="2"/>
      <w:numFmt w:val="bullet"/>
      <w:lvlText w:val="-"/>
      <w:lvlJc w:val="left"/>
      <w:pPr>
        <w:tabs>
          <w:tab w:val="num" w:pos="360"/>
        </w:tabs>
        <w:ind w:left="360" w:hanging="360"/>
      </w:pPr>
      <w:rPr>
        <w:rFonts w:hint="default"/>
      </w:rPr>
    </w:lvl>
  </w:abstractNum>
  <w:abstractNum w:abstractNumId="8" w15:restartNumberingAfterBreak="0">
    <w:nsid w:val="6090439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15A0016"/>
    <w:multiLevelType w:val="singleLevel"/>
    <w:tmpl w:val="B100E48E"/>
    <w:lvl w:ilvl="0">
      <w:start w:val="2"/>
      <w:numFmt w:val="lowerLetter"/>
      <w:lvlText w:val="%1)"/>
      <w:lvlJc w:val="left"/>
      <w:pPr>
        <w:tabs>
          <w:tab w:val="num" w:pos="360"/>
        </w:tabs>
        <w:ind w:left="360" w:hanging="360"/>
      </w:pPr>
      <w:rPr>
        <w:rFonts w:cs="Times New Roman"/>
      </w:rPr>
    </w:lvl>
  </w:abstractNum>
  <w:abstractNum w:abstractNumId="10" w15:restartNumberingAfterBreak="0">
    <w:nsid w:val="657A50E0"/>
    <w:multiLevelType w:val="singleLevel"/>
    <w:tmpl w:val="2BF607A6"/>
    <w:lvl w:ilvl="0">
      <w:start w:val="10"/>
      <w:numFmt w:val="decimal"/>
      <w:lvlText w:val="%1."/>
      <w:lvlJc w:val="left"/>
      <w:pPr>
        <w:tabs>
          <w:tab w:val="num" w:pos="713"/>
        </w:tabs>
        <w:ind w:left="713" w:hanging="713"/>
      </w:pPr>
      <w:rPr>
        <w:rFonts w:cs="Times New Roman" w:hint="default"/>
      </w:rPr>
    </w:lvl>
  </w:abstractNum>
  <w:abstractNum w:abstractNumId="11" w15:restartNumberingAfterBreak="0">
    <w:nsid w:val="65C46FBA"/>
    <w:multiLevelType w:val="singleLevel"/>
    <w:tmpl w:val="E1423270"/>
    <w:lvl w:ilvl="0">
      <w:start w:val="29"/>
      <w:numFmt w:val="decimal"/>
      <w:lvlText w:val="%1."/>
      <w:lvlJc w:val="left"/>
      <w:pPr>
        <w:tabs>
          <w:tab w:val="num" w:pos="705"/>
        </w:tabs>
        <w:ind w:left="705" w:hanging="705"/>
      </w:pPr>
      <w:rPr>
        <w:rFonts w:cs="Times New Roman" w:hint="default"/>
      </w:rPr>
    </w:lvl>
  </w:abstractNum>
  <w:abstractNum w:abstractNumId="12" w15:restartNumberingAfterBreak="0">
    <w:nsid w:val="78EC4182"/>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8"/>
  </w:num>
  <w:num w:numId="3">
    <w:abstractNumId w:val="2"/>
  </w:num>
  <w:num w:numId="4">
    <w:abstractNumId w:val="1"/>
  </w:num>
  <w:num w:numId="5">
    <w:abstractNumId w:val="0"/>
  </w:num>
  <w:num w:numId="6">
    <w:abstractNumId w:val="7"/>
  </w:num>
  <w:num w:numId="7">
    <w:abstractNumId w:val="11"/>
  </w:num>
  <w:num w:numId="8">
    <w:abstractNumId w:val="10"/>
  </w:num>
  <w:num w:numId="9">
    <w:abstractNumId w:val="5"/>
  </w:num>
  <w:num w:numId="10">
    <w:abstractNumId w:val="9"/>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259A3"/>
    <w:rsid w:val="0025608F"/>
    <w:rsid w:val="00455FB3"/>
    <w:rsid w:val="00717E51"/>
    <w:rsid w:val="007A4C18"/>
    <w:rsid w:val="00895CDF"/>
    <w:rsid w:val="009259A3"/>
    <w:rsid w:val="009F7280"/>
    <w:rsid w:val="00AD44FF"/>
    <w:rsid w:val="00B517AC"/>
    <w:rsid w:val="00BB1D27"/>
    <w:rsid w:val="00BF42B0"/>
    <w:rsid w:val="00E00530"/>
    <w:rsid w:val="00FD00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both"/>
      <w:outlineLvl w:val="0"/>
    </w:pPr>
    <w:rPr>
      <w:b/>
      <w:bCs/>
      <w:sz w:val="28"/>
      <w:szCs w:val="28"/>
    </w:rPr>
  </w:style>
  <w:style w:type="paragraph" w:styleId="Ttulo2">
    <w:name w:val="heading 2"/>
    <w:basedOn w:val="Normal"/>
    <w:next w:val="Normal"/>
    <w:link w:val="Ttulo2Char"/>
    <w:uiPriority w:val="99"/>
    <w:qFormat/>
    <w:pPr>
      <w:keepNext/>
      <w:jc w:val="both"/>
      <w:outlineLvl w:val="1"/>
    </w:pPr>
    <w:rPr>
      <w:b/>
      <w:bCs/>
      <w:sz w:val="32"/>
      <w:szCs w:val="32"/>
    </w:rPr>
  </w:style>
  <w:style w:type="paragraph" w:styleId="Ttulo3">
    <w:name w:val="heading 3"/>
    <w:basedOn w:val="Normal"/>
    <w:next w:val="Normal"/>
    <w:link w:val="Ttulo3Char"/>
    <w:uiPriority w:val="99"/>
    <w:qFormat/>
    <w:pPr>
      <w:keepNext/>
      <w:outlineLvl w:val="2"/>
    </w:pPr>
    <w:rPr>
      <w:b/>
      <w:bCs/>
      <w:sz w:val="36"/>
      <w:szCs w:val="36"/>
    </w:rPr>
  </w:style>
  <w:style w:type="paragraph" w:styleId="Ttulo4">
    <w:name w:val="heading 4"/>
    <w:basedOn w:val="Normal"/>
    <w:next w:val="Normal"/>
    <w:link w:val="Ttulo4Char"/>
    <w:uiPriority w:val="99"/>
    <w:qFormat/>
    <w:pPr>
      <w:keepNext/>
      <w:jc w:val="right"/>
      <w:outlineLvl w:val="3"/>
    </w:pPr>
    <w:rPr>
      <w:sz w:val="28"/>
      <w:szCs w:val="28"/>
    </w:rPr>
  </w:style>
  <w:style w:type="paragraph" w:styleId="Ttulo5">
    <w:name w:val="heading 5"/>
    <w:basedOn w:val="Normal"/>
    <w:next w:val="Normal"/>
    <w:link w:val="Ttulo5Char"/>
    <w:uiPriority w:val="99"/>
    <w:qFormat/>
    <w:pPr>
      <w:keepNext/>
      <w:outlineLvl w:val="4"/>
    </w:pPr>
    <w:rPr>
      <w:sz w:val="28"/>
      <w:szCs w:val="28"/>
    </w:rPr>
  </w:style>
  <w:style w:type="paragraph" w:styleId="Ttulo6">
    <w:name w:val="heading 6"/>
    <w:basedOn w:val="Normal"/>
    <w:next w:val="Normal"/>
    <w:link w:val="Ttulo6Char"/>
    <w:uiPriority w:val="99"/>
    <w:qFormat/>
    <w:pPr>
      <w:keepNext/>
      <w:jc w:val="both"/>
      <w:outlineLvl w:val="5"/>
    </w:pPr>
    <w:rPr>
      <w:sz w:val="28"/>
      <w:szCs w:val="28"/>
    </w:rPr>
  </w:style>
  <w:style w:type="paragraph" w:styleId="Ttulo7">
    <w:name w:val="heading 7"/>
    <w:basedOn w:val="Normal"/>
    <w:next w:val="Normal"/>
    <w:link w:val="Ttulo7Char"/>
    <w:uiPriority w:val="99"/>
    <w:qFormat/>
    <w:pPr>
      <w:keepNext/>
      <w:jc w:val="center"/>
      <w:outlineLvl w:val="6"/>
    </w:pPr>
    <w:rPr>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paragraph" w:styleId="Corpodetexto2">
    <w:name w:val="Body Text 2"/>
    <w:basedOn w:val="Normal"/>
    <w:link w:val="Corpodetexto2Char"/>
    <w:uiPriority w:val="99"/>
    <w:rPr>
      <w:sz w:val="28"/>
      <w:szCs w:val="28"/>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jc w:val="both"/>
    </w:pPr>
    <w:rPr>
      <w:sz w:val="28"/>
      <w:szCs w:val="28"/>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3402"/>
    </w:pPr>
    <w:rPr>
      <w:sz w:val="28"/>
      <w:szCs w:val="28"/>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Legenda">
    <w:name w:val="caption"/>
    <w:basedOn w:val="Normal"/>
    <w:next w:val="Normal"/>
    <w:uiPriority w:val="99"/>
    <w:qFormat/>
    <w:pPr>
      <w:jc w:val="center"/>
    </w:pPr>
    <w:rPr>
      <w:rFonts w:ascii="Arial" w:hAnsi="Arial" w:cs="Arial"/>
      <w:b/>
      <w:bC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Corpodetexto3">
    <w:name w:val="Body Text 3"/>
    <w:basedOn w:val="Normal"/>
    <w:link w:val="Corpodetexto3Char"/>
    <w:uiPriority w:val="99"/>
    <w:pPr>
      <w:jc w:val="both"/>
    </w:pPr>
    <w:rPr>
      <w:sz w:val="26"/>
      <w:szCs w:val="26"/>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Recuodecorpodetexto3">
    <w:name w:val="Body Text Indent 3"/>
    <w:basedOn w:val="Normal"/>
    <w:link w:val="Recuodecorpodetexto3Char"/>
    <w:uiPriority w:val="99"/>
    <w:pPr>
      <w:ind w:firstLine="709"/>
      <w:jc w:val="both"/>
    </w:pPr>
    <w:rPr>
      <w:sz w:val="28"/>
      <w:szCs w:val="28"/>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character" w:styleId="Hyperlink">
    <w:name w:val="Hyperlink"/>
    <w:basedOn w:val="Fontepargpadro"/>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4185</Characters>
  <Application>Microsoft Office Word</Application>
  <DocSecurity>0</DocSecurity>
  <Lines>34</Lines>
  <Paragraphs>9</Paragraphs>
  <ScaleCrop>false</ScaleCrop>
  <Company>MS</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FÉRIAS DO PESSOAL DO PNUD</dc:title>
  <dc:subject/>
  <dc:creator>Ministério da Saúde</dc:creator>
  <cp:keywords/>
  <dc:description/>
  <cp:lastModifiedBy>Julia de Souza Ferreira</cp:lastModifiedBy>
  <cp:revision>2</cp:revision>
  <cp:lastPrinted>2004-10-20T13:27:00Z</cp:lastPrinted>
  <dcterms:created xsi:type="dcterms:W3CDTF">2018-11-27T16:35:00Z</dcterms:created>
  <dcterms:modified xsi:type="dcterms:W3CDTF">2018-11-27T16:35:00Z</dcterms:modified>
</cp:coreProperties>
</file>