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B49B1" w:rsidRDefault="00DA5B83" w:rsidP="005B49B1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B49B1">
        <w:rPr>
          <w:rFonts w:ascii="Times New Roman" w:hAnsi="Times New Roman" w:cs="Times New Roman"/>
          <w:b/>
          <w:szCs w:val="24"/>
        </w:rPr>
        <w:t>RESOLUÇÃO</w:t>
      </w:r>
      <w:r w:rsidR="005B49B1" w:rsidRPr="005B49B1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5B49B1">
        <w:rPr>
          <w:rFonts w:ascii="Times New Roman" w:hAnsi="Times New Roman" w:cs="Times New Roman"/>
          <w:b/>
          <w:szCs w:val="24"/>
        </w:rPr>
        <w:t xml:space="preserve"> – RDC Nº 25, DE 21 DE MAIO DE </w:t>
      </w:r>
      <w:proofErr w:type="gramStart"/>
      <w:r w:rsidRPr="005B49B1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DA5B83" w:rsidRPr="005B49B1" w:rsidRDefault="00DA5B83" w:rsidP="00DA5B8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B49B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96, de 22 de maio de 2009</w:t>
      </w:r>
      <w:proofErr w:type="gramStart"/>
      <w:r w:rsidRPr="005B49B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C5994" w:rsidRPr="005B49B1" w:rsidRDefault="005C5994" w:rsidP="00DA5B8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B49B1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15, de 28 de março de 2014</w:t>
      </w:r>
      <w:proofErr w:type="gramStart"/>
      <w:r w:rsidRPr="005B49B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30699" w:rsidRPr="005B49B1" w:rsidTr="00530699">
        <w:tc>
          <w:tcPr>
            <w:tcW w:w="4322" w:type="dxa"/>
          </w:tcPr>
          <w:p w:rsidR="00530699" w:rsidRPr="005B49B1" w:rsidRDefault="00530699" w:rsidP="00DA5B83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30699" w:rsidRPr="005B49B1" w:rsidRDefault="00530699" w:rsidP="0053069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B49B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Estabelecido o modo de </w:t>
            </w:r>
            <w:proofErr w:type="gramStart"/>
            <w:r w:rsidRPr="005B49B1">
              <w:rPr>
                <w:rFonts w:ascii="Times New Roman" w:hAnsi="Times New Roman" w:cs="Times New Roman"/>
                <w:strike/>
                <w:sz w:val="24"/>
                <w:szCs w:val="24"/>
              </w:rPr>
              <w:t>implementação</w:t>
            </w:r>
            <w:proofErr w:type="gramEnd"/>
            <w:r w:rsidRPr="005B49B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exigência do certificado de Boas Práticas de Fabricação para o registro de Produtos para a Saúde da Agência Nacional de Vigilância Sanitária - ANVISA.</w:t>
            </w:r>
          </w:p>
        </w:tc>
      </w:tr>
    </w:tbl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B49B1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n° 3.029, de 16 de abril de 1999, e tendo em vista o disposto no inciso II e nos parágrafos 1° e 3° do art. 54 do Regimento Interno aprovado nos termos do Anexo I da Portaria n° 354 da ANVISA, de 11 de agosto de 2006, republicada no DOU de 21 de agosto de 2006, em reunião realizada em 19 de maio de 2009, </w:t>
      </w: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o disposto na Resolução RDC/ANVISA Nº 59, de 27 de junho de 2000, sobre a adoção das Boas Práticas de Fabricação pelas empresas fabricantes de produtos para a saúde;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o disposto na Resolução RDC ANVISA Nº 167 de 2 de julho de 2004 e a Portaria SVS Nº 686, de 27 de agosto de 1998, sobre a adoção das Boas Práticas de Fabricação pelas empresas fabricantes de produtos diagnóstico de uso "in vitro";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o disposto no Decreto No - 3.961, de 10 de outubro de 2001, que complementa o Decreto Nº 79.094, de 5 de janeiro de 1977, de regulamentação da Lei 6.360 de 23 de setembro de 1976, instituindo a exigência do Certificado de Boas Práticas de Fabricação e Controle - CBPFC;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A necessidade de se adequar à capacidade técnica operacional do Sistema de Vigilância Sanitária para o atendimento de toda a demanda e ao mesmo tempo, viabilização do sistema de qualidade no âmbito das empresas;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Art. 1º Fica estabelecido o modo de </w:t>
      </w: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implementação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 da exigência do certificado de Boas Práticas de Fabricação para o registro de Produtos para a Saúde da Agência Nacional de Vigilância Sanitária - ANVISA.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O certificado de Boas Práticas de Fabricação deve ser apresentado junto com a petição de registro dos Produtos para Saúde.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Art. 3º Estão sujeitos à exigência contida no art. 2º: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I - Os equipamentos e materiais enquadrados nas duas classes de maior risco, III e IV;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II - Os produtos para diagnóstico in vitro enquadrados nas classes de maior risco II, III e </w:t>
      </w:r>
      <w:proofErr w:type="spellStart"/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IIIa</w:t>
      </w:r>
      <w:proofErr w:type="spellEnd"/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A45E3A" w:rsidRPr="005B49B1" w:rsidRDefault="00A45E3A" w:rsidP="00A45E3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II – Os produtos para </w:t>
      </w:r>
      <w:proofErr w:type="gramStart"/>
      <w:r w:rsidRPr="005B49B1">
        <w:rPr>
          <w:rFonts w:ascii="Times New Roman" w:hAnsi="Times New Roman" w:cs="Times New Roman"/>
          <w:strike/>
          <w:sz w:val="24"/>
          <w:szCs w:val="24"/>
        </w:rPr>
        <w:t>diagnóstico de uso in vitro enquadrados nas Classes II, III e IV</w:t>
      </w:r>
      <w:proofErr w:type="gramEnd"/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r w:rsidRPr="005B49B1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61, de 18 de novembro de 2011</w:t>
      </w:r>
      <w:proofErr w:type="gramStart"/>
      <w:r w:rsidRPr="005B49B1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)</w:t>
      </w:r>
      <w:proofErr w:type="gramEnd"/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Parágrafo único. Os equipamentos e materiais enquadrados nas classes de menor risco que constam das listas de exceção do regime de cadastramento, para os efeitos desta RDC, equiparam-se aos indicados no inciso I.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 xml:space="preserve">Art. 4º Para os produtos já registrados, em relação aos quais não foi apresentado o certificado de Boas Práticas de Fabricação, o mesmo deve ser apresentado junto com a petição de revalidação do registro ou quando ocorrer alteração/inclusão de local de fabricação. </w:t>
      </w:r>
    </w:p>
    <w:p w:rsidR="00530699" w:rsidRPr="005B49B1" w:rsidRDefault="00530699" w:rsidP="005306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B49B1">
        <w:rPr>
          <w:rFonts w:ascii="Times New Roman" w:hAnsi="Times New Roman" w:cs="Times New Roman"/>
          <w:strike/>
          <w:sz w:val="24"/>
          <w:szCs w:val="24"/>
        </w:rPr>
        <w:t>Art. 5º Esta Resolução passa a vigorar 365 (trezentos e sessenta e cinco) dias após a sua publicação.</w:t>
      </w:r>
    </w:p>
    <w:p w:rsidR="005B49B1" w:rsidRDefault="005B49B1" w:rsidP="0053069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30699" w:rsidRPr="005B49B1" w:rsidRDefault="00530699" w:rsidP="0053069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5B49B1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530699" w:rsidRPr="005B49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9B1" w:rsidRDefault="005B49B1" w:rsidP="005B49B1">
      <w:pPr>
        <w:spacing w:after="0" w:line="240" w:lineRule="auto"/>
      </w:pPr>
      <w:r>
        <w:separator/>
      </w:r>
    </w:p>
  </w:endnote>
  <w:endnote w:type="continuationSeparator" w:id="0">
    <w:p w:rsidR="005B49B1" w:rsidRDefault="005B49B1" w:rsidP="005B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B1" w:rsidRDefault="005B49B1" w:rsidP="005B49B1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9B1" w:rsidRDefault="005B49B1" w:rsidP="005B49B1">
      <w:pPr>
        <w:spacing w:after="0" w:line="240" w:lineRule="auto"/>
      </w:pPr>
      <w:r>
        <w:separator/>
      </w:r>
    </w:p>
  </w:footnote>
  <w:footnote w:type="continuationSeparator" w:id="0">
    <w:p w:rsidR="005B49B1" w:rsidRDefault="005B49B1" w:rsidP="005B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B1" w:rsidRDefault="005B49B1" w:rsidP="005B49B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4F9AF4D" wp14:editId="79C6DDEF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B49B1" w:rsidRPr="007C54E1" w:rsidRDefault="005B49B1" w:rsidP="005B49B1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5B49B1" w:rsidRPr="007C54E1" w:rsidRDefault="005B49B1" w:rsidP="005B49B1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5B49B1" w:rsidRDefault="005B49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83"/>
    <w:rsid w:val="001E708B"/>
    <w:rsid w:val="00530699"/>
    <w:rsid w:val="005B49B1"/>
    <w:rsid w:val="005C5994"/>
    <w:rsid w:val="007441BF"/>
    <w:rsid w:val="00786686"/>
    <w:rsid w:val="00A45E3A"/>
    <w:rsid w:val="00AA77FE"/>
    <w:rsid w:val="00B30817"/>
    <w:rsid w:val="00D621E1"/>
    <w:rsid w:val="00D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B4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9B1"/>
  </w:style>
  <w:style w:type="paragraph" w:styleId="Rodap">
    <w:name w:val="footer"/>
    <w:basedOn w:val="Normal"/>
    <w:link w:val="RodapChar"/>
    <w:uiPriority w:val="99"/>
    <w:unhideWhenUsed/>
    <w:rsid w:val="005B4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9B1"/>
  </w:style>
  <w:style w:type="paragraph" w:styleId="Textodebalo">
    <w:name w:val="Balloon Text"/>
    <w:basedOn w:val="Normal"/>
    <w:link w:val="TextodebaloChar"/>
    <w:uiPriority w:val="99"/>
    <w:semiHidden/>
    <w:unhideWhenUsed/>
    <w:rsid w:val="005B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B4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9B1"/>
  </w:style>
  <w:style w:type="paragraph" w:styleId="Rodap">
    <w:name w:val="footer"/>
    <w:basedOn w:val="Normal"/>
    <w:link w:val="RodapChar"/>
    <w:uiPriority w:val="99"/>
    <w:unhideWhenUsed/>
    <w:rsid w:val="005B4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9B1"/>
  </w:style>
  <w:style w:type="paragraph" w:styleId="Textodebalo">
    <w:name w:val="Balloon Text"/>
    <w:basedOn w:val="Normal"/>
    <w:link w:val="TextodebaloChar"/>
    <w:uiPriority w:val="99"/>
    <w:semiHidden/>
    <w:unhideWhenUsed/>
    <w:rsid w:val="005B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499DD-F656-4306-8E1D-D921A91D9324}"/>
</file>

<file path=customXml/itemProps2.xml><?xml version="1.0" encoding="utf-8"?>
<ds:datastoreItem xmlns:ds="http://schemas.openxmlformats.org/officeDocument/2006/customXml" ds:itemID="{63E9A2D2-9385-498D-93E0-E7BCAA5D9541}"/>
</file>

<file path=customXml/itemProps3.xml><?xml version="1.0" encoding="utf-8"?>
<ds:datastoreItem xmlns:ds="http://schemas.openxmlformats.org/officeDocument/2006/customXml" ds:itemID="{47C49A94-1D7D-4AA2-AC73-928EE4C4E0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2016-02-18T14:23:00Z</dcterms:created>
  <dcterms:modified xsi:type="dcterms:W3CDTF">2016-07-07T15:18:00Z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