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9B" w:rsidRDefault="00B6109B" w:rsidP="002A42EE">
      <w:pPr>
        <w:spacing w:before="120" w:after="120" w:line="240" w:lineRule="auto"/>
        <w:ind w:left="-851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303, DE 13 DE SETEMBRO DE 2019</w:t>
      </w:r>
    </w:p>
    <w:p w:rsidR="002A42EE" w:rsidRPr="008303FA" w:rsidRDefault="002A42EE" w:rsidP="002A42EE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179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16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setembro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:rsidR="00B6109B" w:rsidRPr="002A42EE" w:rsidRDefault="00B6109B" w:rsidP="00B6109B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Altera a Resolução da Diretoria Colegiada - RDC n° 255, de 10 de dezembro de 2018, que aprova e promulga o Regimento Interno da Agência Nacional de Vigilância Sanitária – Anvisa.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2A42EE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2A42EE">
        <w:rPr>
          <w:rFonts w:ascii="Times New Roman" w:hAnsi="Times New Roman"/>
          <w:sz w:val="24"/>
          <w:szCs w:val="24"/>
          <w:lang w:eastAsia="pt-BR"/>
        </w:rPr>
        <w:t>, no uso da atribuição que lhe confere o art. 15, inciso VIII da Lei nº 9.782, de 26 de janeiro de 1999, com a nova redação dada pela Lei nº 13.097, de 19 de janeiro de 2015, e conforme decisão em Circuito Deliberativo - CD - DN  388, realizado em 5 de setembro de 2019, adota a seguinte Resolução, e eu, Diretor-Presidente, determino a sua publicação: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1º A Resolução da Diretoria Colegiada - RDC nº 255, de 10 de dezembro de 2018, passa a vigorar com as seguintes alterações: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"TÍTULO II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DA ESTRUTURA ORGANIZACIONAL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Pr="00F079DD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DAS UNIDADES ORGANIZACIONAIS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F079D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4º A Agência Nacional de Vigilância Sanitária terá a seguinte estrutura organizacional:</w:t>
      </w:r>
    </w:p>
    <w:p w:rsidR="00F079DD" w:rsidRPr="002A42EE" w:rsidRDefault="00F079DD" w:rsidP="00F079D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§ 8º À Primeira Diretoria são subordinadas as seguintes unidades administrativas: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Gerência-Geral de Conhecimento, Inovação e Pesquisa: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 Gerência de Regulamentação e Controle Sanitário em Serviços de Saúde;  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 Gerência de Vigilância e Monitoramento em Serviços de Saúde; e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 Coordenação da Farmacopeia.</w:t>
      </w: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§ 9º À Segunda Diretoria são subordinadas as seguintes unidades administrativas: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Gerência-Geral de Medicamentos e Produtos Biológicos: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 Coordenação de Propriedade Intelectual;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 Coordenação de Pesquisa Clínica em Medicamentos e Produtos Biológicos;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 Coordenação de Equivalência Terapêutica; e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 Coordenação de Bula, Rotulagem, Registro Simplificado e Nome Comercial.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e) Gerência de Avaliação de Segurança e Eficácia: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1. Coordenação de Inovação Incremental.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f) Gerência de Avaliação da Qualidade de Medicamentos Sintéticos: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1. Coordenação de Registro de Insumos Farmacêuticos Ativos; e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2. Coordenação de Pós-Registro de Medicamentos de Menor Complexidade.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F079D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g) Gerência de Medicamentos Específicos, Fitoterápicos, Dinamizados,</w:t>
      </w:r>
      <w:r w:rsidR="00F079D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A42EE">
        <w:rPr>
          <w:rFonts w:ascii="Times New Roman" w:hAnsi="Times New Roman"/>
          <w:sz w:val="24"/>
          <w:szCs w:val="24"/>
          <w:lang w:eastAsia="pt-BR"/>
        </w:rPr>
        <w:t>Notificados e Gases Medicinais; e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h) Gerência de Avaliação de Produtos Biológicos.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TÍTULO VII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DAS COMPETÊNCIAS DAS DIRETORIAS E UNIDADES EXECUTIVAS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079DD">
        <w:rPr>
          <w:rFonts w:ascii="Times New Roman" w:hAnsi="Times New Roman"/>
          <w:b/>
          <w:sz w:val="24"/>
          <w:szCs w:val="24"/>
          <w:lang w:eastAsia="pt-BR"/>
        </w:rPr>
        <w:t>DA PRIMEIRA DIRETORIA</w:t>
      </w:r>
    </w:p>
    <w:p w:rsidR="00F079DD" w:rsidRPr="00F079DD" w:rsidRDefault="00F079DD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97. São competências da Primeira Diretoria: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F079DD" w:rsidRPr="002A42EE" w:rsidRDefault="00F079D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F079D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VII - formular diretrizes e estabelecer estratégias para aprimoramento do processo</w:t>
      </w:r>
      <w:r w:rsidR="00F079D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A42EE">
        <w:rPr>
          <w:rFonts w:ascii="Times New Roman" w:hAnsi="Times New Roman"/>
          <w:sz w:val="24"/>
          <w:szCs w:val="24"/>
          <w:lang w:eastAsia="pt-BR"/>
        </w:rPr>
        <w:t>de regulação de sangue, tecidos, células e órgãos para fins terapêuticos, respeitadas as competências do Ministério da Saúde;</w:t>
      </w:r>
    </w:p>
    <w:p w:rsidR="00B6109B" w:rsidRDefault="00B6109B" w:rsidP="005B104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VIII - aprovar e assegurar a ações necessárias ao fortalecimento da Farmacopeia Brasileira; e</w:t>
      </w:r>
    </w:p>
    <w:p w:rsidR="005B104D" w:rsidRPr="002A42EE" w:rsidRDefault="005B104D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B104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IX - supervisionar os processos de trabalho das unidades organizacionais subordinadas à Diretoria.</w:t>
      </w:r>
    </w:p>
    <w:p w:rsidR="005B104D" w:rsidRPr="002A42EE" w:rsidRDefault="005B104D" w:rsidP="005B104D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Seção IV</w:t>
      </w:r>
    </w:p>
    <w:p w:rsidR="005B104D" w:rsidRPr="002A42EE" w:rsidRDefault="005B104D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Gerência-Geral de Conhecimento, Inovação e Pesquisa</w:t>
      </w:r>
    </w:p>
    <w:p w:rsidR="00B6109B" w:rsidRPr="002A42EE" w:rsidRDefault="00B6109B" w:rsidP="005B104D">
      <w:pPr>
        <w:spacing w:before="100" w:beforeAutospacing="1" w:after="100" w:afterAutospacing="1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117. São competências da Gerência-Geral de Conhecimento, Inovação e Pesquisa:</w:t>
      </w: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527878" w:rsidRDefault="00527878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27878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XIII - definir e coordenar a execução da política de gestão da informação da Anvisa, estabelecendo fluxos, processos e estratégias para a organização, disseminação, geração e disponibilização das informações necessárias para a tomada de decisão na Agência;</w:t>
      </w:r>
    </w:p>
    <w:p w:rsidR="00527878" w:rsidRPr="002A42EE" w:rsidRDefault="00527878" w:rsidP="005278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27878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XIV - exercer a função de Secretaria-Executiva e propor instrumentos de gestão para os trabalhos da Comissão Científica em Vigilância Sanitária; e</w:t>
      </w:r>
    </w:p>
    <w:p w:rsidR="00527878" w:rsidRDefault="00527878" w:rsidP="005278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27878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XV - aprovar e assegurar as ações necessárias ao fortalecimento da Farmacopeia Brasileira.</w:t>
      </w:r>
    </w:p>
    <w:p w:rsidR="00527878" w:rsidRPr="002A42EE" w:rsidRDefault="00527878" w:rsidP="00527878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27878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527878" w:rsidRPr="00527878" w:rsidRDefault="00527878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Pr="00527878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27878">
        <w:rPr>
          <w:rFonts w:ascii="Times New Roman" w:hAnsi="Times New Roman"/>
          <w:b/>
          <w:sz w:val="24"/>
          <w:szCs w:val="24"/>
          <w:lang w:eastAsia="pt-BR"/>
        </w:rPr>
        <w:t>DA SEGUNDA DIRETORIA</w:t>
      </w:r>
    </w:p>
    <w:p w:rsidR="00B6109B" w:rsidRPr="002A42EE" w:rsidRDefault="00B6109B" w:rsidP="00B6109B">
      <w:pPr>
        <w:spacing w:before="100" w:beforeAutospacing="1" w:after="100" w:afterAutospacing="1" w:line="240" w:lineRule="auto"/>
        <w:ind w:left="600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125. São competências da Segunda Diretoria:</w:t>
      </w: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527878" w:rsidRDefault="00527878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27878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formular diretrizes e definir estratégias para anuência em processos de ensaios clínicos para fins de registro de medicamentos; e</w:t>
      </w:r>
    </w:p>
    <w:p w:rsidR="00527878" w:rsidRPr="002A42EE" w:rsidRDefault="00527878" w:rsidP="00527878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supervisionar os processos de trabalho das áreas subordinadas à Diretoria.</w:t>
      </w:r>
    </w:p>
    <w:p w:rsidR="00527878" w:rsidRPr="002A42EE" w:rsidRDefault="00527878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527878" w:rsidRDefault="00527878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527878" w:rsidRDefault="00527878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527878" w:rsidRDefault="00527878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527878" w:rsidRDefault="00527878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Seção II</w:t>
      </w:r>
    </w:p>
    <w:p w:rsidR="00527878" w:rsidRPr="002A42EE" w:rsidRDefault="00527878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Gerência-Geral de Medicamentos e Produtos Biológicos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130. São competências da Gerência-Geral de Medicamentos e Produtos Biológicos:</w:t>
      </w:r>
    </w:p>
    <w:p w:rsidR="002E6B1E" w:rsidRPr="002A42EE" w:rsidRDefault="002E6B1E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coordenar as unidades organizacionais responsáveis:</w:t>
      </w:r>
    </w:p>
    <w:p w:rsidR="002E6B1E" w:rsidRDefault="002E6B1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 pela regulação de insumos farmacêuticos ativos, medicamentos e de produtos biológicos;</w:t>
      </w:r>
    </w:p>
    <w:p w:rsidR="002E6B1E" w:rsidRDefault="002E6B1E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 pela anuência prévia nos pedidos de patentes de produtos e processos fabris farmacêuticos; e</w:t>
      </w:r>
    </w:p>
    <w:p w:rsidR="002E6B1E" w:rsidRDefault="002E6B1E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pela avaliação de pesquisas clínicas em medicamentos que envolvam seres humanos.</w:t>
      </w:r>
    </w:p>
    <w:p w:rsidR="002E6B1E" w:rsidRDefault="002E6B1E" w:rsidP="002E6B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para  insumos farmacêuticos ativos, medicamentos e produtos biológicos:</w:t>
      </w:r>
    </w:p>
    <w:p w:rsidR="002E6B1E" w:rsidRPr="002A42EE" w:rsidRDefault="002E6B1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 aprimorar a regulação;</w:t>
      </w:r>
    </w:p>
    <w:p w:rsidR="002E6B1E" w:rsidRPr="002A42EE" w:rsidRDefault="002E6B1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avaliar a qualidade, segurança e eficácia;</w:t>
      </w:r>
    </w:p>
    <w:p w:rsidR="002E6B1E" w:rsidRPr="002A42EE" w:rsidRDefault="002E6B1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supervisionar o registro e pós-registro; e</w:t>
      </w:r>
    </w:p>
    <w:p w:rsidR="002E6B1E" w:rsidRPr="002A42EE" w:rsidRDefault="002E6B1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 cooperar com a fiscalização, quando requerido pela área responsável.</w:t>
      </w:r>
    </w:p>
    <w:p w:rsidR="002E6B1E" w:rsidRDefault="002E6B1E" w:rsidP="002E6B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assistir ações de cooperação internacional afetas à regulação de insumos farmacêuticos ativos, medicamentos, produtos biológicos e pesquisas clínicas em medicamentos que envolvam seres humanos;</w:t>
      </w:r>
    </w:p>
    <w:p w:rsidR="002E6B1E" w:rsidRPr="002A42EE" w:rsidRDefault="002E6B1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expedir Resoluções (RE) para:</w:t>
      </w:r>
    </w:p>
    <w:p w:rsidR="002E6B1E" w:rsidRDefault="002E6B1E" w:rsidP="002E6B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2E6B1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 registro, cancelamento, renovação e pós-registro de medicamentos e produtos biológicos;</w:t>
      </w:r>
    </w:p>
    <w:p w:rsidR="002E6B1E" w:rsidRPr="002A42EE" w:rsidRDefault="002E6B1E" w:rsidP="002E6B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A26E87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anuência prévia de pedidos de patente de produtos e processos fabris farmacêuticos, depositados junto ao Instituto Nacional de Propriedade Industrial;</w:t>
      </w:r>
    </w:p>
    <w:p w:rsidR="00A26E87" w:rsidRDefault="00A26E87" w:rsidP="00A26E87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A26E87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registro, cancelamento, renovação e pós-registro de insumo farmacêutico ativo;</w:t>
      </w:r>
    </w:p>
    <w:p w:rsidR="00A26E87" w:rsidRPr="002A42EE" w:rsidRDefault="00A26E87" w:rsidP="00A26E87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 habilitação de centros de equivalência farmacêutica;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e) certificação de centros de bioequivalência; </w:t>
      </w: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f) para deferimento, indeferimento de petições passíveis de anuência de pesquisa clínica de medicamentos e produtos biológicos; e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g) decisões decorrentes do descumprimento de Boas Práticas Clínicas.</w:t>
      </w:r>
    </w:p>
    <w:p w:rsidR="00EE321C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 coordenar atividades de eleição ou exclusão de medicamento referência da lista da Anvisa;</w:t>
      </w:r>
    </w:p>
    <w:p w:rsidR="00EE321C" w:rsidRPr="002A42EE" w:rsidRDefault="00EE321C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 - supervisionar as atividades de: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 registro e pós-registro de insumos farmacêuticos ativos, medicamentos e produtos biológicos,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inspeção, habilitação e certificação de centros de equivalência farmacêutica e bioequivalência;</w:t>
      </w:r>
    </w:p>
    <w:p w:rsidR="00EE321C" w:rsidRPr="002A42EE" w:rsidRDefault="00EE321C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anuência em pesquisa clínica de medicamentos e produtos biológicos;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 inspeções em boas práticas clínicas; e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e) auditorias de registro e pós-registro de medicamentos e produtos biológicos.</w:t>
      </w:r>
    </w:p>
    <w:p w:rsidR="00EE321C" w:rsidRPr="002A42EE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EE321C" w:rsidRDefault="00EE321C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II</w:t>
      </w:r>
    </w:p>
    <w:p w:rsidR="00EE321C" w:rsidRPr="002A42EE" w:rsidRDefault="00EE321C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de Propriedade Intelectual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132. São Competências da Coordenação de Propriedade Intelectual:</w:t>
      </w:r>
    </w:p>
    <w:p w:rsidR="00EE321C" w:rsidRDefault="00EE321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manifestar-se sobre a anuência prévia de pedidos de patentes de produtos e processos fabris farmacêuticos, depositados junto ao Instituto Nacional de Propriedade Industrial, de acordo com o artigo 229-C da Lei 9.279, de 1996;</w:t>
      </w:r>
    </w:p>
    <w:p w:rsidR="00EE321C" w:rsidRDefault="00EE321C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dar suporte técnico à avaliação, formulação e implementação de políticas de propriedade intelectual para medicamentos e produtos biológicos;</w:t>
      </w:r>
    </w:p>
    <w:p w:rsidR="00EE321C" w:rsidRDefault="00EE321C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contribuir nas ações desenvolvidas nos programas nacionais de assistência farmacêutica e de medicamentos do Ministério da Saúde e suas interrelações com a propriedade intelectual;</w:t>
      </w:r>
    </w:p>
    <w:p w:rsidR="00EE321C" w:rsidRDefault="00EE321C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participar de grupos de trabalho de instituições nacionais e internacionais, relacionados à regulamentação da propriedade intelectual no âmbito das políticas nacionais de assistência farmacêutica e de medicamentos, quando da indicação da Gerência -Geral;</w:t>
      </w:r>
    </w:p>
    <w:p w:rsidR="00B6109B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VI - assessorar a gestão da propriedade intelectual das criações intelectuais da Anvisa; e</w:t>
      </w:r>
    </w:p>
    <w:p w:rsidR="00EE321C" w:rsidRDefault="00EE321C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EE321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VII - prestar assessoramento às estratégias de inteligência regulatória da Anvisa por meio de estudos das tecnologias de produtos e processos farmacêuticos e seus mercados.</w:t>
      </w:r>
    </w:p>
    <w:p w:rsidR="00B6109B" w:rsidRPr="002A42EE" w:rsidRDefault="00B6109B" w:rsidP="00827D69">
      <w:pPr>
        <w:spacing w:before="100" w:beforeAutospacing="1" w:after="100" w:afterAutospacing="1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III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Gerência de Avaliação de Segurança e Eficácia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2A42EE" w:rsidRDefault="00B6109B" w:rsidP="00B6109B">
      <w:pPr>
        <w:spacing w:before="120" w:after="120" w:line="240" w:lineRule="auto"/>
        <w:ind w:left="567" w:right="120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133. São competências da Gerência de Avaliação de Segurança e Eficácia:</w:t>
      </w:r>
    </w:p>
    <w:p w:rsidR="00B6109B" w:rsidRDefault="00B6109B" w:rsidP="0073299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avaliar a segurança e eficácia das petições de registro, renovação de registro e pós-registro de medicamentos;</w:t>
      </w:r>
    </w:p>
    <w:p w:rsidR="0073299C" w:rsidRPr="002A42EE" w:rsidRDefault="0073299C" w:rsidP="0073299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avaliar questionamentos quanto à eficácia e segurança de medicamentos;</w:t>
      </w:r>
    </w:p>
    <w:p w:rsidR="0073299C" w:rsidRPr="002A42EE" w:rsidRDefault="0073299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participar de inspeções de boas práticas clínicas; e</w:t>
      </w:r>
    </w:p>
    <w:p w:rsidR="0073299C" w:rsidRPr="002A42EE" w:rsidRDefault="0073299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prestar assistência às demais unidades organizacionais.</w:t>
      </w:r>
    </w:p>
    <w:p w:rsidR="0073299C" w:rsidRPr="002A42EE" w:rsidRDefault="0073299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VI</w:t>
      </w:r>
    </w:p>
    <w:p w:rsidR="0073299C" w:rsidRPr="002A42EE" w:rsidRDefault="0073299C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de Inovação Incremental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136. São Competências da Coordenação de Inovação Incremental, para medicamentos inovadores e inovações incrementais:</w:t>
      </w:r>
    </w:p>
    <w:p w:rsidR="0073299C" w:rsidRPr="002A42EE" w:rsidRDefault="0073299C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avaliar a segurança e eficácia das petições de registro, renovação de registro e pós-registro;</w:t>
      </w:r>
    </w:p>
    <w:p w:rsidR="0073299C" w:rsidRPr="002A42EE" w:rsidRDefault="0073299C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examinar questionamentos de eficácia e segurança;</w:t>
      </w:r>
    </w:p>
    <w:p w:rsidR="0073299C" w:rsidRPr="002A42EE" w:rsidRDefault="0073299C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participar de inspeções de boas práticas clínicas;</w:t>
      </w:r>
    </w:p>
    <w:p w:rsidR="0073299C" w:rsidRDefault="0073299C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IV- assistir às demais unidades organizacionais da Anvisa   no que se refere à avaliação de eficácia e segurança; e</w:t>
      </w:r>
    </w:p>
    <w:p w:rsidR="0073299C" w:rsidRDefault="0073299C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73299C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 assistir as demais unidades em denúncias de irregularidades na comprovação de eficácia e segurança.</w:t>
      </w:r>
    </w:p>
    <w:p w:rsidR="009F758B" w:rsidRDefault="00B6109B" w:rsidP="009F758B">
      <w:pPr>
        <w:spacing w:before="100" w:beforeAutospacing="1" w:after="100" w:afterAutospacing="1" w:line="240" w:lineRule="auto"/>
        <w:ind w:left="600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2A42EE" w:rsidRDefault="00B6109B" w:rsidP="009F758B">
      <w:pPr>
        <w:spacing w:before="100" w:beforeAutospacing="1" w:after="100" w:afterAutospacing="1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Subseção VII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Gerência de Avaliação da Qualidade de Medicamentos Sintéticos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137. São competências da Gerência de Avaliação da Qualidade de</w:t>
      </w:r>
      <w:r w:rsidR="009F758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A42EE">
        <w:rPr>
          <w:rFonts w:ascii="Times New Roman" w:hAnsi="Times New Roman"/>
          <w:sz w:val="24"/>
          <w:szCs w:val="24"/>
          <w:lang w:eastAsia="pt-BR"/>
        </w:rPr>
        <w:t>Medicamentos Sintéticos:</w:t>
      </w:r>
    </w:p>
    <w:p w:rsidR="009F758B" w:rsidRPr="002A42EE" w:rsidRDefault="009F758B" w:rsidP="009F758B">
      <w:pPr>
        <w:spacing w:after="0" w:line="240" w:lineRule="auto"/>
        <w:ind w:left="600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analisar os dados de tecnologia farmacêutica nas petições de registro, pós-registro e renovação de registro;</w:t>
      </w:r>
    </w:p>
    <w:p w:rsidR="009F758B" w:rsidRPr="002A42EE" w:rsidRDefault="009F758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realizar auditorias de registro e pós-registro;</w:t>
      </w:r>
    </w:p>
    <w:p w:rsidR="009F758B" w:rsidRPr="002A42EE" w:rsidRDefault="009F758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prestar assistência às ações de inspeções de boas práticas de fabricação;</w:t>
      </w:r>
    </w:p>
    <w:p w:rsidR="009F758B" w:rsidRDefault="009F758B" w:rsidP="009F758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assistir as demais unidades na apuração de irregularidades e denúncias no que se refere à tecnologia farmacêutica e qualidade;</w:t>
      </w:r>
    </w:p>
    <w:p w:rsidR="009F758B" w:rsidRPr="002A42EE" w:rsidRDefault="009F758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 supervisionar as ações de renovação automática e declaração de caducidade dos pós-registro; e</w:t>
      </w:r>
    </w:p>
    <w:p w:rsidR="009F758B" w:rsidRPr="002A42EE" w:rsidRDefault="009F758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 - propor a suspensão e cancelamento do registro.</w:t>
      </w:r>
    </w:p>
    <w:p w:rsidR="009F758B" w:rsidRDefault="009F758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Parágrafo único. Aplica-se aos medicamentos novos, inovadores e inovações incrementais, genéricos e similares.</w:t>
      </w: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VIII</w:t>
      </w:r>
    </w:p>
    <w:p w:rsidR="009F758B" w:rsidRPr="002A42EE" w:rsidRDefault="009F758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de Registro de Insumos Farmacêuticos Ativos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138. São competências da Coordenação de Registro de Insumos Farmacêuticos Ativo, para insumos farmacêuticos ativos:</w:t>
      </w:r>
    </w:p>
    <w:p w:rsidR="009F758B" w:rsidRPr="002A42EE" w:rsidRDefault="009F758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analisar petições de concessão de registro, renovação de registro e pós-registro;</w:t>
      </w:r>
    </w:p>
    <w:p w:rsidR="009F758B" w:rsidRPr="002A42EE" w:rsidRDefault="009F758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realizar renovação automática;</w:t>
      </w:r>
    </w:p>
    <w:p w:rsidR="009F758B" w:rsidRPr="002A42EE" w:rsidRDefault="009F758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declarar caducidade; e</w:t>
      </w:r>
    </w:p>
    <w:p w:rsidR="009F758B" w:rsidRDefault="009F758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 assistir outras unidades organizacionais em fiscalizações e inspeções de boas práticas de fabricação.</w:t>
      </w:r>
    </w:p>
    <w:p w:rsidR="009F758B" w:rsidRPr="002A42EE" w:rsidRDefault="009F758B" w:rsidP="009F758B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9F758B" w:rsidRDefault="009F758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9F758B" w:rsidRDefault="009F758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9F758B" w:rsidRDefault="009F758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Subseção XI</w:t>
      </w:r>
    </w:p>
    <w:p w:rsidR="00564EF0" w:rsidRPr="002A42EE" w:rsidRDefault="00564EF0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de Pós-Registro de Medicamentos de Menor Complexidade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141. São competências da Coordenação de Pós-Registro de Medicamentos de Menor Complexidade:</w:t>
      </w:r>
    </w:p>
    <w:p w:rsidR="00564EF0" w:rsidRPr="002A42EE" w:rsidRDefault="00564EF0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analisar as petições de pós-registro de medicamentos classificadas como de menor complexidade;</w:t>
      </w:r>
    </w:p>
    <w:p w:rsidR="00564EF0" w:rsidRPr="002A42EE" w:rsidRDefault="00564EF0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realizar auditorias de pós-registro;</w:t>
      </w:r>
    </w:p>
    <w:p w:rsidR="00564EF0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assistir as demais unidades na apuração de irregularidades e denúncias no que se refere à tecnologia farmacêutica e qualidade de petições de menor complexidade;</w:t>
      </w:r>
    </w:p>
    <w:p w:rsidR="00564EF0" w:rsidRPr="002A42EE" w:rsidRDefault="00564EF0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realizar a renovação automática e declaração de caducidade de registro; e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 manter atualizado o cadastro na base de dados.</w:t>
      </w:r>
    </w:p>
    <w:p w:rsidR="00B6109B" w:rsidRPr="002A42EE" w:rsidRDefault="00B6109B" w:rsidP="00564EF0">
      <w:pPr>
        <w:spacing w:before="100" w:beforeAutospacing="1" w:after="100" w:afterAutospacing="1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XII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Gerência de Medicamentos Específicos, Fitoterápicos, Dinamizados, Notificados e Gases Medicinais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142. São Competências da Gerência de Medicamentos Específicos, Fitoterápicos, Dinamizados, Notificados e Gases Medicinais:</w:t>
      </w:r>
    </w:p>
    <w:p w:rsidR="00564EF0" w:rsidRPr="002A42EE" w:rsidRDefault="00564EF0" w:rsidP="00564EF0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analisar petições de registro, renovação de registro e pós-registro;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realizar a renovação automática do registro;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declarar a caducidade do registro;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avaliar solicitações de habilitação de empresas;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 acompanhar as notificações de fitoterápicos, medicamentos dinamizados;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 - realizar auditorias de registro e pós-registro; e</w:t>
      </w:r>
    </w:p>
    <w:p w:rsidR="00564EF0" w:rsidRPr="002A42EE" w:rsidRDefault="00564EF0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VII - assistir as ações de fiscalização e inspeções de boas práticas de fabricação.</w:t>
      </w:r>
    </w:p>
    <w:p w:rsidR="00B6109B" w:rsidRDefault="00B6109B" w:rsidP="00B6109B">
      <w:pPr>
        <w:spacing w:before="100" w:beforeAutospacing="1" w:after="100" w:afterAutospacing="1" w:line="240" w:lineRule="auto"/>
        <w:ind w:left="600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564EF0" w:rsidRDefault="00564EF0" w:rsidP="00B6109B">
      <w:pPr>
        <w:spacing w:before="100" w:beforeAutospacing="1" w:after="100" w:afterAutospacing="1" w:line="240" w:lineRule="auto"/>
        <w:ind w:left="600"/>
        <w:rPr>
          <w:rFonts w:ascii="Times New Roman" w:hAnsi="Times New Roman"/>
          <w:sz w:val="24"/>
          <w:szCs w:val="24"/>
          <w:lang w:eastAsia="pt-BR"/>
        </w:rPr>
      </w:pPr>
    </w:p>
    <w:p w:rsidR="00564EF0" w:rsidRPr="002A42EE" w:rsidRDefault="00564EF0" w:rsidP="00B6109B">
      <w:pPr>
        <w:spacing w:before="100" w:beforeAutospacing="1" w:after="100" w:afterAutospacing="1" w:line="240" w:lineRule="auto"/>
        <w:ind w:left="600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Subseção XIII</w:t>
      </w:r>
    </w:p>
    <w:p w:rsidR="00574207" w:rsidRPr="002A42EE" w:rsidRDefault="00574207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Gerência de Avaliação de Produtos Biológicos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B6109B">
      <w:pPr>
        <w:spacing w:before="120" w:after="120" w:line="240" w:lineRule="auto"/>
        <w:ind w:left="567" w:right="120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143. São Competências da Gerência de Avaliação de Produtos Biológicos:</w:t>
      </w: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 analisar as petições de registro, renovação e pós-registro;</w:t>
      </w:r>
    </w:p>
    <w:p w:rsidR="00574207" w:rsidRPr="002A42EE" w:rsidRDefault="00574207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realizar a renovação automática de registro;</w:t>
      </w:r>
    </w:p>
    <w:p w:rsidR="00211FE9" w:rsidRPr="002A42EE" w:rsidRDefault="00211FE9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declarar a caducidade do registro;</w:t>
      </w:r>
    </w:p>
    <w:p w:rsidR="00211FE9" w:rsidRPr="002A42EE" w:rsidRDefault="00211FE9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 realizar auditorias de registro e pós-registro; e</w:t>
      </w:r>
    </w:p>
    <w:p w:rsidR="00211FE9" w:rsidRPr="002A42EE" w:rsidRDefault="00211FE9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e) assistir as ações de fiscalização e inspeções de boas práticas de fabricação.</w:t>
      </w:r>
    </w:p>
    <w:p w:rsidR="00211FE9" w:rsidRPr="002A42EE" w:rsidRDefault="00211FE9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.................” (NR) </w:t>
      </w:r>
    </w:p>
    <w:p w:rsidR="00B6109B" w:rsidRPr="002A42EE" w:rsidRDefault="00B6109B" w:rsidP="00B6109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211F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“TÍTULO VII</w:t>
      </w:r>
    </w:p>
    <w:p w:rsidR="00211FE9" w:rsidRPr="00211FE9" w:rsidRDefault="00211FE9" w:rsidP="00211F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DAS COMPETÊNCIAS DAS DIRETORIAS E UNIDADES EXECUTIVAS</w:t>
      </w:r>
    </w:p>
    <w:p w:rsidR="00211FE9" w:rsidRP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211FE9" w:rsidRP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DA PRIMEIRA DIRETORIA</w:t>
      </w:r>
    </w:p>
    <w:p w:rsid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Pr="00211FE9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...............</w:t>
      </w:r>
    </w:p>
    <w:p w:rsid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211FE9" w:rsidRP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Da Gerência-Geral de Conhecimento, Inovação e Pesquisa</w:t>
      </w:r>
    </w:p>
    <w:p w:rsidR="00211FE9" w:rsidRP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Pr="00211FE9" w:rsidRDefault="00B6109B" w:rsidP="00211FE9">
      <w:pPr>
        <w:spacing w:after="0" w:line="240" w:lineRule="auto"/>
        <w:ind w:left="60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11FE9">
        <w:rPr>
          <w:rFonts w:ascii="Times New Roman" w:hAnsi="Times New Roman"/>
          <w:b/>
          <w:sz w:val="24"/>
          <w:szCs w:val="24"/>
          <w:lang w:eastAsia="pt-BR"/>
        </w:rPr>
        <w:t>...............</w:t>
      </w:r>
    </w:p>
    <w:p w:rsidR="00211FE9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III</w:t>
      </w:r>
    </w:p>
    <w:p w:rsidR="00211FE9" w:rsidRPr="002A42EE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da Farmacopeia</w:t>
      </w:r>
    </w:p>
    <w:p w:rsidR="00211FE9" w:rsidRPr="002A42EE" w:rsidRDefault="00211FE9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CB157E" w:rsidRDefault="00B6109B" w:rsidP="00CB157E">
      <w:pPr>
        <w:spacing w:before="120" w:after="120" w:line="240" w:lineRule="auto"/>
        <w:ind w:right="120" w:firstLine="600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Art.119-A. São Competências da Coordenação da Farmacopeia:</w:t>
      </w:r>
    </w:p>
    <w:p w:rsidR="00B6109B" w:rsidRPr="002A42EE" w:rsidRDefault="00B6109B" w:rsidP="00CB157E">
      <w:pPr>
        <w:spacing w:before="120" w:after="120" w:line="240" w:lineRule="auto"/>
        <w:ind w:right="120"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assessorar à diretoria da Anvisa nas ações da Comissão da Farmacopeia Brasileira;</w:t>
      </w:r>
    </w:p>
    <w:p w:rsidR="00B6109B" w:rsidRDefault="00B6109B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prestar assistência aos Comitês Técnicos Temáticos da Comissão da Farmacopeia Brasileira;</w:t>
      </w:r>
    </w:p>
    <w:p w:rsidR="00CB157E" w:rsidRDefault="00CB157E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III - publicar decisões e atos normativos emanados da Comissão da Farmacopeia Brasileira;</w:t>
      </w:r>
    </w:p>
    <w:p w:rsidR="00CB157E" w:rsidRDefault="00CB157E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IV - propor diretrizes e procedimentos para os produtos da Comissão da Farmacopeia Brasileira; e</w:t>
      </w:r>
    </w:p>
    <w:p w:rsidR="00CB157E" w:rsidRPr="002A42EE" w:rsidRDefault="00CB157E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 cooperar nas ações de vigilância sanitária.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CB157E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B157E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CB157E" w:rsidRPr="00CB157E" w:rsidRDefault="00CB157E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B157E">
        <w:rPr>
          <w:rFonts w:ascii="Times New Roman" w:hAnsi="Times New Roman"/>
          <w:b/>
          <w:sz w:val="24"/>
          <w:szCs w:val="24"/>
          <w:lang w:eastAsia="pt-BR"/>
        </w:rPr>
        <w:t>DA SEGUNDA DIRETORIA</w:t>
      </w:r>
    </w:p>
    <w:p w:rsidR="00CB157E" w:rsidRPr="00CB157E" w:rsidRDefault="00CB157E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B157E">
        <w:rPr>
          <w:rFonts w:ascii="Times New Roman" w:hAnsi="Times New Roman"/>
          <w:b/>
          <w:sz w:val="24"/>
          <w:szCs w:val="24"/>
          <w:lang w:eastAsia="pt-BR"/>
        </w:rPr>
        <w:t>...............</w:t>
      </w:r>
    </w:p>
    <w:p w:rsidR="00CB157E" w:rsidRDefault="00CB157E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Default="00B6109B" w:rsidP="00CB157E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I-A</w:t>
      </w:r>
    </w:p>
    <w:p w:rsidR="00CB157E" w:rsidRPr="002A42EE" w:rsidRDefault="00CB157E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de Pesquisa Clínica em Medicamentos e Produtos Biológicos</w:t>
      </w: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130-A. São Competências da Coordenação de Pesquisa Clínica em Medicamentos e Produtos Biológicos:</w:t>
      </w:r>
    </w:p>
    <w:p w:rsidR="00CB157E" w:rsidRDefault="00CB157E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em pesquisas clínicas de medicamentos e produtos biológicos:</w:t>
      </w:r>
    </w:p>
    <w:p w:rsidR="00CB157E" w:rsidRPr="002A42EE" w:rsidRDefault="00CB157E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 avaliar petições;</w:t>
      </w:r>
    </w:p>
    <w:p w:rsidR="00CB157E" w:rsidRPr="002A42EE" w:rsidRDefault="00CB157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realizar inspeções de boas práticas clínicas e ações decorrentes;</w:t>
      </w:r>
    </w:p>
    <w:p w:rsidR="00CB157E" w:rsidRPr="002A42EE" w:rsidRDefault="00CB157E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prestar assistência em denúncias de irregularidades; e</w:t>
      </w:r>
    </w:p>
    <w:p w:rsidR="00CB157E" w:rsidRDefault="00CB157E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CB157E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avaliar solicitações dos programa de acesso expandido, uso compassivo e fornecimento pós estudo de medicamentos.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I-B</w:t>
      </w:r>
    </w:p>
    <w:p w:rsidR="00157EA4" w:rsidRPr="002A42EE" w:rsidRDefault="00157EA4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 Coordenação de Equivalência Terapêutica</w:t>
      </w:r>
    </w:p>
    <w:p w:rsidR="00157EA4" w:rsidRDefault="00B6109B" w:rsidP="00157EA4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130-B. São Competências da Coordenação de Equivalência Terapêutica:</w:t>
      </w:r>
    </w:p>
    <w:p w:rsidR="00157EA4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avaliar protocolos e estudos de biodisponibilidade relativa, bioequivalência e bioisenção para   fins de registro, renovação de registro e pós-registro de medicamentos;</w:t>
      </w:r>
    </w:p>
    <w:p w:rsidR="00157EA4" w:rsidRPr="002A42EE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avaliar estudos farmacocinéticos de medicamento biológicos; 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III - avaliar estudos de interação farmacocinética;</w:t>
      </w: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IV - analisar petições de certificação de Boas Práticas em Biodisponibilidade/Bioequivalência para   os Centros de Bioequivalência e de habilitação para Centros de Equivalência Farmacêutica;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 - monitorar a participação de voluntários na fase clínica referente aos estudos farmacodinâmicos e de bioequivalência/biodisponibilidade;</w:t>
      </w:r>
    </w:p>
    <w:p w:rsidR="00157EA4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 - gerenciar o Sistema de Informações de Estudos de Equivalência Farmacêutica e Bioequivalência;</w:t>
      </w:r>
    </w:p>
    <w:p w:rsidR="00157EA4" w:rsidRPr="002A42EE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VII - em Centros de Bioequivalência e Equivalência Farmacêutica: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 realizar inspeção; e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 avaliar denúncias sobre a qualidade nos estudos desenvolvidos.</w:t>
      </w:r>
    </w:p>
    <w:p w:rsidR="00157EA4" w:rsidRDefault="00157EA4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Subseção I-C</w:t>
      </w:r>
    </w:p>
    <w:p w:rsidR="00157EA4" w:rsidRPr="002A42EE" w:rsidRDefault="00157EA4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Da Coordenação de Registro Simplificado de Medicamentos, Bula, Rotulagem e Nome Comercial</w:t>
      </w:r>
    </w:p>
    <w:p w:rsidR="00B6109B" w:rsidRPr="002A42EE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130-C.  São Competências da Coordenação de Bula, Rotulagem, Registro Simplificado e Nome Comercial:</w:t>
      </w:r>
    </w:p>
    <w:p w:rsidR="00157EA4" w:rsidRPr="002A42EE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 - para  medicamentos genéricos, similares, específicos, fitoterápicos e biológicos cujas petições são classificadas como de procedimento simplificado:</w:t>
      </w:r>
    </w:p>
    <w:p w:rsidR="00157EA4" w:rsidRPr="002A42EE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  avaliar petições;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 realizar auditorias de registro;</w:t>
      </w:r>
    </w:p>
    <w:p w:rsidR="00157EA4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c)  prestar assistência técnica frente às irregularidades, denúncias de falta de qualidade; e</w:t>
      </w:r>
    </w:p>
    <w:p w:rsidR="00157EA4" w:rsidRPr="002A42EE" w:rsidRDefault="00157EA4" w:rsidP="00157EA4">
      <w:pPr>
        <w:spacing w:after="0" w:line="240" w:lineRule="auto"/>
        <w:ind w:firstLine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d)  prestar assistência às ações de inspeções de boas práticas de fabricação;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II - para bulas, rotulagem e definição de nome comercial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a)  analisar petições para fins de registro e pós-registro; e</w:t>
      </w:r>
    </w:p>
    <w:p w:rsidR="00157EA4" w:rsidRPr="002A42EE" w:rsidRDefault="00157EA4" w:rsidP="00B6109B">
      <w:pPr>
        <w:spacing w:after="0" w:line="240" w:lineRule="auto"/>
        <w:ind w:left="60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157EA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b)  prestar assistência técnica frente às irregularidades e denúncias sobre bula, rotulagem e nome comercial.</w:t>
      </w:r>
    </w:p>
    <w:p w:rsidR="00B6109B" w:rsidRPr="002A42EE" w:rsidRDefault="00B6109B" w:rsidP="00B6109B">
      <w:pPr>
        <w:spacing w:after="0" w:line="240" w:lineRule="auto"/>
        <w:ind w:left="60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157EA4" w:rsidRDefault="00157EA4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Art. 2º Os Anexos II e III da Resolução da Diretoria Colegiada - RDC nº 255, de 2018, passam a vigorar na forma do Anexo a esta Resolução.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3º Ficam revogados os arts. 131, 134, 135, 139 e 140 do Anexo I da Resolução da Diretoria Colegiada - RDC nº 255, de 10 de dezembro de 2018, republicada no Diário Oficial da União de 27 de dezembro de 2018. 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B6109B" w:rsidRPr="002A42EE" w:rsidRDefault="00B6109B" w:rsidP="00B610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Art. 4º Esta Resolução entra em vigor na data de sua publicação.</w:t>
      </w:r>
    </w:p>
    <w:p w:rsidR="00B6109B" w:rsidRPr="002A42EE" w:rsidRDefault="00B6109B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:rsidR="00157EA4" w:rsidRPr="002A42EE" w:rsidRDefault="00157EA4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B6109B" w:rsidRPr="002A42EE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</w:p>
    <w:p w:rsidR="00B6109B" w:rsidRPr="002A42EE" w:rsidRDefault="00B6109B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 </w:t>
      </w:r>
    </w:p>
    <w:p w:rsidR="002A42EE" w:rsidRDefault="002A42EE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before="15" w:after="15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57EA4" w:rsidRDefault="00157EA4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6109B" w:rsidRPr="00157EA4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9642E">
        <w:rPr>
          <w:rFonts w:ascii="Times New Roman" w:hAnsi="Times New Roman"/>
          <w:b/>
          <w:sz w:val="24"/>
          <w:szCs w:val="24"/>
          <w:lang w:eastAsia="pt-BR"/>
        </w:rPr>
        <w:lastRenderedPageBreak/>
        <w:t>ANEXO</w:t>
      </w:r>
    </w:p>
    <w:p w:rsidR="00B6109B" w:rsidRPr="00157EA4" w:rsidRDefault="00B6109B" w:rsidP="00B610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7EA4">
        <w:rPr>
          <w:rFonts w:ascii="Times New Roman" w:hAnsi="Times New Roman"/>
          <w:b/>
          <w:sz w:val="24"/>
          <w:szCs w:val="24"/>
          <w:lang w:eastAsia="pt-BR"/>
        </w:rPr>
        <w:t>"Anexo II </w:t>
      </w:r>
    </w:p>
    <w:p w:rsidR="00B6109B" w:rsidRDefault="00B6109B" w:rsidP="00157EA4">
      <w:pPr>
        <w:spacing w:after="0" w:line="240" w:lineRule="auto"/>
        <w:ind w:left="-284" w:right="-285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(Anexo II da Resolução da Diretoria Colegiada-RDC nº 255, de 10 de dezembro de 2018)</w:t>
      </w:r>
    </w:p>
    <w:p w:rsidR="00157EA4" w:rsidRPr="002A42EE" w:rsidRDefault="00157EA4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836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1124"/>
        <w:gridCol w:w="564"/>
        <w:gridCol w:w="990"/>
        <w:gridCol w:w="390"/>
        <w:gridCol w:w="1290"/>
        <w:gridCol w:w="390"/>
        <w:gridCol w:w="1290"/>
        <w:gridCol w:w="390"/>
        <w:gridCol w:w="1290"/>
      </w:tblGrid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gridSpan w:val="10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Quadro de Cargos aprovado pela lei de criação da Agência</w:t>
            </w:r>
          </w:p>
        </w:tc>
      </w:tr>
      <w:tr w:rsidR="00B6109B" w:rsidRPr="002A42EE" w:rsidTr="00157EA4">
        <w:trPr>
          <w:trHeight w:val="458"/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Nível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Situação Lei 9986/2000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Situação Anterior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Situação Nova</w:t>
            </w:r>
          </w:p>
        </w:tc>
      </w:tr>
      <w:tr w:rsidR="00B6109B" w:rsidRPr="002A42EE" w:rsidTr="00157EA4">
        <w:trPr>
          <w:trHeight w:val="458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Grupo I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Direção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CD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CD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16.560,54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66.242,16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66.242,16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66.242,16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Executiva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15.688,92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78.444,60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125.511,36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125.511,36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13.945,71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292.859,91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251.022,78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251.022,78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13.074,10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627.556,80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8.716,06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374.790,58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366.074,52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Assessoria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13.945,71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97.619,97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97.619,97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CA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13.074,10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65.370,50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130.741,00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130.741,00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CA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3.639,84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10.919,52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10.919,52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CAS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2.753,42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2.753,42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2.753,42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CAS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2.386,29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9.545,16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7.158,87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7.158,87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Subtotal G-I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1.157.451,28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1.084.191,81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1.075.475,75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Grupo II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3.314,30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139.200,60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228.686,70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232.001,00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2.421,96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140.473,68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198.600,72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208.288,56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1.228,94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82.338,98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66.362,76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71.278,52</w:t>
            </w:r>
          </w:p>
        </w:tc>
      </w:tr>
      <w:tr w:rsidR="00B6109B" w:rsidRPr="002A42EE" w:rsidTr="00157EA4">
        <w:trPr>
          <w:trHeight w:val="54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1.083,38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86.670,40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86.670,40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76.919,98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959,29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145.812,08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87.295,39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87.295,39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Subtotal G-II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594.495,74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667.615,97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675.783,45</w:t>
            </w:r>
          </w:p>
        </w:tc>
      </w:tr>
      <w:tr w:rsidR="00B6109B" w:rsidRPr="002A42EE" w:rsidTr="00157EA4">
        <w:trPr>
          <w:trHeight w:val="270"/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1.751.947,02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1.751.807,78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1.751.259,20</w:t>
            </w:r>
          </w:p>
        </w:tc>
      </w:tr>
    </w:tbl>
    <w:p w:rsidR="00B6109B" w:rsidRPr="002A42EE" w:rsidRDefault="00B6109B" w:rsidP="00B6109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lastRenderedPageBreak/>
        <w:t>......”</w:t>
      </w:r>
      <w:r w:rsidR="0069642E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A42EE">
        <w:rPr>
          <w:rFonts w:ascii="Times New Roman" w:hAnsi="Times New Roman"/>
          <w:sz w:val="24"/>
          <w:szCs w:val="24"/>
          <w:lang w:eastAsia="pt-BR"/>
        </w:rPr>
        <w:t>(NR)</w:t>
      </w:r>
    </w:p>
    <w:p w:rsidR="00B6109B" w:rsidRPr="002A42EE" w:rsidRDefault="00B6109B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“Anexo III </w:t>
      </w:r>
    </w:p>
    <w:p w:rsidR="00B6109B" w:rsidRPr="002A42EE" w:rsidRDefault="00B6109B" w:rsidP="00C54059">
      <w:pPr>
        <w:spacing w:after="0" w:line="240" w:lineRule="auto"/>
        <w:ind w:left="-426" w:right="-285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(Anexo III da Resolução da Diretoria Colegiada-RDC nº 255, de 10 de dezembro de 2018)</w:t>
      </w:r>
    </w:p>
    <w:p w:rsidR="00B6109B" w:rsidRDefault="00B6109B" w:rsidP="00B6109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A42EE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p w:rsidR="00C54059" w:rsidRPr="002A42EE" w:rsidRDefault="00C54059" w:rsidP="00B610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75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2044"/>
        <w:gridCol w:w="871"/>
        <w:gridCol w:w="1677"/>
        <w:gridCol w:w="1844"/>
        <w:gridCol w:w="871"/>
      </w:tblGrid>
      <w:tr w:rsidR="00B6109B" w:rsidRPr="002A42EE" w:rsidTr="00C54059">
        <w:trPr>
          <w:trHeight w:val="420"/>
          <w:tblCellSpacing w:w="0" w:type="dxa"/>
          <w:jc w:val="center"/>
        </w:trPr>
        <w:tc>
          <w:tcPr>
            <w:tcW w:w="2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QUANTIDADE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CARGO</w:t>
            </w:r>
          </w:p>
        </w:tc>
      </w:tr>
    </w:tbl>
    <w:p w:rsidR="00B6109B" w:rsidRPr="002A42EE" w:rsidRDefault="00B6109B" w:rsidP="00B6109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2032"/>
        <w:gridCol w:w="852"/>
        <w:gridCol w:w="723"/>
        <w:gridCol w:w="1871"/>
        <w:gridCol w:w="756"/>
      </w:tblGrid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7.4.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Gerência-Geral de Conhecimento, Inovação e Pesquisa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GGCIP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Gerente-Geral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B6109B" w:rsidRPr="002A42EE" w:rsidTr="00B6109B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7.4.1.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Gestão da Transparência e Acesso à Informação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CGTAI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7.4.2.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 de Gestão Documental e Memória Corporativa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Gedoc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7.4.3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da Farmacopeia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Cofar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</w:tbl>
    <w:p w:rsidR="00B6109B" w:rsidRPr="002A42EE" w:rsidRDefault="00B6109B" w:rsidP="00B6109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992"/>
        <w:gridCol w:w="852"/>
        <w:gridCol w:w="883"/>
        <w:gridCol w:w="1869"/>
        <w:gridCol w:w="818"/>
      </w:tblGrid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8.1.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Gerência-Geral de Alimentos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GGALI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Gerente-Geral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</w:tbl>
    <w:p w:rsidR="00B6109B" w:rsidRPr="002A42EE" w:rsidRDefault="00B6109B" w:rsidP="00B6109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66"/>
        <w:gridCol w:w="937"/>
        <w:gridCol w:w="653"/>
        <w:gridCol w:w="1774"/>
        <w:gridCol w:w="724"/>
      </w:tblGrid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8.2.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Gerência-Geral de Medicamentos e Produtos Biológicos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GGMED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Gerente-Geral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8.2.1.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Propriedade Intelectual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COOPI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8.2.2.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Pesquisa Clínica em Medicamentos e Produtos Biológicos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Copec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B6109B" w:rsidRPr="002A42EE" w:rsidTr="00B6109B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8.2.3.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Bula, Rotulagem, Registro Simplificado e Nome Comercial - CBRES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CBRES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8.2.4.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 de Avaliação de Segurança e Eficácia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Gesef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8.2.4.1.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Equivalência Terapêutica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Ceter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8.2.4.2.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Inovação Incremental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COINC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8.2.5.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 de Avaliação da Qualidade de Medicamentos Sintéticos - GQMED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GQMED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  <w:p w:rsidR="00577007" w:rsidRDefault="00577007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:rsidR="00577007" w:rsidRDefault="00577007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:rsidR="00577007" w:rsidRDefault="00577007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:rsidR="00577007" w:rsidRDefault="00577007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:rsidR="00577007" w:rsidRPr="002A42EE" w:rsidRDefault="00577007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CCT </w:t>
            </w: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8.2.5.1.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Registro de Insumos Farmacêuticos Ativos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Coifa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B6109B" w:rsidRPr="002A42EE" w:rsidTr="00B6109B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8.2.5.2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Pós-Registro de Medicamentos de Menor Complexidade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CPMEC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B6109B" w:rsidRPr="002A42EE" w:rsidTr="00B6109B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8.2.6.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 de Medicamentos Específicos, Fitoterápicos, Dinamizados, Notificados e Gases Medicinais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GMESP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8.2.7.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Gerência de Avaliação de Produtos Biológicos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GPBIO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B6109B" w:rsidRPr="002A42EE" w:rsidTr="00B6109B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6109B" w:rsidRPr="002A42EE" w:rsidRDefault="00B6109B" w:rsidP="00B610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A42EE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</w:tbl>
    <w:p w:rsidR="00B6109B" w:rsidRPr="002A42EE" w:rsidRDefault="00B6109B" w:rsidP="00B6109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A42EE">
        <w:rPr>
          <w:rFonts w:ascii="Times New Roman" w:hAnsi="Times New Roman"/>
          <w:sz w:val="24"/>
          <w:szCs w:val="24"/>
          <w:lang w:eastAsia="pt-BR"/>
        </w:rPr>
        <w:t>......"(NR)</w:t>
      </w:r>
    </w:p>
    <w:p w:rsidR="004847C8" w:rsidRPr="002A42EE" w:rsidRDefault="004847C8" w:rsidP="00B6109B">
      <w:pPr>
        <w:rPr>
          <w:rFonts w:ascii="Times New Roman" w:hAnsi="Times New Roman"/>
          <w:sz w:val="24"/>
          <w:szCs w:val="24"/>
        </w:rPr>
      </w:pPr>
    </w:p>
    <w:sectPr w:rsidR="004847C8" w:rsidRPr="002A42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A28" w:rsidRDefault="00691A28" w:rsidP="00B6109B">
      <w:pPr>
        <w:spacing w:after="0" w:line="240" w:lineRule="auto"/>
      </w:pPr>
      <w:r>
        <w:separator/>
      </w:r>
    </w:p>
  </w:endnote>
  <w:endnote w:type="continuationSeparator" w:id="0">
    <w:p w:rsidR="00691A28" w:rsidRDefault="00691A28" w:rsidP="00B6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DD" w:rsidRDefault="00F079D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2EE" w:rsidRPr="009218C5" w:rsidRDefault="002A42EE" w:rsidP="002A42EE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2A42EE" w:rsidRDefault="002A42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DD" w:rsidRDefault="00F079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A28" w:rsidRDefault="00691A28" w:rsidP="00B6109B">
      <w:pPr>
        <w:spacing w:after="0" w:line="240" w:lineRule="auto"/>
      </w:pPr>
      <w:r>
        <w:separator/>
      </w:r>
    </w:p>
  </w:footnote>
  <w:footnote w:type="continuationSeparator" w:id="0">
    <w:p w:rsidR="00691A28" w:rsidRDefault="00691A28" w:rsidP="00B6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DD" w:rsidRDefault="00F079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2EE" w:rsidRPr="0018049F" w:rsidRDefault="00691A28" w:rsidP="002A42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C0F07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A42EE" w:rsidRPr="0018049F" w:rsidRDefault="002A42EE" w:rsidP="002A42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A42EE" w:rsidRDefault="002A42EE" w:rsidP="002A42E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2A42EE" w:rsidRDefault="002A42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DD" w:rsidRDefault="00F079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09B"/>
    <w:rsid w:val="00157EA4"/>
    <w:rsid w:val="0018049F"/>
    <w:rsid w:val="00211FE9"/>
    <w:rsid w:val="00217DDA"/>
    <w:rsid w:val="00284792"/>
    <w:rsid w:val="002A42EE"/>
    <w:rsid w:val="002E6B1E"/>
    <w:rsid w:val="003C0F07"/>
    <w:rsid w:val="004847C8"/>
    <w:rsid w:val="004F65F1"/>
    <w:rsid w:val="00527878"/>
    <w:rsid w:val="00564EF0"/>
    <w:rsid w:val="00574207"/>
    <w:rsid w:val="00577007"/>
    <w:rsid w:val="005B104D"/>
    <w:rsid w:val="00602B59"/>
    <w:rsid w:val="0065206E"/>
    <w:rsid w:val="00691A28"/>
    <w:rsid w:val="0069642E"/>
    <w:rsid w:val="0073299C"/>
    <w:rsid w:val="00827D69"/>
    <w:rsid w:val="008303FA"/>
    <w:rsid w:val="008418AC"/>
    <w:rsid w:val="009218C5"/>
    <w:rsid w:val="009F758B"/>
    <w:rsid w:val="00A26E87"/>
    <w:rsid w:val="00B14744"/>
    <w:rsid w:val="00B6109B"/>
    <w:rsid w:val="00C54059"/>
    <w:rsid w:val="00CB157E"/>
    <w:rsid w:val="00EE321C"/>
    <w:rsid w:val="00F079DD"/>
    <w:rsid w:val="00F10D72"/>
    <w:rsid w:val="00FE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7E903FD7-7A30-4D7F-9990-51E85B80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B6109B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B6109B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negrito">
    <w:name w:val="texto_centralizado_maiusculas_negrito"/>
    <w:basedOn w:val="Normal"/>
    <w:rsid w:val="00B6109B"/>
    <w:pPr>
      <w:spacing w:before="100" w:beforeAutospacing="1" w:after="100" w:afterAutospacing="1" w:line="240" w:lineRule="auto"/>
      <w:jc w:val="center"/>
    </w:pPr>
    <w:rPr>
      <w:rFonts w:ascii="Calibri" w:hAnsi="Calibri" w:cs="Calibri"/>
      <w:b/>
      <w:bCs/>
      <w:caps/>
      <w:sz w:val="26"/>
      <w:szCs w:val="26"/>
      <w:lang w:eastAsia="pt-BR"/>
    </w:rPr>
  </w:style>
  <w:style w:type="paragraph" w:customStyle="1" w:styleId="textojustificado">
    <w:name w:val="texto_justificado"/>
    <w:basedOn w:val="Normal"/>
    <w:rsid w:val="00B6109B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B6109B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109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610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109B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A4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A42E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2A4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2A42E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2A42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A4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0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2938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Paulo Jose Goncalves Ferreira</cp:lastModifiedBy>
  <cp:revision>2</cp:revision>
  <dcterms:created xsi:type="dcterms:W3CDTF">2019-09-23T11:51:00Z</dcterms:created>
  <dcterms:modified xsi:type="dcterms:W3CDTF">2019-09-23T11:51:00Z</dcterms:modified>
</cp:coreProperties>
</file>