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A7" w:rsidRPr="00C1504B" w:rsidRDefault="00B078B6" w:rsidP="00B078B6">
      <w:pPr>
        <w:pStyle w:val="NormalWeb"/>
        <w:spacing w:before="0" w:beforeAutospacing="0" w:after="0" w:afterAutospacing="0"/>
        <w:ind w:left="-567" w:right="-943" w:firstLine="567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C1504B">
        <w:rPr>
          <w:rFonts w:ascii="Times New Roman" w:hAnsi="Times New Roman" w:cs="Times New Roman"/>
          <w:b/>
          <w:sz w:val="22"/>
          <w:szCs w:val="22"/>
        </w:rPr>
        <w:t>RESOLUÇÃO DA DIRETORIA COLEGIADA– RDC Nº 306, DE 14 DE NOVEMBRO DE 2002</w:t>
      </w:r>
    </w:p>
    <w:p w:rsidR="00B078B6" w:rsidRPr="00C1504B" w:rsidRDefault="00B078B6" w:rsidP="00B078B6">
      <w:pPr>
        <w:pStyle w:val="NormalWeb"/>
        <w:spacing w:before="0" w:beforeAutospacing="0" w:after="0" w:afterAutospacing="0"/>
        <w:ind w:left="-567" w:right="-943" w:firstLine="567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B078B6" w:rsidRPr="00C1504B" w:rsidRDefault="00B078B6" w:rsidP="00B078B6">
      <w:pPr>
        <w:pStyle w:val="NormalWeb"/>
        <w:spacing w:before="0" w:beforeAutospacing="0" w:after="0" w:afterAutospacing="0"/>
        <w:ind w:left="-567" w:right="-943" w:firstLine="567"/>
        <w:jc w:val="center"/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C1504B">
        <w:rPr>
          <w:rFonts w:ascii="Times New Roman" w:hAnsi="Times New Roman" w:cs="Times New Roman"/>
          <w:b/>
          <w:color w:val="0000FF"/>
          <w:sz w:val="22"/>
          <w:szCs w:val="22"/>
        </w:rPr>
        <w:t>(Publicada no DOU nº 222, de 18 de novembro de 2002)</w:t>
      </w:r>
    </w:p>
    <w:p w:rsidR="00F11EDA" w:rsidRPr="00C1504B" w:rsidRDefault="00F11EDA" w:rsidP="00B078B6">
      <w:pPr>
        <w:pStyle w:val="NormalWeb"/>
        <w:spacing w:before="0" w:beforeAutospacing="0" w:after="0" w:afterAutospacing="0"/>
        <w:ind w:left="-567" w:right="-943" w:firstLine="567"/>
        <w:jc w:val="center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:rsidR="00F11EDA" w:rsidRPr="00C1504B" w:rsidRDefault="00F11EDA" w:rsidP="00B078B6">
      <w:pPr>
        <w:pStyle w:val="NormalWeb"/>
        <w:spacing w:before="0" w:beforeAutospacing="0" w:after="0" w:afterAutospacing="0"/>
        <w:ind w:left="-567" w:right="-943" w:firstLine="567"/>
        <w:jc w:val="center"/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C1504B">
        <w:rPr>
          <w:rFonts w:ascii="Times New Roman" w:hAnsi="Times New Roman" w:cs="Times New Roman"/>
          <w:b/>
          <w:color w:val="0000FF"/>
          <w:sz w:val="22"/>
          <w:szCs w:val="22"/>
        </w:rPr>
        <w:t>(Revogada pela Resolução – RDC nº 68, de 28 de março de 2003)</w:t>
      </w:r>
    </w:p>
    <w:p w:rsidR="00B520A7" w:rsidRPr="00C1504B" w:rsidRDefault="00B520A7" w:rsidP="00B078B6">
      <w:pPr>
        <w:pStyle w:val="NormalWeb"/>
        <w:spacing w:before="0" w:beforeAutospacing="0" w:after="0" w:afterAutospacing="0"/>
        <w:ind w:right="-943" w:firstLine="567"/>
        <w:jc w:val="both"/>
        <w:rPr>
          <w:rFonts w:ascii="Times New Roman" w:hAnsi="Times New Roman" w:cs="Times New Roman"/>
        </w:rPr>
      </w:pPr>
    </w:p>
    <w:p w:rsidR="00B520A7" w:rsidRPr="00C1504B" w:rsidRDefault="00B520A7" w:rsidP="00B078B6">
      <w:pPr>
        <w:ind w:left="5103"/>
        <w:jc w:val="both"/>
        <w:rPr>
          <w:strike/>
        </w:rPr>
      </w:pPr>
      <w:r w:rsidRPr="00C1504B">
        <w:rPr>
          <w:strike/>
        </w:rPr>
        <w:t>Estabelece condições para importação, comercialização, exposição ao consumo dos produtos incluídos na RDC nº 305, de 14 de novembro de 2002.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 xml:space="preserve">A </w:t>
      </w:r>
      <w:r w:rsidRPr="00C1504B">
        <w:rPr>
          <w:b/>
          <w:strike/>
        </w:rPr>
        <w:t>Diretoria Colegiada da Agência Nacional de Vigilância Sanitária</w:t>
      </w:r>
      <w:r w:rsidRPr="00C1504B">
        <w:rPr>
          <w:strike/>
        </w:rPr>
        <w:t>, no uso da atribuição que lhe confere o art. 11, inciso IV, do Regulamento da ANVISA, aprovado pelo Decreto nº 3.029, de 16 de abril de 1999, c/c o § 1º do art. 111, do Regimento Interno aprovado pela Portaria nº 593, de 25 de agosto de 2000, republicada em 22 de dezembro de 2000, em reunião realizada em 5 de novembro de 2002,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as recomendações da Organização Mundial de Saúde (OMS) sobre a prevenção das encefalopatias espongiformes transmissíveis</w:t>
      </w:r>
      <w:r w:rsidR="00215384" w:rsidRPr="00C1504B">
        <w:rPr>
          <w:strike/>
        </w:rPr>
        <w:t xml:space="preserve"> </w:t>
      </w:r>
      <w:r w:rsidRPr="00C1504B">
        <w:rPr>
          <w:strike/>
        </w:rPr>
        <w:t>(EETs);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 necessidade de padronizar dados sobre matéria-prima definida no Decreto nº 3.961, de 10 de outubro de 2001;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 necessidade de informação sobre componentes de produtos para uso em seres humanos;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também o disposto na RDC nº 305, de 14 de novembro de 2002;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 necessidade de promover a fiscalização sanitária da importação de mercadorias de que trata a RDC nº 305, de 14 de novembro de 2002.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 necessidade de garantir a introdução no território nacional de mercadorias importadas que atendam aos padrões de identidade e qualidade exigidos pela legislação sanitária vigente;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considerando a necessidade de estabelecer procedimentos a serem cumpridos pelos importadores no tocante à importação de mercadorias de que trata a RDC nº 305, de 14 de novembro de 2002;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considerando a necessidade de uniformizar procedimentos de fiscalização sanitária relativos à internalização no território nacional, de mercadorias importadas;</w:t>
      </w:r>
    </w:p>
    <w:p w:rsidR="00215384" w:rsidRPr="00C1504B" w:rsidRDefault="00215384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lastRenderedPageBreak/>
        <w:t>Adotou a seguinte Resolução da Diretoria Colegiada e eu, Diretor Presidente-Substituto, determino a sua publicação:</w:t>
      </w:r>
    </w:p>
    <w:p w:rsidR="00215384" w:rsidRPr="00C1504B" w:rsidRDefault="00215384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Art. 1º Para o cumprimento do art. 2º da RDC nº 305, de 14 de novembro de 2002, é obrigatória a apresentação das informações conforme disposto no anexo desta Resolução,</w:t>
      </w:r>
      <w:r w:rsidR="00E25FD2" w:rsidRPr="00C1504B">
        <w:rPr>
          <w:strike/>
        </w:rPr>
        <w:t xml:space="preserve"> </w:t>
      </w:r>
      <w:r w:rsidRPr="00C1504B">
        <w:rPr>
          <w:strike/>
        </w:rPr>
        <w:t>quanto ao ingresso, à comercialização e à exposição ao consumo, dos produtos (acabados, semi-elaborados ou a granel) para uso em seres humanos, contendo matéria-prima cujo material de partida seja obtido a partir de tecidos/fluidos de animais ruminantes, além dos documentos já previstos na legislação vigente.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Parágrafo único. As informações a que se refere este artigo são pré-requisitos para o pleito de autorização de embarque da mercadoria no exterior.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2º A embalagem externa da mercadoria deverá portar símile do Quadro Q2 do anexo desta Resolução em local visível, com leitura e acesso fáceis para a inspeção sanitária.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3º Deverão ser apresentados a cada importação os quadros Q1 e Q2 e a documentação comprobatória referente aos dados do quadro Q3.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Parágrafo único. Para a comprovação das informações do quadro Q3, somente serão válidos documentos em idiomas português, inglês ou espanhol com visto da autoridade consular brasileira no país de emissão.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4º Para a importação de produtos cujo material de partida sejam tecidos/fluidos das categorias I, II, III, descrita no anexo 4 da RDC nº 305, de 14 de novembro de 2002, a documentação referente ao quadro Q3 deverá ser submetida à análise e autorização, previamente ao seu embarque no exterior, pela área técnica competente da ANVISA, em Brasília.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5º Para a importação de produtos cujo material de partida sejam tecidos/fluidos apenas da categoria IV, descrita no anexo 4 da RDC nº 305, de 14 de novembro de 2002, a documentação referente ao quadro Q3 deverá ser submetida à análise e autorização, previamente ao seu embarque no exterior pela autoridade sanitária da ANVISA em exercício no local de desembaraço da mercadoria.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6º As pessoas físicas ou jurídicas que operem importação de mercadorias através do Sistema Integrado de Comércio Exterior - SISCOMEX receberão da área técnica competente da ANVISA o resultado da análise do pleito de importação "on line", através da autorização ou não da anuência prévia em Licença de Importação - LI ou em Licença Simplificada de Importação - LSI.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lastRenderedPageBreak/>
        <w:t>Parágrafo único. O deferimento da importação no SISCOMEX dar-se-á pela autoridade sanitária da ANVISA em exercício no local de desembaraço da mercadoria importada, mediante a apresentação dos documentos constantes do anexo desta Resolução e de inspeção física satisfatória.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7º As pessoas físicas ou jurídicas que operem importações de mercadorias através de remessas postais ou expressas, ficam também sujeitas às exigências constantes desta Resolução.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8º As mercadorias importadas de que trata esta Resolução quando da chegada no território nacional deverão apresentar-se embaladas, identificadas, com prazo de validade em vigência e dentro da expectativa de consumo no território nacional e dentro dos padrões de identidade e qualidade exigidos pela legislação sanitária vigente.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9º À chegada da mercadoria no território nacional, o importador deverá apresentar ainda à autoridade sanitária em exercício no local de desembaraço, os seguintes documentos: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a) fatura comercial;</w:t>
      </w:r>
    </w:p>
    <w:p w:rsidR="00AA7502" w:rsidRPr="00C1504B" w:rsidRDefault="00AA7502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b) conhecimento de carga;</w:t>
      </w:r>
    </w:p>
    <w:p w:rsidR="00AA7502" w:rsidRPr="00C1504B" w:rsidRDefault="00AA7502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c) identificação de lote ou partida;</w:t>
      </w:r>
    </w:p>
    <w:p w:rsidR="00AA7502" w:rsidRPr="00C1504B" w:rsidRDefault="00AA7502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d) certificado de Controle de Qualidade expedido pelo fabricante.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10 A documentação comprobatória de informações contidas nos quadros Q 1 e Q 3 poderá ser exigida: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1. nos momentos da solicitação de registro, da revalidação de registro ou isenção de registro de produtos na ANVISA</w:t>
      </w:r>
    </w:p>
    <w:p w:rsidR="006B7C0B" w:rsidRPr="00C1504B" w:rsidRDefault="006B7C0B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2. nas alterações que impliquem em mudanças na composição do produto, na origem ou nas características da matéria prima.</w:t>
      </w:r>
    </w:p>
    <w:p w:rsidR="00A30AFA" w:rsidRPr="00C1504B" w:rsidRDefault="00A30AFA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3. nas inspeções de rotina, incluindo inspeções para certificação de boas práticas de fabricação e controle (CBPFC).</w:t>
      </w:r>
    </w:p>
    <w:p w:rsidR="00A30AFA" w:rsidRPr="00C1504B" w:rsidRDefault="00A30AFA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4. A qualquer momento julgado pertinente pela autoridade sanitária federal.</w:t>
      </w: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lastRenderedPageBreak/>
        <w:t>Parágrafo único. As informações constantes nos quadros Q1 e Q3, deverão ser sublinhadas nos respectivos documentos comprobatórios, contendo os dados discriminados para todos os componentes da fórmula, obedecendo à ordem e ao conteúdo.</w:t>
      </w:r>
    </w:p>
    <w:p w:rsidR="00B01AA1" w:rsidRPr="00C1504B" w:rsidRDefault="00B01AA1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 11 Poderão ser solicitadas informações adicionais pelo órgão regulatório em qualquer momento.</w:t>
      </w:r>
    </w:p>
    <w:p w:rsidR="003E019E" w:rsidRPr="00C1504B" w:rsidRDefault="003E019E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Art. 12 Fica revogada a Resolução da Diretoria Colegiada - RDC nº 214, de 30 de julho de 2002.</w:t>
      </w:r>
    </w:p>
    <w:p w:rsidR="003E019E" w:rsidRPr="00C1504B" w:rsidRDefault="003E019E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</w:p>
    <w:p w:rsidR="00B520A7" w:rsidRPr="00C1504B" w:rsidRDefault="00B520A7">
      <w:pPr>
        <w:pStyle w:val="Corpodetex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Art. 13 Esta Resolução entra em vigor 90 (noventa) dias após sua publicação.</w:t>
      </w:r>
    </w:p>
    <w:p w:rsidR="00B520A7" w:rsidRPr="00C1504B" w:rsidRDefault="00B520A7">
      <w:pPr>
        <w:jc w:val="center"/>
        <w:rPr>
          <w:strike/>
          <w:lang w:val="es-ES_tradnl"/>
        </w:rPr>
      </w:pPr>
    </w:p>
    <w:p w:rsidR="003E019E" w:rsidRPr="00C1504B" w:rsidRDefault="003E019E">
      <w:pPr>
        <w:jc w:val="center"/>
        <w:rPr>
          <w:strike/>
          <w:lang w:val="es-ES_tradnl"/>
        </w:rPr>
      </w:pPr>
    </w:p>
    <w:p w:rsidR="00B520A7" w:rsidRPr="00C1504B" w:rsidRDefault="00B520A7">
      <w:pPr>
        <w:jc w:val="center"/>
        <w:rPr>
          <w:b/>
          <w:strike/>
          <w:lang w:val="es-ES_tradnl"/>
        </w:rPr>
      </w:pPr>
      <w:r w:rsidRPr="00C1504B">
        <w:rPr>
          <w:b/>
          <w:strike/>
          <w:lang w:val="es-ES_tradnl"/>
        </w:rPr>
        <w:t>RICARDO OLIVA</w:t>
      </w:r>
    </w:p>
    <w:p w:rsidR="00B520A7" w:rsidRPr="00C1504B" w:rsidRDefault="00B520A7">
      <w:pPr>
        <w:jc w:val="center"/>
        <w:rPr>
          <w:b/>
          <w:strike/>
        </w:rPr>
      </w:pPr>
    </w:p>
    <w:p w:rsidR="00B520A7" w:rsidRPr="00C1504B" w:rsidRDefault="00B520A7" w:rsidP="003E019E">
      <w:pPr>
        <w:jc w:val="center"/>
        <w:rPr>
          <w:b/>
          <w:strike/>
        </w:rPr>
      </w:pPr>
      <w:r w:rsidRPr="00C1504B">
        <w:rPr>
          <w:b/>
          <w:strike/>
        </w:rPr>
        <w:t>ANEXO</w:t>
      </w:r>
    </w:p>
    <w:p w:rsidR="00B520A7" w:rsidRPr="00C1504B" w:rsidRDefault="00B520A7" w:rsidP="003E019E">
      <w:pPr>
        <w:ind w:firstLine="567"/>
        <w:jc w:val="center"/>
        <w:rPr>
          <w:b/>
          <w:strike/>
        </w:rPr>
      </w:pPr>
    </w:p>
    <w:p w:rsidR="00B520A7" w:rsidRPr="00C1504B" w:rsidRDefault="00B520A7" w:rsidP="003E019E">
      <w:pPr>
        <w:ind w:firstLine="567"/>
        <w:jc w:val="center"/>
        <w:rPr>
          <w:b/>
          <w:strike/>
        </w:rPr>
      </w:pPr>
      <w:r w:rsidRPr="00C1504B">
        <w:rPr>
          <w:b/>
          <w:strike/>
        </w:rPr>
        <w:t>DOCUMENTOS OBRIGATÓRIOS PARA O CUMPRIMENTO DA RDC Nº 213 DE 30 DE JULHO DE 2002</w:t>
      </w:r>
    </w:p>
    <w:p w:rsidR="00E67CAB" w:rsidRPr="00C1504B" w:rsidRDefault="00E67CAB" w:rsidP="003E019E">
      <w:pPr>
        <w:ind w:firstLine="567"/>
        <w:jc w:val="center"/>
        <w:rPr>
          <w:b/>
          <w:strike/>
        </w:rPr>
      </w:pPr>
    </w:p>
    <w:p w:rsidR="00E67CAB" w:rsidRPr="00C1504B" w:rsidRDefault="00E67CAB" w:rsidP="00E67CAB">
      <w:pPr>
        <w:ind w:firstLine="567"/>
        <w:jc w:val="center"/>
        <w:rPr>
          <w:b/>
          <w:strike/>
        </w:rPr>
      </w:pPr>
      <w:r w:rsidRPr="00C1504B">
        <w:rPr>
          <w:b/>
          <w:strike/>
        </w:rPr>
        <w:t>DOCUMENTOS OBRIGATÓRIOS PARA O CUMPRIMENTO DA RDC Nº 305, DE 14 DE NOVEMBRO DE 2002</w:t>
      </w:r>
    </w:p>
    <w:p w:rsidR="00E67CAB" w:rsidRPr="00C1504B" w:rsidRDefault="00E67CAB" w:rsidP="00E67CAB">
      <w:pPr>
        <w:ind w:firstLine="567"/>
        <w:jc w:val="center"/>
        <w:rPr>
          <w:b/>
          <w:strike/>
        </w:rPr>
      </w:pPr>
    </w:p>
    <w:p w:rsidR="00E67CAB" w:rsidRPr="00C1504B" w:rsidRDefault="00E67CAB" w:rsidP="00E67CAB">
      <w:pPr>
        <w:ind w:firstLine="567"/>
        <w:jc w:val="center"/>
        <w:rPr>
          <w:b/>
          <w:strike/>
          <w:color w:val="0000FF"/>
        </w:rPr>
      </w:pPr>
      <w:r w:rsidRPr="00C1504B">
        <w:rPr>
          <w:b/>
          <w:strike/>
          <w:color w:val="0000FF"/>
        </w:rPr>
        <w:t>(Retificado no DOU nº 223, de 19 de novembro de 2002)</w:t>
      </w:r>
    </w:p>
    <w:p w:rsidR="00E67CAB" w:rsidRPr="00C1504B" w:rsidRDefault="00E67CAB" w:rsidP="003E019E">
      <w:pPr>
        <w:ind w:firstLine="567"/>
        <w:jc w:val="center"/>
        <w:rPr>
          <w:b/>
          <w:strike/>
        </w:rPr>
      </w:pPr>
    </w:p>
    <w:p w:rsidR="00B520A7" w:rsidRPr="00C1504B" w:rsidRDefault="00B520A7">
      <w:pPr>
        <w:ind w:firstLine="567"/>
        <w:jc w:val="both"/>
        <w:rPr>
          <w:b/>
          <w:strike/>
        </w:rPr>
      </w:pPr>
      <w:r w:rsidRPr="00C1504B">
        <w:rPr>
          <w:b/>
          <w:strike/>
        </w:rPr>
        <w:t>QUADRO Q1</w:t>
      </w:r>
    </w:p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Preenchimento:</w:t>
      </w:r>
    </w:p>
    <w:p w:rsidR="003E019E" w:rsidRPr="00C1504B" w:rsidRDefault="003E019E">
      <w:pPr>
        <w:ind w:firstLine="567"/>
        <w:jc w:val="both"/>
        <w:rPr>
          <w:strike/>
        </w:rPr>
      </w:pPr>
    </w:p>
    <w:p w:rsidR="00B520A7" w:rsidRPr="00C1504B" w:rsidRDefault="00B520A7">
      <w:pPr>
        <w:ind w:firstLine="567"/>
        <w:jc w:val="both"/>
        <w:rPr>
          <w:strike/>
        </w:rPr>
      </w:pPr>
      <w:r w:rsidRPr="00C1504B">
        <w:rPr>
          <w:strike/>
        </w:rPr>
        <w:t>No caso de medicamentos deverá ser encaminhado um quadro por forma farmacêutica:</w:t>
      </w:r>
    </w:p>
    <w:p w:rsidR="00B520A7" w:rsidRPr="00C1504B" w:rsidRDefault="00B520A7">
      <w:pPr>
        <w:ind w:firstLine="567"/>
        <w:jc w:val="both"/>
        <w:rPr>
          <w:strike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5128"/>
      </w:tblGrid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rFonts w:eastAsia="Arial Unicode MS"/>
                <w:strike/>
              </w:rPr>
              <w:t>Identificação do produto: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Número do lote: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Nome do Fabricante: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Endereço: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3850" w:type="dxa"/>
            <w:tcBorders>
              <w:right w:val="nil"/>
            </w:tcBorders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Cidade: </w:t>
            </w:r>
          </w:p>
        </w:tc>
        <w:tc>
          <w:tcPr>
            <w:tcW w:w="5128" w:type="dxa"/>
            <w:tcBorders>
              <w:left w:val="nil"/>
            </w:tcBorders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>País: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Categoria:</w:t>
            </w:r>
          </w:p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(    ) Alimento</w:t>
            </w:r>
          </w:p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(    ) Cosmético</w:t>
            </w:r>
          </w:p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(    ) Medicamento</w:t>
            </w:r>
          </w:p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(    ) Produto para Saúde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lastRenderedPageBreak/>
              <w:t xml:space="preserve">(    ) Produto acabado (   ) Produto  Semi-elaborado (   ) Granel (  ) Insumo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Utilidade do produto/insumo: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>Quantidade (especificar a unidade de medida):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Forma física/farmacêutica: 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Substâncias/ingredientes (a,b):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>Cuidados de conservação*: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Data de fabricação: 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Prazo de validade: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strike/>
              </w:rPr>
            </w:pPr>
            <w:r w:rsidRPr="00C1504B">
              <w:rPr>
                <w:strike/>
              </w:rPr>
              <w:t>Preencher os campos abaixo para cada substância/ingrediente: Repetir tantos campos quantos forem as substâncias/ingredientes: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1. Nome comercial da substância/ingrediente: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2. Substância/ingrediente: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 xml:space="preserve">3. Sinônimos e fonte da sinonímia (DCB, DCI, CAS):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4. Concentração: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5. Função na fórmula (incluir corantes e aromatizantes):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6. Natureza (c) 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7. Gênero e espécie animal: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8. Nome popular da espécie: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9. Tecidos/fluidos e categoria conforme anexo RDC nº 305/02: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10. Linhagem de células: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11. Nome do fornecedor: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12. País (fornecedor):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2"/>
            <w:vAlign w:val="center"/>
          </w:tcPr>
          <w:p w:rsidR="00B520A7" w:rsidRPr="00C1504B" w:rsidRDefault="00B520A7">
            <w:pPr>
              <w:ind w:left="567"/>
              <w:jc w:val="both"/>
              <w:rPr>
                <w:strike/>
              </w:rPr>
            </w:pPr>
            <w:r w:rsidRPr="00C1504B">
              <w:rPr>
                <w:strike/>
              </w:rPr>
              <w:t>13. País (origem do tecido/célula):</w:t>
            </w:r>
          </w:p>
        </w:tc>
      </w:tr>
    </w:tbl>
    <w:p w:rsidR="00B520A7" w:rsidRPr="00C1504B" w:rsidRDefault="00B520A7">
      <w:pPr>
        <w:ind w:firstLine="567"/>
        <w:jc w:val="both"/>
        <w:rPr>
          <w:strike/>
        </w:rPr>
      </w:pPr>
    </w:p>
    <w:p w:rsidR="00B520A7" w:rsidRPr="00C1504B" w:rsidRDefault="00B520A7">
      <w:pPr>
        <w:pStyle w:val="Corpodetexto3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sym w:font="Symbol" w:char="F02A"/>
      </w:r>
      <w:r w:rsidRPr="00C1504B">
        <w:rPr>
          <w:rFonts w:ascii="Times New Roman" w:hAnsi="Times New Roman" w:cs="Times New Roman"/>
          <w:strike/>
          <w:sz w:val="24"/>
          <w:szCs w:val="24"/>
        </w:rPr>
        <w:t xml:space="preserve"> Informações relativas às condições ambientais para manutenção da integridade e qualidade da mercadoria importada (temperatura, umidade, luminosidade e outras julgadas necessárias).</w:t>
      </w:r>
    </w:p>
    <w:p w:rsidR="00B520A7" w:rsidRPr="00C1504B" w:rsidRDefault="00B520A7">
      <w:pPr>
        <w:pStyle w:val="Corpodetexto3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3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a. Para ingredientes compostos por mais de uma substância, descrever no campo “Substâncias/ingredientes” os ingredientes diferentes, utilizando linhas separadas para cada uma. Detalhar todos os demais campos para cada uma delas. O nome da mistura deve ser repetido no campo “Nome comercial da substância/ingrediente”.</w:t>
      </w:r>
    </w:p>
    <w:p w:rsidR="00102A59" w:rsidRPr="00C1504B" w:rsidRDefault="00102A59">
      <w:pPr>
        <w:pStyle w:val="Corpodetexto3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1504B">
        <w:rPr>
          <w:rFonts w:ascii="Times New Roman" w:hAnsi="Times New Roman" w:cs="Times New Roman"/>
          <w:strike/>
          <w:sz w:val="24"/>
          <w:szCs w:val="24"/>
        </w:rPr>
        <w:t>b. Ingredientes tais como cápsulas gelatinosas, revestimentos e outras misturas também deverão ter discriminadas as substâncias presentes.</w:t>
      </w: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6E79" w:rsidRPr="00C1504B" w:rsidRDefault="00536E7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02A59" w:rsidRPr="00C1504B" w:rsidRDefault="00102A59">
      <w:pPr>
        <w:pStyle w:val="Corpodetex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20A7" w:rsidRPr="00C1504B" w:rsidRDefault="00B520A7">
      <w:pPr>
        <w:jc w:val="both"/>
        <w:rPr>
          <w:strike/>
        </w:rPr>
      </w:pPr>
      <w:r w:rsidRPr="00C1504B">
        <w:rPr>
          <w:strike/>
        </w:rPr>
        <w:lastRenderedPageBreak/>
        <w:t>c. Preenchimento do campo “Natureza” de acordo com o quadro abaixo:</w:t>
      </w:r>
    </w:p>
    <w:p w:rsidR="00B520A7" w:rsidRPr="00C1504B" w:rsidRDefault="00B520A7">
      <w:pPr>
        <w:jc w:val="both"/>
        <w:rPr>
          <w:strike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0"/>
        <w:gridCol w:w="2068"/>
      </w:tblGrid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6910" w:type="dxa"/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>NATUREZA (para preenchimento do campo “Natureza”)</w:t>
            </w:r>
          </w:p>
        </w:tc>
        <w:tc>
          <w:tcPr>
            <w:tcW w:w="2068" w:type="dxa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Código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6910" w:type="dxa"/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ANIMAL SUPERIOR - EXTRAÇÃO </w:t>
            </w:r>
          </w:p>
        </w:tc>
        <w:tc>
          <w:tcPr>
            <w:tcW w:w="2068" w:type="dxa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1A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6910" w:type="dxa"/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ANIMAL SUPERIOR - EXTRAÇÃO/SEMI-SÍNTESE </w:t>
            </w:r>
          </w:p>
        </w:tc>
        <w:tc>
          <w:tcPr>
            <w:tcW w:w="2068" w:type="dxa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1AS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6910" w:type="dxa"/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ANIMAL SUPERIOR - CULTURA CELULAR </w:t>
            </w:r>
          </w:p>
        </w:tc>
        <w:tc>
          <w:tcPr>
            <w:tcW w:w="2068" w:type="dxa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1B 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6910" w:type="dxa"/>
            <w:vAlign w:val="center"/>
          </w:tcPr>
          <w:p w:rsidR="00B520A7" w:rsidRPr="00C1504B" w:rsidRDefault="00B520A7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ANIMAL SUPERIOR - CULTURA CELULAR/SEMI-SÍNTESE </w:t>
            </w:r>
          </w:p>
        </w:tc>
        <w:tc>
          <w:tcPr>
            <w:tcW w:w="2068" w:type="dxa"/>
            <w:vAlign w:val="center"/>
          </w:tcPr>
          <w:p w:rsidR="00B520A7" w:rsidRPr="00C1504B" w:rsidRDefault="00B520A7">
            <w:pPr>
              <w:ind w:firstLine="567"/>
              <w:jc w:val="both"/>
              <w:rPr>
                <w:rFonts w:eastAsia="Arial Unicode MS"/>
                <w:strike/>
              </w:rPr>
            </w:pPr>
            <w:r w:rsidRPr="00C1504B">
              <w:rPr>
                <w:strike/>
              </w:rPr>
              <w:t xml:space="preserve">1BS </w:t>
            </w:r>
          </w:p>
        </w:tc>
      </w:tr>
    </w:tbl>
    <w:p w:rsidR="00B520A7" w:rsidRPr="00C1504B" w:rsidRDefault="00B520A7">
      <w:pPr>
        <w:jc w:val="both"/>
        <w:rPr>
          <w:strike/>
        </w:rPr>
      </w:pPr>
    </w:p>
    <w:p w:rsidR="00B520A7" w:rsidRPr="00C1504B" w:rsidRDefault="00B520A7">
      <w:pPr>
        <w:jc w:val="both"/>
        <w:rPr>
          <w:b/>
          <w:strike/>
        </w:rPr>
      </w:pPr>
      <w:r w:rsidRPr="00C1504B">
        <w:rPr>
          <w:b/>
          <w:strike/>
        </w:rPr>
        <w:t>QUADRO Q2</w:t>
      </w:r>
    </w:p>
    <w:p w:rsidR="00102A59" w:rsidRPr="00C1504B" w:rsidRDefault="00102A59">
      <w:pPr>
        <w:jc w:val="both"/>
        <w:rPr>
          <w:strike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rFonts w:eastAsia="Arial Unicode MS"/>
                <w:strike/>
              </w:rPr>
              <w:t>Lote: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strike/>
              </w:rPr>
            </w:pPr>
            <w:r w:rsidRPr="00C1504B">
              <w:rPr>
                <w:strike/>
              </w:rPr>
              <w:t>Identificação da mercadoria (Nome comercial):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strike/>
              </w:rPr>
            </w:pPr>
            <w:r w:rsidRPr="00C1504B">
              <w:rPr>
                <w:strike/>
              </w:rPr>
              <w:t>Identificação da mercadoria (Nome comum ou nome químico):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strike/>
              </w:rPr>
            </w:pPr>
            <w:r w:rsidRPr="00C1504B">
              <w:rPr>
                <w:strike/>
              </w:rPr>
              <w:t>Identificação da empresa/ fabricante: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strike/>
              </w:rPr>
            </w:pPr>
            <w:r w:rsidRPr="00C1504B">
              <w:rPr>
                <w:strike/>
              </w:rPr>
              <w:t>Identificação da empresa/ importador: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B520A7" w:rsidRPr="00C1504B" w:rsidRDefault="00B520A7" w:rsidP="00102A59">
            <w:pPr>
              <w:jc w:val="both"/>
              <w:rPr>
                <w:rFonts w:eastAsia="Arial Unicode MS"/>
                <w:strike/>
              </w:rPr>
            </w:pPr>
            <w:r w:rsidRPr="00C1504B">
              <w:rPr>
                <w:rFonts w:eastAsia="Arial Unicode MS"/>
                <w:strike/>
              </w:rPr>
              <w:t>País de origem (fabricação):</w:t>
            </w:r>
          </w:p>
          <w:p w:rsidR="00B520A7" w:rsidRPr="00C1504B" w:rsidRDefault="00B520A7">
            <w:pPr>
              <w:jc w:val="both"/>
              <w:rPr>
                <w:strike/>
              </w:rPr>
            </w:pPr>
          </w:p>
        </w:tc>
      </w:tr>
    </w:tbl>
    <w:p w:rsidR="00B520A7" w:rsidRPr="00C1504B" w:rsidRDefault="00B520A7">
      <w:pPr>
        <w:jc w:val="both"/>
        <w:rPr>
          <w:strike/>
        </w:rPr>
      </w:pPr>
    </w:p>
    <w:p w:rsidR="00B520A7" w:rsidRPr="00C1504B" w:rsidRDefault="00B520A7">
      <w:pPr>
        <w:jc w:val="both"/>
        <w:rPr>
          <w:strike/>
        </w:rPr>
      </w:pPr>
      <w:r w:rsidRPr="00C1504B">
        <w:rPr>
          <w:strike/>
        </w:rPr>
        <w:t>OBS: As informações constantes deste quadro deverão ser apresentadas em português, inglês ou espanhol.</w:t>
      </w:r>
    </w:p>
    <w:p w:rsidR="00B520A7" w:rsidRPr="00C1504B" w:rsidRDefault="00B520A7">
      <w:pPr>
        <w:jc w:val="both"/>
        <w:rPr>
          <w:strike/>
        </w:rPr>
      </w:pPr>
    </w:p>
    <w:p w:rsidR="00B520A7" w:rsidRPr="00C1504B" w:rsidRDefault="00B520A7">
      <w:pPr>
        <w:jc w:val="both"/>
        <w:rPr>
          <w:b/>
          <w:strike/>
        </w:rPr>
      </w:pPr>
      <w:r w:rsidRPr="00C1504B">
        <w:rPr>
          <w:b/>
          <w:strike/>
        </w:rPr>
        <w:t>QUADRO Q 3</w:t>
      </w:r>
    </w:p>
    <w:p w:rsidR="00102A59" w:rsidRPr="00C1504B" w:rsidRDefault="00102A59">
      <w:pPr>
        <w:jc w:val="both"/>
        <w:rPr>
          <w:b/>
          <w:strike/>
        </w:rPr>
      </w:pP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A apresentação de Certificados conforme descrito no quadro Q3, respeitadas as proibições descritas no artigo 1 da RDC nº 213 de 30 de julho de 2002.</w:t>
      </w:r>
    </w:p>
    <w:p w:rsidR="00E67CAB" w:rsidRPr="00C1504B" w:rsidRDefault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E67CAB" w:rsidRPr="00C1504B" w:rsidRDefault="00E67CAB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</w:rPr>
      </w:pPr>
      <w:r w:rsidRPr="00C1504B">
        <w:rPr>
          <w:rFonts w:ascii="Times New Roman" w:hAnsi="Times New Roman" w:cs="Times New Roman"/>
          <w:b/>
          <w:strike/>
        </w:rPr>
        <w:t>QUADRO Q 3</w:t>
      </w:r>
    </w:p>
    <w:p w:rsidR="00941E54" w:rsidRPr="00C1504B" w:rsidRDefault="00941E54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E67CAB" w:rsidRPr="00C1504B" w:rsidRDefault="00E67CAB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  <w:color w:val="0000FF"/>
        </w:rPr>
      </w:pPr>
      <w:r w:rsidRPr="00C1504B">
        <w:rPr>
          <w:rFonts w:ascii="Times New Roman" w:hAnsi="Times New Roman" w:cs="Times New Roman"/>
          <w:strike/>
        </w:rPr>
        <w:t>A apresentação de Certificados conforme descrito no quadro Q3, respeitadas as proibições descritas no art. 1º da RDC nº 305, de 14 de novembro de 2002.</w:t>
      </w:r>
      <w:r w:rsidR="00941E54" w:rsidRPr="00C1504B">
        <w:rPr>
          <w:rFonts w:ascii="Times New Roman" w:hAnsi="Times New Roman" w:cs="Times New Roman"/>
          <w:strike/>
        </w:rPr>
        <w:t xml:space="preserve"> </w:t>
      </w:r>
      <w:r w:rsidR="00941E54" w:rsidRPr="00C1504B">
        <w:rPr>
          <w:rFonts w:ascii="Times New Roman" w:hAnsi="Times New Roman" w:cs="Times New Roman"/>
          <w:b/>
          <w:strike/>
          <w:color w:val="0000FF"/>
        </w:rPr>
        <w:t>(Retificado no DOU nº 223, de 19 de novembro de 2002)</w:t>
      </w:r>
    </w:p>
    <w:p w:rsidR="00536E79" w:rsidRPr="00C1504B" w:rsidRDefault="00536E79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  <w:color w:val="0000FF"/>
        </w:rPr>
      </w:pPr>
    </w:p>
    <w:p w:rsidR="00536E79" w:rsidRPr="00C1504B" w:rsidRDefault="00536E79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  <w:color w:val="0000FF"/>
        </w:rPr>
      </w:pPr>
    </w:p>
    <w:p w:rsidR="00536E79" w:rsidRPr="00C1504B" w:rsidRDefault="00536E79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  <w:color w:val="0000FF"/>
        </w:rPr>
      </w:pPr>
    </w:p>
    <w:p w:rsidR="00536E79" w:rsidRPr="00C1504B" w:rsidRDefault="00536E79" w:rsidP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trike/>
          <w:color w:val="0000FF"/>
        </w:rPr>
      </w:pPr>
    </w:p>
    <w:p w:rsidR="00E67CAB" w:rsidRPr="00C1504B" w:rsidRDefault="00E67C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B520A7" w:rsidRPr="00C1504B" w:rsidRDefault="00B520A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Categoria do tecido/fluido</w:t>
      </w:r>
    </w:p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1167"/>
        <w:gridCol w:w="1978"/>
        <w:gridCol w:w="1978"/>
        <w:gridCol w:w="1979"/>
        <w:gridCol w:w="719"/>
      </w:tblGrid>
      <w:tr w:rsidR="00B520A7" w:rsidRPr="00C150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  <w:noProof/>
              </w:rPr>
              <w:pict>
                <v:line id="_x0000_s1029" style="position:absolute;left:0;text-align:left;z-index:251656704" from="9pt,7.8pt" to="9pt,176pt">
                  <v:stroke endarrow="block"/>
                </v:line>
              </w:pic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161" w:type="dxa"/>
            <w:tcBorders>
              <w:top w:val="nil"/>
              <w:lef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Risco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geográfico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  <w:noProof/>
              </w:rPr>
              <w:pict>
                <v:line id="_x0000_s1031" style="position:absolute;left:0;text-align:left;flip:x;z-index:251657728" from="5.25pt,5.3pt" to="329.25pt,5.3pt">
                  <v:stroke endarrow="block"/>
                </v:line>
              </w:pic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I</w:t>
            </w: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II</w:t>
            </w: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III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IV</w:t>
            </w:r>
          </w:p>
        </w:tc>
      </w:tr>
      <w:tr w:rsidR="00B520A7" w:rsidRPr="00C150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161" w:type="dxa"/>
            <w:tcBorders>
              <w:lef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1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C17617" w:rsidRPr="00C1504B" w:rsidRDefault="00C1761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2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3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4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5</w:t>
            </w: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BPF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t>+CVI ou CFE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BPF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t>+CVI ou CFE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BPF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t>+CVI ou CFE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</w:p>
        </w:tc>
        <w:tc>
          <w:tcPr>
            <w:tcW w:w="1980" w:type="dxa"/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BPF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t>+CVI ou CFE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BPF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t>+CVI ou CFE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PROIBIDO</w:t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  <w:r w:rsidRPr="00C1504B">
              <w:rPr>
                <w:rFonts w:ascii="Times New Roman" w:hAnsi="Times New Roman" w:cs="Times New Roman"/>
                <w:strike/>
              </w:rPr>
              <w:sym w:font="Symbol" w:char="F02A"/>
            </w:r>
          </w:p>
        </w:tc>
        <w:tc>
          <w:tcPr>
            <w:tcW w:w="720" w:type="dxa"/>
            <w:tcBorders>
              <w:right w:val="nil"/>
            </w:tcBorders>
          </w:tcPr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C17617" w:rsidRPr="00C1504B" w:rsidRDefault="00C1761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B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D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D</w:t>
            </w: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B520A7" w:rsidRPr="00C1504B" w:rsidRDefault="00B520A7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trike/>
              </w:rPr>
            </w:pPr>
            <w:r w:rsidRPr="00C1504B">
              <w:rPr>
                <w:rFonts w:ascii="Times New Roman" w:hAnsi="Times New Roman" w:cs="Times New Roman"/>
                <w:strike/>
              </w:rPr>
              <w:t>D</w:t>
            </w:r>
          </w:p>
        </w:tc>
      </w:tr>
    </w:tbl>
    <w:p w:rsidR="00C76D10" w:rsidRPr="00C1504B" w:rsidRDefault="00C76D10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LEGENDA</w:t>
      </w:r>
    </w:p>
    <w:p w:rsidR="00536E79" w:rsidRPr="00C1504B" w:rsidRDefault="00536E7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BPF - Certificado  de Boas Práticas de Fabricação ou Certificado Qualidade do Produto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CVI - Certificado Veterinário Internacional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CFE - Certificado de Conformidade – Farmacopéia Européia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B - CVI ou CFE ou Documento oficial da autoridade sanitária local atestando a origem da matéria-Prima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t>D - Certificado de Conformidade – Farmacopéia Européia + BPF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sym w:font="Symbol" w:char="F02A"/>
      </w:r>
      <w:r w:rsidRPr="00C1504B">
        <w:rPr>
          <w:rFonts w:ascii="Times New Roman" w:hAnsi="Times New Roman" w:cs="Times New Roman"/>
          <w:strike/>
        </w:rPr>
        <w:t xml:space="preserve"> Exigido para produtos acabados e intermediários (definição da RDC 134/2001)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  <w:r w:rsidRPr="00C1504B">
        <w:rPr>
          <w:rFonts w:ascii="Times New Roman" w:hAnsi="Times New Roman" w:cs="Times New Roman"/>
          <w:strike/>
        </w:rPr>
        <w:sym w:font="Symbol" w:char="F02A"/>
      </w:r>
      <w:r w:rsidRPr="00C1504B">
        <w:rPr>
          <w:rFonts w:ascii="Times New Roman" w:hAnsi="Times New Roman" w:cs="Times New Roman"/>
          <w:strike/>
        </w:rPr>
        <w:sym w:font="Symbol" w:char="F02A"/>
      </w:r>
      <w:r w:rsidRPr="00C1504B">
        <w:rPr>
          <w:rFonts w:ascii="Times New Roman" w:hAnsi="Times New Roman" w:cs="Times New Roman"/>
          <w:strike/>
        </w:rPr>
        <w:t xml:space="preserve"> Exceto surfactantes pulmonares, desde que apresentem CFE </w:t>
      </w:r>
    </w:p>
    <w:p w:rsidR="00B520A7" w:rsidRPr="00C1504B" w:rsidRDefault="00B520A7">
      <w:pPr>
        <w:autoSpaceDE w:val="0"/>
        <w:autoSpaceDN w:val="0"/>
        <w:adjustRightInd w:val="0"/>
        <w:rPr>
          <w:strike/>
          <w:color w:val="000000"/>
        </w:rPr>
      </w:pPr>
      <w:r w:rsidRPr="00C1504B">
        <w:rPr>
          <w:strike/>
          <w:noProof/>
          <w:color w:val="000000"/>
        </w:rPr>
        <w:pict>
          <v:line id="_x0000_s1033" style="position:absolute;z-index:251658752" from="0,3.85pt" to="18pt,3.85pt">
            <v:stroke endarrow="block"/>
          </v:line>
        </w:pict>
      </w:r>
      <w:r w:rsidRPr="00C1504B">
        <w:rPr>
          <w:strike/>
          <w:color w:val="000000"/>
        </w:rPr>
        <w:t xml:space="preserve">        Indica grau crescente de infectividade (tecido/fluido) ou risco (país)</w:t>
      </w:r>
    </w:p>
    <w:p w:rsidR="00B520A7" w:rsidRPr="00C1504B" w:rsidRDefault="00B520A7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p w:rsidR="00C76D10" w:rsidRPr="00C1504B" w:rsidRDefault="00C76D10" w:rsidP="00C76D10">
      <w:pPr>
        <w:autoSpaceDE w:val="0"/>
        <w:autoSpaceDN w:val="0"/>
        <w:adjustRightInd w:val="0"/>
        <w:rPr>
          <w:strike/>
        </w:rPr>
      </w:pPr>
      <w:r w:rsidRPr="00C1504B">
        <w:rPr>
          <w:strike/>
        </w:rPr>
        <w:t>(Of. El. nº 525/2002)</w:t>
      </w:r>
    </w:p>
    <w:p w:rsidR="00C76D10" w:rsidRPr="00C1504B" w:rsidRDefault="00C76D10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trike/>
        </w:rPr>
      </w:pPr>
    </w:p>
    <w:sectPr w:rsidR="00C76D10" w:rsidRPr="00C1504B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416" w:rsidRDefault="009A7416">
      <w:r>
        <w:separator/>
      </w:r>
    </w:p>
  </w:endnote>
  <w:endnote w:type="continuationSeparator" w:id="0">
    <w:p w:rsidR="009A7416" w:rsidRDefault="009A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0A7" w:rsidRDefault="00B520A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20A7" w:rsidRDefault="00B520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8B6" w:rsidRPr="00B078B6" w:rsidRDefault="00B078B6" w:rsidP="00B078B6">
    <w:pPr>
      <w:pStyle w:val="Rodap"/>
      <w:jc w:val="center"/>
      <w:rPr>
        <w:color w:val="FF0000"/>
        <w:sz w:val="22"/>
        <w:szCs w:val="22"/>
      </w:rPr>
    </w:pPr>
    <w:r w:rsidRPr="00B078B6">
      <w:rPr>
        <w:color w:val="FF0000"/>
      </w:rPr>
      <w:t>Este texto não substitui o(s) publicado(s) em Diário Oficial da União.</w:t>
    </w:r>
  </w:p>
  <w:p w:rsidR="00B520A7" w:rsidRDefault="00B520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416" w:rsidRDefault="009A7416">
      <w:r>
        <w:separator/>
      </w:r>
    </w:p>
  </w:footnote>
  <w:footnote w:type="continuationSeparator" w:id="0">
    <w:p w:rsidR="009A7416" w:rsidRDefault="009A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8B6" w:rsidRDefault="00B078B6" w:rsidP="00B078B6">
    <w:pPr>
      <w:pStyle w:val="Cabealho"/>
      <w:jc w:val="center"/>
      <w:rPr>
        <w:sz w:val="22"/>
        <w:szCs w:val="2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Brasão da República" style="width:52.5pt;height:51.75pt;visibility:visible">
          <v:imagedata r:id="rId1" o:title="Brasão da República"/>
        </v:shape>
      </w:pict>
    </w:r>
  </w:p>
  <w:p w:rsidR="00B078B6" w:rsidRDefault="00B078B6" w:rsidP="00B078B6">
    <w:pPr>
      <w:pStyle w:val="Cabealho"/>
      <w:jc w:val="center"/>
      <w:rPr>
        <w:b/>
      </w:rPr>
    </w:pPr>
    <w:r>
      <w:rPr>
        <w:b/>
      </w:rPr>
      <w:t>Ministério da Saúde - MS</w:t>
    </w:r>
  </w:p>
  <w:p w:rsidR="00B078B6" w:rsidRDefault="00B078B6" w:rsidP="00B078B6">
    <w:pPr>
      <w:pStyle w:val="Cabealho"/>
      <w:jc w:val="center"/>
      <w:rPr>
        <w:b/>
      </w:rPr>
    </w:pPr>
    <w:r>
      <w:rPr>
        <w:b/>
      </w:rPr>
      <w:t>Agência Nacional de Vigilância Sanitária - ANVISA</w:t>
    </w:r>
  </w:p>
  <w:p w:rsidR="00B078B6" w:rsidRDefault="00B078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59AD"/>
    <w:multiLevelType w:val="hybridMultilevel"/>
    <w:tmpl w:val="01B4D7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7B0D1C"/>
    <w:multiLevelType w:val="hybridMultilevel"/>
    <w:tmpl w:val="32E03D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B94C67"/>
    <w:multiLevelType w:val="hybridMultilevel"/>
    <w:tmpl w:val="AAD2EB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9560B"/>
    <w:multiLevelType w:val="hybridMultilevel"/>
    <w:tmpl w:val="7CA431F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8B6"/>
    <w:rsid w:val="000E76A5"/>
    <w:rsid w:val="00102A59"/>
    <w:rsid w:val="0011101A"/>
    <w:rsid w:val="00194D59"/>
    <w:rsid w:val="00215384"/>
    <w:rsid w:val="002871F3"/>
    <w:rsid w:val="00344FC2"/>
    <w:rsid w:val="0036527F"/>
    <w:rsid w:val="00372847"/>
    <w:rsid w:val="003E019E"/>
    <w:rsid w:val="004918B8"/>
    <w:rsid w:val="004D0D4B"/>
    <w:rsid w:val="00536E79"/>
    <w:rsid w:val="006B7C0B"/>
    <w:rsid w:val="007476E0"/>
    <w:rsid w:val="0089274A"/>
    <w:rsid w:val="008E705B"/>
    <w:rsid w:val="00941E54"/>
    <w:rsid w:val="009A7416"/>
    <w:rsid w:val="00A30AFA"/>
    <w:rsid w:val="00AA7502"/>
    <w:rsid w:val="00B01AA1"/>
    <w:rsid w:val="00B078B6"/>
    <w:rsid w:val="00B520A7"/>
    <w:rsid w:val="00C1504B"/>
    <w:rsid w:val="00C17617"/>
    <w:rsid w:val="00C76D10"/>
    <w:rsid w:val="00CD718F"/>
    <w:rsid w:val="00DD48BD"/>
    <w:rsid w:val="00E25FD2"/>
    <w:rsid w:val="00E67CAB"/>
    <w:rsid w:val="00F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FCDB248-33EC-4FC8-B30B-BC64CE71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FF0000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semiHidden/>
    <w:rPr>
      <w:rFonts w:ascii="Arial" w:hAnsi="Arial" w:cs="Arial"/>
      <w:sz w:val="20"/>
      <w:szCs w:val="20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 w:cs="Arial"/>
      <w:b/>
      <w:bCs/>
      <w:color w:val="FF0000"/>
      <w:sz w:val="20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3">
    <w:name w:val="Body Text 3"/>
    <w:basedOn w:val="Normal"/>
    <w:semiHidden/>
    <w:pPr>
      <w:jc w:val="both"/>
    </w:pPr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sid w:val="00B078B6"/>
    <w:rPr>
      <w:sz w:val="24"/>
      <w:szCs w:val="24"/>
    </w:rPr>
  </w:style>
  <w:style w:type="character" w:customStyle="1" w:styleId="RodapChar">
    <w:name w:val="Rodapé Char"/>
    <w:link w:val="Rodap"/>
    <w:uiPriority w:val="99"/>
    <w:semiHidden/>
    <w:rsid w:val="00B078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214, de 30 de julho de 2002(*)</vt:lpstr>
    </vt:vector>
  </TitlesOfParts>
  <Company>anvs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214, de 30 de julho de 2002(*)</dc:title>
  <dc:subject/>
  <dc:creator>Livia.Costa</dc:creator>
  <cp:keywords/>
  <cp:lastModifiedBy>Julia de Souza Ferreira</cp:lastModifiedBy>
  <cp:revision>2</cp:revision>
  <cp:lastPrinted>2002-11-14T15:05:00Z</cp:lastPrinted>
  <dcterms:created xsi:type="dcterms:W3CDTF">2018-11-27T16:31:00Z</dcterms:created>
  <dcterms:modified xsi:type="dcterms:W3CDTF">2018-11-27T16:31:00Z</dcterms:modified>
</cp:coreProperties>
</file>