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743BE" w:rsidRDefault="007241ED" w:rsidP="006743BE">
      <w:pPr>
        <w:ind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3BE">
        <w:rPr>
          <w:rFonts w:ascii="Times New Roman" w:hAnsi="Times New Roman" w:cs="Times New Roman"/>
          <w:b/>
          <w:szCs w:val="24"/>
        </w:rPr>
        <w:t>RESOLUÇÃO</w:t>
      </w:r>
      <w:r w:rsidR="006743BE" w:rsidRPr="006743BE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6743BE">
        <w:rPr>
          <w:rFonts w:ascii="Times New Roman" w:hAnsi="Times New Roman" w:cs="Times New Roman"/>
          <w:b/>
          <w:szCs w:val="24"/>
        </w:rPr>
        <w:t xml:space="preserve"> – RDC Nº 31, DE 05 DE JUNHO DE </w:t>
      </w:r>
      <w:proofErr w:type="gramStart"/>
      <w:r w:rsidRPr="006743BE">
        <w:rPr>
          <w:rFonts w:ascii="Times New Roman" w:hAnsi="Times New Roman" w:cs="Times New Roman"/>
          <w:b/>
          <w:szCs w:val="24"/>
        </w:rPr>
        <w:t>2012</w:t>
      </w:r>
      <w:proofErr w:type="gramEnd"/>
    </w:p>
    <w:p w:rsidR="007241ED" w:rsidRPr="006743BE" w:rsidRDefault="007241ED" w:rsidP="007241E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743BE">
        <w:rPr>
          <w:rFonts w:ascii="Times New Roman" w:hAnsi="Times New Roman" w:cs="Times New Roman"/>
          <w:b/>
          <w:color w:val="0000FF"/>
          <w:sz w:val="24"/>
          <w:szCs w:val="24"/>
        </w:rPr>
        <w:t>(Publicado em DOU nº 109, de 06 de junho de 2012</w:t>
      </w:r>
      <w:proofErr w:type="gramStart"/>
      <w:r w:rsidRPr="006743B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352396" w:rsidRPr="006743BE" w:rsidTr="0005309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352396" w:rsidRPr="006743BE" w:rsidRDefault="00352396" w:rsidP="00053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352396" w:rsidRPr="006743BE" w:rsidRDefault="00352396" w:rsidP="006743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4363B" w:rsidRDefault="0024363B" w:rsidP="0024363B">
      <w:pPr>
        <w:spacing w:before="300" w:after="300" w:line="24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>Incorpora ao ordenamento jurídico nacional a Resolução GMC MERCOSUL nº40/2011, que dispõe sobre “Rotulagem Nutricional de Bebidas Não Alcoólicas Comercializadas em Embalagens Retornáveis”, e dá outras providências.</w:t>
      </w:r>
    </w:p>
    <w:p w:rsidR="00226820" w:rsidRPr="006743BE" w:rsidRDefault="00226820" w:rsidP="002445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 </w:t>
      </w:r>
      <w:r w:rsidRPr="006743B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6743BE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exposto no inciso II e nos §§1º e 3º do art. 54 do Regimento Interno aprovado nos termos do Anexo I da Portaria nº 354 da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, de 11 de agosto de 2006, republicada no DOU de 21 de agosto de 2006, em reunião realizada em 25 de maio de 2012, adota a seguinte Resolução da Diretoria Colegiada e eu,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DiretorPresidente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, determino a sua publicação: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Art.1º Esta Resolução incorpora ao ordenamento jurídico nacional a Resolução GMC MERCOSUL nº 40/2011, que dispõe sobre “Rotulagem Nutricional de Bebidas Não Alcoólicas Comercializadas em Embalagens Retornáveis”, e dá outras providências.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Art.2º Fica prorrogado até 31 de dezembro de 2014 o prazo estabelecido no §1º do art. 3º da resolução RDC nº 360/2003, com redação conferida pela Resolução RDC nº 34/2011, para adequação da rotulagem nutricional de bebidas não alcoólicas comercializadas em embalagens retornáveis de vidro e polietileno tereftalato (PET) litografadas ou pintadas. </w:t>
      </w:r>
    </w:p>
    <w:p w:rsidR="00C1551B" w:rsidRPr="006743BE" w:rsidRDefault="00226820" w:rsidP="00C1551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trike/>
          <w:sz w:val="24"/>
          <w:szCs w:val="24"/>
        </w:rPr>
        <w:t xml:space="preserve">§1º Até o término do prazo estabelecido no caput, </w:t>
      </w:r>
      <w:proofErr w:type="gramStart"/>
      <w:r w:rsidRPr="006743BE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743BE">
        <w:rPr>
          <w:rFonts w:ascii="Times New Roman" w:hAnsi="Times New Roman" w:cs="Times New Roman"/>
          <w:strike/>
          <w:sz w:val="24"/>
          <w:szCs w:val="24"/>
        </w:rPr>
        <w:t xml:space="preserve"> informações nutricionais que não constarem no corpo da embalagem deverão figurar em sua estampa</w:t>
      </w:r>
      <w:r w:rsidRPr="00674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551B" w:rsidRPr="006743BE" w:rsidRDefault="00C1551B" w:rsidP="00C1551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74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§1º Até o término do prazo estabelecido no caput, </w:t>
      </w:r>
      <w:proofErr w:type="gramStart"/>
      <w:r w:rsidRPr="006743BE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674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nutricionais que não constarem no corpo da embalagem deverão figurar em sua tampa. </w:t>
      </w:r>
      <w:r w:rsidRPr="006743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188, de 27 de setembro de 2012</w:t>
      </w:r>
      <w:proofErr w:type="gramStart"/>
      <w:r w:rsidRPr="006743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§2º A prorrogação inicia-se a partir de 02 de março de 2012. Art.3º Esta Resolução entra em vigor na data de sua publicação. </w:t>
      </w:r>
    </w:p>
    <w:p w:rsidR="006743BE" w:rsidRDefault="006743BE" w:rsidP="0022682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24459C" w:rsidRPr="000B0315" w:rsidRDefault="00226820" w:rsidP="000B031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>DIRCEU BRÁS APARECIDO BARBANO</w:t>
      </w:r>
      <w:bookmarkStart w:id="0" w:name="_GoBack"/>
      <w:bookmarkEnd w:id="0"/>
    </w:p>
    <w:p w:rsidR="00226820" w:rsidRPr="006743BE" w:rsidRDefault="00226820" w:rsidP="006743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3BE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MERCOSUL/GMC/RES. Nº 40/11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ROTULAGEM NUTRICIONAL DE BEBIDAS NÃO ALCOÓLICAS COMERCIALIZADAS EM EMBALAGENS RETORNÁVEIS </w:t>
      </w:r>
    </w:p>
    <w:p w:rsidR="006743BE" w:rsidRPr="006743BE" w:rsidRDefault="00226820" w:rsidP="006743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TENDO EM VISTA: O Tratado de Assunção, o Protocolo de Ouro Preto, a Decisão Nº 20/02 do Conselho Mercado Comum e as Resoluções Nº 38/98, 56/02, 26/03, 44/03, 46/03, 47/03 e 48/06 do Grupo Mercado Comum.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CONSIDERANDO: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Que a Resolução GMC Nº 44/03 “Regulamento Técnico MERCOSUL sobre Rotulagem Nutricional de Alimentos Embalados” estabelece em seu artigo 3º que a declaração de nutrientes na rotulagem nutricional será obrigatória a partir de 1º de agosto de 2006.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Que a Resolução GMC Nº 48/06 “Rotulagem Nutricional de Alimentos Embalados (complementação da Res. GMC Nº 44/03)” estende o prazo estabelecido pela Resolução GMC Nº 44/03 para a adequação da rotulagem nutricional das bebidas não alcoólicas comercializadas em embalagens retornáveis até 1º de agosto de 2011.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Que o prazo concedido para a adequação dos rótulos de embalagens retornáveis para bebidas não alcoólicas, tanto de vidro como de polietileno tereftalato (PET), resultou, no âmbito de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alguns Estados Partes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, insuficiente em função da rotatividade normal destas embalagens.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 conveniência de estimular o uso de embalagens retornáveis, mitigando a geração de resíduos de PET com a conseguinte diminuição do impacto negativo que produzem sobre o meio-ambiente.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Conveniente, nas situações em que se considere necessário, autorizar um período adicional para que, no caso de não ser possível efetuar a rotulagem no corpo da embalagem retornável, a rotulagem figure na tampa da mesma. </w:t>
      </w:r>
    </w:p>
    <w:p w:rsidR="00226820" w:rsidRPr="006743BE" w:rsidRDefault="00226820" w:rsidP="0024459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O GRUPO MERCADO COMUM RESOLVE: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Art. 1º –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Os Estados Partes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poderão estabelecer, na medida em que considerem necessário, prazos adicionais ao disposto pela Resolução GMC Nº 48/06, que não poderão estender-se além de 31/XII/2014, para a adequação da rotulagem nutricional das bebidas não alcoólicas comercializadas em embalagens retornáveis. Quando a informação nutricional não figurar no corpo da embalagem, deverá constar na tampa da mesma.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lastRenderedPageBreak/>
        <w:t xml:space="preserve">Art. 2º – Os organismos nacionais competentes para a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da presente Resolução são: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Argentina: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Salud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Secretaría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Políticas,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Regulación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Institutos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Economía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Finanzas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Públicas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Secretaría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Comercio Interior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Agricultura,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Ganadería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Pesca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Secretaría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Agricultura,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Ganadería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Pesca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20" w:rsidRPr="006743BE" w:rsidRDefault="00226820" w:rsidP="00226820">
      <w:pPr>
        <w:pStyle w:val="PargrafodaLista"/>
        <w:numPr>
          <w:ilvl w:val="0"/>
          <w:numId w:val="1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Nacional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Sanidad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Calidad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Agroalimentaria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(SENASA)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Brasil: </w:t>
      </w:r>
    </w:p>
    <w:p w:rsidR="00226820" w:rsidRPr="006743BE" w:rsidRDefault="00226820" w:rsidP="00226820">
      <w:pPr>
        <w:pStyle w:val="PargrafodaLista"/>
        <w:numPr>
          <w:ilvl w:val="0"/>
          <w:numId w:val="2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Ministério da Saúde </w:t>
      </w:r>
    </w:p>
    <w:p w:rsidR="00226820" w:rsidRPr="006743BE" w:rsidRDefault="00226820" w:rsidP="00226820">
      <w:pPr>
        <w:pStyle w:val="PargrafodaLista"/>
        <w:numPr>
          <w:ilvl w:val="0"/>
          <w:numId w:val="2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Agência Nacional de Vigilância Sanitária (ANVISA)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Paraguai: </w:t>
      </w:r>
    </w:p>
    <w:p w:rsidR="00226820" w:rsidRPr="006743BE" w:rsidRDefault="00226820" w:rsidP="00226820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Salud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Pública y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Bienestar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Social (</w:t>
      </w:r>
      <w:proofErr w:type="spellStart"/>
      <w:proofErr w:type="gramStart"/>
      <w:r w:rsidRPr="006743BE">
        <w:rPr>
          <w:rFonts w:ascii="Times New Roman" w:hAnsi="Times New Roman" w:cs="Times New Roman"/>
          <w:sz w:val="24"/>
          <w:szCs w:val="24"/>
        </w:rPr>
        <w:t>MSPyBS</w:t>
      </w:r>
      <w:proofErr w:type="spellEnd"/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26820" w:rsidRPr="006743BE" w:rsidRDefault="00226820" w:rsidP="00226820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Instituto Nacional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Alimentación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Nutrición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(INAN) </w:t>
      </w:r>
    </w:p>
    <w:p w:rsidR="00226820" w:rsidRPr="006743BE" w:rsidRDefault="00226820" w:rsidP="00226820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743BE">
        <w:rPr>
          <w:rFonts w:ascii="Times New Roman" w:hAnsi="Times New Roman" w:cs="Times New Roman"/>
          <w:sz w:val="24"/>
          <w:szCs w:val="24"/>
        </w:rPr>
        <w:t>Industria</w:t>
      </w:r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y Comercio (MIC)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Uruguai: </w:t>
      </w:r>
    </w:p>
    <w:p w:rsidR="00226820" w:rsidRPr="006743BE" w:rsidRDefault="00226820" w:rsidP="00226820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Ministerio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Salud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Pública </w:t>
      </w:r>
    </w:p>
    <w:p w:rsidR="00226820" w:rsidRPr="006743BE" w:rsidRDefault="00226820" w:rsidP="00226820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3BE">
        <w:rPr>
          <w:rFonts w:ascii="Times New Roman" w:hAnsi="Times New Roman" w:cs="Times New Roman"/>
          <w:sz w:val="24"/>
          <w:szCs w:val="24"/>
        </w:rPr>
        <w:t>Laboratorio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Tecnológico </w:t>
      </w:r>
      <w:proofErr w:type="spellStart"/>
      <w:proofErr w:type="gramStart"/>
      <w:r w:rsidRPr="006743BE"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3BE">
        <w:rPr>
          <w:rFonts w:ascii="Times New Roman" w:hAnsi="Times New Roman" w:cs="Times New Roman"/>
          <w:sz w:val="24"/>
          <w:szCs w:val="24"/>
        </w:rPr>
        <w:t>Uruguay</w:t>
      </w:r>
      <w:proofErr w:type="spellEnd"/>
      <w:r w:rsidRPr="006743BE">
        <w:rPr>
          <w:rFonts w:ascii="Times New Roman" w:hAnsi="Times New Roman" w:cs="Times New Roman"/>
          <w:sz w:val="24"/>
          <w:szCs w:val="24"/>
        </w:rPr>
        <w:t xml:space="preserve"> (LATU)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Art. 4º – A presente Resolução se aplicará no território dos Estados Partes, ao comércio entre eles e às importações </w:t>
      </w:r>
      <w:proofErr w:type="spellStart"/>
      <w:proofErr w:type="gramStart"/>
      <w:r w:rsidRPr="006743BE">
        <w:rPr>
          <w:rFonts w:ascii="Times New Roman" w:hAnsi="Times New Roman" w:cs="Times New Roman"/>
          <w:sz w:val="24"/>
          <w:szCs w:val="24"/>
        </w:rPr>
        <w:t>extra-zona</w:t>
      </w:r>
      <w:proofErr w:type="spellEnd"/>
      <w:proofErr w:type="gramEnd"/>
      <w:r w:rsidRPr="00674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820" w:rsidRPr="006743BE" w:rsidRDefault="00226820" w:rsidP="0022682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743BE">
        <w:rPr>
          <w:rFonts w:ascii="Times New Roman" w:hAnsi="Times New Roman" w:cs="Times New Roman"/>
          <w:sz w:val="24"/>
          <w:szCs w:val="24"/>
        </w:rPr>
        <w:t xml:space="preserve">Art. 5º - Esta Resolução deverá ser incorporada ao ordenamento jurídico dos Estados Partes antes de 30/VI/2012. </w:t>
      </w:r>
    </w:p>
    <w:p w:rsidR="00352396" w:rsidRPr="006743BE" w:rsidRDefault="00226820" w:rsidP="00226820">
      <w:pPr>
        <w:spacing w:before="300" w:after="300" w:line="240" w:lineRule="auto"/>
        <w:ind w:firstLine="573"/>
        <w:jc w:val="right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6743BE">
        <w:rPr>
          <w:rFonts w:ascii="Times New Roman" w:hAnsi="Times New Roman" w:cs="Times New Roman"/>
          <w:sz w:val="24"/>
          <w:szCs w:val="24"/>
          <w:lang w:val="en-US"/>
        </w:rPr>
        <w:t>XXXIX GMC EXT. - Montevideo, 17/XII/11</w:t>
      </w:r>
    </w:p>
    <w:sectPr w:rsidR="00352396" w:rsidRPr="006743BE" w:rsidSect="0009265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8B" w:rsidRDefault="00B33A8B" w:rsidP="00B33A8B">
      <w:pPr>
        <w:spacing w:after="0" w:line="240" w:lineRule="auto"/>
      </w:pPr>
      <w:r>
        <w:separator/>
      </w:r>
    </w:p>
  </w:endnote>
  <w:endnote w:type="continuationSeparator" w:id="0">
    <w:p w:rsidR="00B33A8B" w:rsidRDefault="00B33A8B" w:rsidP="00B3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8B" w:rsidRPr="008A0471" w:rsidRDefault="00B33A8B" w:rsidP="00B33A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33A8B" w:rsidRDefault="00B33A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8B" w:rsidRDefault="00B33A8B" w:rsidP="00B33A8B">
      <w:pPr>
        <w:spacing w:after="0" w:line="240" w:lineRule="auto"/>
      </w:pPr>
      <w:r>
        <w:separator/>
      </w:r>
    </w:p>
  </w:footnote>
  <w:footnote w:type="continuationSeparator" w:id="0">
    <w:p w:rsidR="00B33A8B" w:rsidRDefault="00B33A8B" w:rsidP="00B3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8B" w:rsidRPr="00B517AC" w:rsidRDefault="00B33A8B" w:rsidP="00B33A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01A3689" wp14:editId="58AAE8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3A8B" w:rsidRPr="00B517AC" w:rsidRDefault="00B33A8B" w:rsidP="00B33A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33A8B" w:rsidRPr="00B517AC" w:rsidRDefault="00B33A8B" w:rsidP="00B33A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33A8B" w:rsidRDefault="00B33A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5737"/>
    <w:multiLevelType w:val="hybridMultilevel"/>
    <w:tmpl w:val="65583DF8"/>
    <w:lvl w:ilvl="0" w:tplc="0416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>
    <w:nsid w:val="5BD2525F"/>
    <w:multiLevelType w:val="hybridMultilevel"/>
    <w:tmpl w:val="B78271DA"/>
    <w:lvl w:ilvl="0" w:tplc="0416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">
    <w:nsid w:val="612468E3"/>
    <w:multiLevelType w:val="hybridMultilevel"/>
    <w:tmpl w:val="2A9E6504"/>
    <w:lvl w:ilvl="0" w:tplc="0416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">
    <w:nsid w:val="66355042"/>
    <w:multiLevelType w:val="hybridMultilevel"/>
    <w:tmpl w:val="5F082B98"/>
    <w:lvl w:ilvl="0" w:tplc="0416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1ED"/>
    <w:rsid w:val="0009265D"/>
    <w:rsid w:val="000B0315"/>
    <w:rsid w:val="001E708B"/>
    <w:rsid w:val="001F5821"/>
    <w:rsid w:val="00226820"/>
    <w:rsid w:val="0024363B"/>
    <w:rsid w:val="0024459C"/>
    <w:rsid w:val="00352396"/>
    <w:rsid w:val="003B3942"/>
    <w:rsid w:val="006743BE"/>
    <w:rsid w:val="007241ED"/>
    <w:rsid w:val="007441BF"/>
    <w:rsid w:val="00786686"/>
    <w:rsid w:val="00812090"/>
    <w:rsid w:val="0092330C"/>
    <w:rsid w:val="00B30817"/>
    <w:rsid w:val="00B33A8B"/>
    <w:rsid w:val="00C1551B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8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3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A8B"/>
  </w:style>
  <w:style w:type="paragraph" w:styleId="Rodap">
    <w:name w:val="footer"/>
    <w:basedOn w:val="Normal"/>
    <w:link w:val="RodapChar"/>
    <w:uiPriority w:val="99"/>
    <w:unhideWhenUsed/>
    <w:rsid w:val="00B33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A8B"/>
  </w:style>
  <w:style w:type="paragraph" w:styleId="Textodebalo">
    <w:name w:val="Balloon Text"/>
    <w:basedOn w:val="Normal"/>
    <w:link w:val="TextodebaloChar"/>
    <w:uiPriority w:val="99"/>
    <w:semiHidden/>
    <w:unhideWhenUsed/>
    <w:rsid w:val="00B3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EB781D-7CF5-45FD-9801-9FD48458FFFA}"/>
</file>

<file path=customXml/itemProps2.xml><?xml version="1.0" encoding="utf-8"?>
<ds:datastoreItem xmlns:ds="http://schemas.openxmlformats.org/officeDocument/2006/customXml" ds:itemID="{242D97D7-C882-4FDC-80FE-D8098000EA28}"/>
</file>

<file path=customXml/itemProps3.xml><?xml version="1.0" encoding="utf-8"?>
<ds:datastoreItem xmlns:ds="http://schemas.openxmlformats.org/officeDocument/2006/customXml" ds:itemID="{CE50DA29-33AC-4366-BFCA-5C1DA242E2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788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laianabrasil</dc:creator>
  <cp:lastModifiedBy>THAIS.PEREIRA</cp:lastModifiedBy>
  <cp:revision>7</cp:revision>
  <cp:lastPrinted>2016-08-22T12:14:00Z</cp:lastPrinted>
  <dcterms:created xsi:type="dcterms:W3CDTF">2016-02-29T13:22:00Z</dcterms:created>
  <dcterms:modified xsi:type="dcterms:W3CDTF">2016-08-22T12:14:00Z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