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F2" w:rsidRPr="002C2EB8" w:rsidRDefault="004C536B" w:rsidP="002C2EB8">
      <w:pPr>
        <w:pStyle w:val="Ttulo1"/>
        <w:ind w:left="-426" w:right="-427"/>
        <w:divId w:val="1489710004"/>
        <w:rPr>
          <w:rFonts w:ascii="Times New Roman" w:hAnsi="Times New Roman" w:cs="Times New Roman"/>
        </w:rPr>
      </w:pPr>
      <w:bookmarkStart w:id="0" w:name="_GoBack"/>
      <w:bookmarkEnd w:id="0"/>
      <w:r w:rsidRPr="002C2EB8">
        <w:rPr>
          <w:rFonts w:ascii="Times New Roman" w:hAnsi="Times New Roman" w:cs="Times New Roman"/>
        </w:rPr>
        <w:t>RESOLUÇÃO</w:t>
      </w:r>
      <w:r w:rsidR="00020FC8" w:rsidRPr="002C2EB8">
        <w:rPr>
          <w:rFonts w:ascii="Times New Roman" w:hAnsi="Times New Roman" w:cs="Times New Roman"/>
        </w:rPr>
        <w:t xml:space="preserve"> DE DIRETORIA COLEGIADA</w:t>
      </w:r>
      <w:r w:rsidRPr="002C2EB8">
        <w:rPr>
          <w:rFonts w:ascii="Times New Roman" w:hAnsi="Times New Roman" w:cs="Times New Roman"/>
        </w:rPr>
        <w:t xml:space="preserve"> - RDC Nº </w:t>
      </w:r>
      <w:r w:rsidR="005A7908" w:rsidRPr="002C2EB8">
        <w:rPr>
          <w:rFonts w:ascii="Times New Roman" w:hAnsi="Times New Roman" w:cs="Times New Roman"/>
        </w:rPr>
        <w:t>3</w:t>
      </w:r>
      <w:r w:rsidR="00907A19" w:rsidRPr="002C2EB8">
        <w:rPr>
          <w:rFonts w:ascii="Times New Roman" w:hAnsi="Times New Roman" w:cs="Times New Roman"/>
        </w:rPr>
        <w:t>6</w:t>
      </w:r>
      <w:r w:rsidRPr="002C2EB8">
        <w:rPr>
          <w:rFonts w:ascii="Times New Roman" w:hAnsi="Times New Roman" w:cs="Times New Roman"/>
        </w:rPr>
        <w:t xml:space="preserve">, DE </w:t>
      </w:r>
      <w:r w:rsidR="00907A19" w:rsidRPr="002C2EB8">
        <w:rPr>
          <w:rFonts w:ascii="Times New Roman" w:hAnsi="Times New Roman" w:cs="Times New Roman"/>
        </w:rPr>
        <w:t>25</w:t>
      </w:r>
      <w:r w:rsidRPr="002C2EB8">
        <w:rPr>
          <w:rFonts w:ascii="Times New Roman" w:hAnsi="Times New Roman" w:cs="Times New Roman"/>
        </w:rPr>
        <w:t xml:space="preserve"> DE </w:t>
      </w:r>
      <w:r w:rsidR="005A7908" w:rsidRPr="002C2EB8">
        <w:rPr>
          <w:rFonts w:ascii="Times New Roman" w:hAnsi="Times New Roman" w:cs="Times New Roman"/>
        </w:rPr>
        <w:t>julho</w:t>
      </w:r>
      <w:r w:rsidR="00020FC8" w:rsidRPr="002C2EB8">
        <w:rPr>
          <w:rFonts w:ascii="Times New Roman" w:hAnsi="Times New Roman" w:cs="Times New Roman"/>
        </w:rPr>
        <w:t xml:space="preserve"> DE 2013</w:t>
      </w:r>
    </w:p>
    <w:p w:rsidR="00F618EA" w:rsidRDefault="009C6A89" w:rsidP="009C6A89">
      <w:pPr>
        <w:pStyle w:val="Ttulo1"/>
        <w:divId w:val="1489710004"/>
        <w:rPr>
          <w:rFonts w:ascii="Times New Roman" w:hAnsi="Times New Roman" w:cs="Times New Roman"/>
          <w:bCs w:val="0"/>
          <w:caps w:val="0"/>
          <w:color w:val="0000FF"/>
          <w:kern w:val="0"/>
          <w:sz w:val="24"/>
          <w:szCs w:val="24"/>
        </w:rPr>
      </w:pPr>
      <w:r w:rsidRPr="009C6A89">
        <w:rPr>
          <w:rFonts w:ascii="Times New Roman" w:hAnsi="Times New Roman" w:cs="Times New Roman"/>
          <w:bCs w:val="0"/>
          <w:caps w:val="0"/>
          <w:color w:val="0000FF"/>
          <w:kern w:val="0"/>
          <w:sz w:val="24"/>
          <w:szCs w:val="24"/>
        </w:rPr>
        <w:t xml:space="preserve">(Publicada em </w:t>
      </w:r>
      <w:r>
        <w:rPr>
          <w:rFonts w:ascii="Times New Roman" w:hAnsi="Times New Roman" w:cs="Times New Roman"/>
          <w:bCs w:val="0"/>
          <w:caps w:val="0"/>
          <w:color w:val="0000FF"/>
          <w:kern w:val="0"/>
          <w:sz w:val="24"/>
          <w:szCs w:val="24"/>
        </w:rPr>
        <w:t>DOU nº 143</w:t>
      </w:r>
      <w:r w:rsidRPr="009C6A89">
        <w:rPr>
          <w:rFonts w:ascii="Times New Roman" w:hAnsi="Times New Roman" w:cs="Times New Roman"/>
          <w:bCs w:val="0"/>
          <w:caps w:val="0"/>
          <w:color w:val="0000FF"/>
          <w:kern w:val="0"/>
          <w:sz w:val="24"/>
          <w:szCs w:val="24"/>
        </w:rPr>
        <w:t xml:space="preserve">, de </w:t>
      </w:r>
      <w:r>
        <w:rPr>
          <w:rFonts w:ascii="Times New Roman" w:hAnsi="Times New Roman" w:cs="Times New Roman"/>
          <w:bCs w:val="0"/>
          <w:caps w:val="0"/>
          <w:color w:val="0000FF"/>
          <w:kern w:val="0"/>
          <w:sz w:val="24"/>
          <w:szCs w:val="24"/>
        </w:rPr>
        <w:t>26</w:t>
      </w:r>
      <w:r w:rsidRPr="009C6A89">
        <w:rPr>
          <w:rFonts w:ascii="Times New Roman" w:hAnsi="Times New Roman" w:cs="Times New Roman"/>
          <w:bCs w:val="0"/>
          <w:caps w:val="0"/>
          <w:color w:val="0000FF"/>
          <w:kern w:val="0"/>
          <w:sz w:val="24"/>
          <w:szCs w:val="24"/>
        </w:rPr>
        <w:t xml:space="preserve"> de </w:t>
      </w:r>
      <w:r>
        <w:rPr>
          <w:rFonts w:ascii="Times New Roman" w:hAnsi="Times New Roman" w:cs="Times New Roman"/>
          <w:bCs w:val="0"/>
          <w:caps w:val="0"/>
          <w:color w:val="0000FF"/>
          <w:kern w:val="0"/>
          <w:sz w:val="24"/>
          <w:szCs w:val="24"/>
        </w:rPr>
        <w:t>julho de 2013</w:t>
      </w:r>
      <w:r w:rsidRPr="009C6A89">
        <w:rPr>
          <w:rFonts w:ascii="Times New Roman" w:hAnsi="Times New Roman" w:cs="Times New Roman"/>
          <w:bCs w:val="0"/>
          <w:caps w:val="0"/>
          <w:color w:val="0000FF"/>
          <w:kern w:val="0"/>
          <w:sz w:val="24"/>
          <w:szCs w:val="24"/>
        </w:rPr>
        <w:t>)</w:t>
      </w:r>
    </w:p>
    <w:p w:rsidR="00F618EA" w:rsidRPr="009C6A89" w:rsidRDefault="00F618EA" w:rsidP="002C2EB8">
      <w:pPr>
        <w:pStyle w:val="Default"/>
        <w:ind w:left="3686"/>
        <w:jc w:val="both"/>
        <w:divId w:val="1489710004"/>
        <w:rPr>
          <w:rFonts w:ascii="Times New Roman" w:hAnsi="Times New Roman" w:cs="Times New Roman"/>
          <w:color w:val="auto"/>
        </w:rPr>
      </w:pPr>
      <w:r w:rsidRPr="009C6A89">
        <w:rPr>
          <w:rFonts w:ascii="Times New Roman" w:hAnsi="Times New Roman" w:cs="Times New Roman"/>
          <w:color w:val="auto"/>
        </w:rPr>
        <w:t>Institui ações para a segurança do paciente em serviços de saúde e dá outras providências.</w:t>
      </w:r>
    </w:p>
    <w:p w:rsidR="00F618EA" w:rsidRDefault="00F618EA" w:rsidP="00F618EA">
      <w:pPr>
        <w:pStyle w:val="Default"/>
        <w:ind w:firstLine="567"/>
        <w:jc w:val="both"/>
        <w:divId w:val="1489710004"/>
        <w:rPr>
          <w:rFonts w:ascii="Times New Roman" w:hAnsi="Times New Roman" w:cs="Times New Roman"/>
          <w:color w:val="auto"/>
        </w:rPr>
      </w:pPr>
    </w:p>
    <w:p w:rsidR="00F618EA" w:rsidRDefault="00F618EA" w:rsidP="00F618EA">
      <w:pPr>
        <w:ind w:firstLine="567"/>
        <w:jc w:val="both"/>
        <w:divId w:val="1489710004"/>
        <w:rPr>
          <w:lang w:eastAsia="en-US"/>
        </w:rPr>
      </w:pPr>
      <w:r w:rsidRPr="009C6A89">
        <w:rPr>
          <w:lang w:eastAsia="en-US"/>
        </w:rPr>
        <w:t xml:space="preserve">A </w:t>
      </w:r>
      <w:r w:rsidRPr="009C6A89">
        <w:rPr>
          <w:b/>
          <w:bCs/>
          <w:lang w:eastAsia="en-US"/>
        </w:rPr>
        <w:t>Diretoria Colegiada da Agência Nacional de Vigilância Sanitária</w:t>
      </w:r>
      <w:r w:rsidRPr="009C6A89">
        <w:rPr>
          <w:lang w:eastAsia="en-US"/>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23 de julho de 2013, adota a seguinte Resolução da Diretoria Colegiada e eu, Diretor-Presidente , determino a sua publicação:</w:t>
      </w:r>
    </w:p>
    <w:p w:rsidR="0089359C" w:rsidRDefault="0089359C" w:rsidP="00F618EA">
      <w:pPr>
        <w:ind w:firstLine="567"/>
        <w:jc w:val="both"/>
        <w:divId w:val="1489710004"/>
        <w:rPr>
          <w:lang w:eastAsia="en-US"/>
        </w:rPr>
      </w:pPr>
    </w:p>
    <w:p w:rsidR="00F618EA"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CAPÍTULO I</w:t>
      </w:r>
    </w:p>
    <w:p w:rsidR="00D12F01" w:rsidRPr="009C6A89" w:rsidRDefault="00D12F01" w:rsidP="00F618EA">
      <w:pPr>
        <w:pStyle w:val="Default"/>
        <w:jc w:val="center"/>
        <w:divId w:val="1489710004"/>
        <w:rPr>
          <w:rFonts w:ascii="Times New Roman" w:hAnsi="Times New Roman" w:cs="Times New Roman"/>
          <w:b/>
          <w:color w:val="auto"/>
        </w:rPr>
      </w:pPr>
    </w:p>
    <w:p w:rsidR="00F618EA" w:rsidRPr="009C6A89"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DAS DISPOSIÇÕES INICIAIS</w:t>
      </w:r>
    </w:p>
    <w:p w:rsidR="00F618EA" w:rsidRPr="009C6A89" w:rsidRDefault="00F618EA" w:rsidP="00F618EA">
      <w:pPr>
        <w:pStyle w:val="Default"/>
        <w:jc w:val="both"/>
        <w:divId w:val="1489710004"/>
        <w:rPr>
          <w:rFonts w:ascii="Times New Roman" w:hAnsi="Times New Roman" w:cs="Times New Roman"/>
          <w:b/>
          <w:color w:val="auto"/>
        </w:rPr>
      </w:pPr>
    </w:p>
    <w:p w:rsidR="00F618EA"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Seção I</w:t>
      </w:r>
    </w:p>
    <w:p w:rsidR="0017257D" w:rsidRPr="009C6A89" w:rsidRDefault="0017257D" w:rsidP="00F618EA">
      <w:pPr>
        <w:pStyle w:val="Default"/>
        <w:jc w:val="center"/>
        <w:divId w:val="1489710004"/>
        <w:rPr>
          <w:rFonts w:ascii="Times New Roman" w:hAnsi="Times New Roman" w:cs="Times New Roman"/>
          <w:b/>
          <w:color w:val="auto"/>
        </w:rPr>
      </w:pPr>
    </w:p>
    <w:p w:rsidR="00F618EA" w:rsidRPr="009C6A89"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Objetivo</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Art. 1º Esta Resolução tem por objetivo instituir ações para a promoção da segurança do paciente e a melhoria da qualidade nos serviços de saúde.</w:t>
      </w:r>
    </w:p>
    <w:p w:rsidR="00F618EA" w:rsidRPr="009C6A89" w:rsidRDefault="00F618EA" w:rsidP="00F618EA">
      <w:pPr>
        <w:pStyle w:val="Default"/>
        <w:jc w:val="both"/>
        <w:divId w:val="1489710004"/>
        <w:rPr>
          <w:rFonts w:ascii="Times New Roman" w:hAnsi="Times New Roman" w:cs="Times New Roman"/>
          <w:color w:val="auto"/>
        </w:rPr>
      </w:pPr>
    </w:p>
    <w:p w:rsidR="00F618EA"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Seção II</w:t>
      </w:r>
    </w:p>
    <w:p w:rsidR="0017257D" w:rsidRPr="009C6A89" w:rsidRDefault="0017257D" w:rsidP="00F618EA">
      <w:pPr>
        <w:pStyle w:val="Default"/>
        <w:jc w:val="center"/>
        <w:divId w:val="1489710004"/>
        <w:rPr>
          <w:rFonts w:ascii="Times New Roman" w:hAnsi="Times New Roman" w:cs="Times New Roman"/>
          <w:b/>
          <w:color w:val="auto"/>
        </w:rPr>
      </w:pPr>
    </w:p>
    <w:p w:rsidR="00F618EA" w:rsidRPr="009C6A89"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Abrangência</w:t>
      </w:r>
    </w:p>
    <w:p w:rsidR="00F618EA" w:rsidRPr="009C6A89" w:rsidRDefault="00F618EA" w:rsidP="00F618EA">
      <w:pPr>
        <w:pStyle w:val="Default"/>
        <w:jc w:val="center"/>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Art. 2º Esta Resolução se aplica aos serviços de saúde, sejam eles públicos, privados, filantrópicos, civis ou militares, incluindo aqueles que exercem ações de ensino e pesquisa.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Parágrafo único. Excluem-se do escopo desta Resolução os consultórios individualizados, laboratórios clínicos e os serviços móveis e de atenção domiciliar.</w:t>
      </w:r>
    </w:p>
    <w:p w:rsidR="0017257D" w:rsidRDefault="0017257D" w:rsidP="00F618EA">
      <w:pPr>
        <w:pStyle w:val="Default"/>
        <w:jc w:val="center"/>
        <w:divId w:val="1489710004"/>
        <w:rPr>
          <w:rFonts w:ascii="Times New Roman" w:hAnsi="Times New Roman" w:cs="Times New Roman"/>
          <w:color w:val="auto"/>
        </w:rPr>
      </w:pPr>
    </w:p>
    <w:p w:rsidR="00675AA8" w:rsidRDefault="00675AA8" w:rsidP="00F618EA">
      <w:pPr>
        <w:pStyle w:val="Default"/>
        <w:jc w:val="center"/>
        <w:divId w:val="1489710004"/>
        <w:rPr>
          <w:rFonts w:ascii="Times New Roman" w:hAnsi="Times New Roman" w:cs="Times New Roman"/>
          <w:color w:val="auto"/>
        </w:rPr>
      </w:pPr>
    </w:p>
    <w:p w:rsidR="00675AA8" w:rsidRDefault="00675AA8" w:rsidP="00F618EA">
      <w:pPr>
        <w:pStyle w:val="Default"/>
        <w:jc w:val="center"/>
        <w:divId w:val="1489710004"/>
        <w:rPr>
          <w:rFonts w:ascii="Times New Roman" w:hAnsi="Times New Roman" w:cs="Times New Roman"/>
          <w:color w:val="auto"/>
        </w:rPr>
      </w:pPr>
    </w:p>
    <w:p w:rsidR="00F618EA"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lastRenderedPageBreak/>
        <w:t>Seção III</w:t>
      </w:r>
    </w:p>
    <w:p w:rsidR="0017257D" w:rsidRPr="009C6A89" w:rsidRDefault="0017257D" w:rsidP="00F618EA">
      <w:pPr>
        <w:pStyle w:val="Default"/>
        <w:jc w:val="center"/>
        <w:divId w:val="1489710004"/>
        <w:rPr>
          <w:rFonts w:ascii="Times New Roman" w:hAnsi="Times New Roman" w:cs="Times New Roman"/>
          <w:b/>
          <w:color w:val="auto"/>
        </w:rPr>
      </w:pPr>
    </w:p>
    <w:p w:rsidR="00F618EA" w:rsidRPr="009C6A89"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Definições</w:t>
      </w:r>
    </w:p>
    <w:p w:rsidR="00F618EA" w:rsidRPr="009C6A89" w:rsidRDefault="00F618EA" w:rsidP="00F618EA">
      <w:pPr>
        <w:pStyle w:val="Default"/>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Art. 3º Para efeito desta Resolução são adotadas as seguintes definições: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ind w:firstLine="567"/>
        <w:jc w:val="both"/>
        <w:divId w:val="1489710004"/>
      </w:pPr>
      <w:r w:rsidRPr="009C6A89">
        <w:t>I – boas práticas de funcionamento do serviço de saúde: componentes da garantia da qualidade que asseguram que os serviços são ofertados com padrões de qualidade adequados;</w:t>
      </w: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II – cultura da segurança: conjunto de valores, atitudes, competências e comportamentos que determinam o comprometimento com a gestão da saúde e da segurança, substituindo a culpa e a punição pela oportunidade de aprender com as falhas e melhorar a atenção à saúde;</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III – dano: comprometimento da estrutura ou função do corpo e/ou qualquer efeito dele oriundo, incluindo doenças, lesão, sofrimento, morte, incapacidade ou disfunção, podendo, assim, ser físico, social ou psicológico;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IV – evento adverso: incidente que resulta em dano à saúde;</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V – garantia da qualidade: totalidade das ações sistemáticas necessárias para garantir que os serviços prestados estejam dentro dos padrões de qualidade exigidos para os fins a que se propõem;</w:t>
      </w:r>
    </w:p>
    <w:p w:rsidR="00F618EA" w:rsidRPr="009C6A89" w:rsidRDefault="00F618EA" w:rsidP="00F618EA">
      <w:pPr>
        <w:ind w:firstLine="567"/>
        <w:jc w:val="both"/>
        <w:divId w:val="1489710004"/>
      </w:pPr>
      <w:r w:rsidRPr="009C6A89">
        <w:t>VI – gestão de risco: aplicação sistêmica e contínua de políticas, procedimentos, condutas e recursos na identificação, análise, avaliação, comunicação e controle de riscos e eventos adversos que afetam a segurança, a saúde humana, a integridade profissional, o meio ambiente e a imagem institucional;</w:t>
      </w:r>
    </w:p>
    <w:p w:rsidR="00F618EA" w:rsidRPr="009C6A89" w:rsidRDefault="00F618EA" w:rsidP="00F618EA">
      <w:pPr>
        <w:ind w:firstLine="567"/>
        <w:jc w:val="both"/>
        <w:divId w:val="1489710004"/>
      </w:pPr>
      <w:r w:rsidRPr="009C6A89">
        <w:t xml:space="preserve">VII – incidente: evento ou circunstância que poderia ter resultado, ou resultou, em dano desnecessário à saúde; </w:t>
      </w:r>
    </w:p>
    <w:p w:rsidR="00F618EA" w:rsidRPr="009C6A89" w:rsidRDefault="00F618EA" w:rsidP="00F618EA">
      <w:pPr>
        <w:ind w:firstLine="567"/>
        <w:jc w:val="both"/>
        <w:divId w:val="1489710004"/>
      </w:pPr>
      <w:r w:rsidRPr="009C6A89">
        <w:t xml:space="preserve">VIII – núcleo de segurança do paciente (NSP): instância do serviço de saúde criada para promover e apoiar a implementação de ações voltadas à segurança do paciente; </w:t>
      </w:r>
    </w:p>
    <w:p w:rsidR="00F618EA" w:rsidRPr="009C6A89" w:rsidRDefault="00F618EA" w:rsidP="00F618EA">
      <w:pPr>
        <w:ind w:firstLine="567"/>
        <w:jc w:val="both"/>
        <w:divId w:val="1489710004"/>
      </w:pPr>
      <w:r w:rsidRPr="009C6A89">
        <w:t>IX – plano de segurança do paciente em serviços de saúde: documento que aponta situações de risco e descreve as estratégias e ações definidas pelo serviço de saúde para a gestão de risco visando a prevenção e a mitigação dos incidentes, desde a admissão até a transferência, a alta ou o óbito do paciente no serviço de saúde;</w:t>
      </w: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X </w:t>
      </w:r>
      <w:r w:rsidRPr="009C6A89">
        <w:rPr>
          <w:rFonts w:ascii="Times New Roman" w:hAnsi="Times New Roman" w:cs="Times New Roman"/>
        </w:rPr>
        <w:t>–</w:t>
      </w:r>
      <w:r w:rsidRPr="009C6A89">
        <w:rPr>
          <w:rFonts w:ascii="Times New Roman" w:hAnsi="Times New Roman" w:cs="Times New Roman"/>
          <w:color w:val="auto"/>
        </w:rPr>
        <w:t xml:space="preserve"> segurança do paciente: redução, a um mínimo aceitável, do risco de dano desnecessário associado à atenção à saúde;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lastRenderedPageBreak/>
        <w:t>XI – serviço de saúde: estabelecimento destinado ao desenvolvimento de ações relacionadas à promoção, proteção, manutenção e recuperação da saúde, qualquer que seja o seu nível de complexidade, em regime de internação ou não, incluindo a atenção realizada em consultórios, domicílios e unidades móveis;</w:t>
      </w:r>
    </w:p>
    <w:p w:rsidR="00F618EA" w:rsidRPr="009C6A89" w:rsidRDefault="00F618EA" w:rsidP="00F618EA">
      <w:pPr>
        <w:pStyle w:val="Default"/>
        <w:ind w:firstLine="567"/>
        <w:jc w:val="both"/>
        <w:divId w:val="1489710004"/>
        <w:rPr>
          <w:rFonts w:ascii="Times New Roman" w:hAnsi="Times New Roman" w:cs="Times New Roman"/>
          <w:color w:val="auto"/>
        </w:rPr>
      </w:pPr>
    </w:p>
    <w:p w:rsidR="009C6A89" w:rsidRPr="00D5529D" w:rsidRDefault="00F618EA" w:rsidP="00D5529D">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XII – tecnologias em saúde: conjunto de equipamentos, medicamentos, insumos e procedimentos utilizados na atenção à saúde, bem como os processos de trabalho, a infraestrutura e a organização do serviço de saúde.</w:t>
      </w:r>
    </w:p>
    <w:p w:rsidR="00F618EA" w:rsidRPr="009C6A89" w:rsidRDefault="00F618EA" w:rsidP="00F618EA">
      <w:pPr>
        <w:pStyle w:val="Default"/>
        <w:divId w:val="1489710004"/>
        <w:rPr>
          <w:rFonts w:ascii="Times New Roman" w:hAnsi="Times New Roman" w:cs="Times New Roman"/>
          <w:color w:val="auto"/>
        </w:rPr>
      </w:pPr>
    </w:p>
    <w:p w:rsidR="00F618EA"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CAPÍTULO II</w:t>
      </w:r>
    </w:p>
    <w:p w:rsidR="0017257D" w:rsidRPr="009C6A89" w:rsidRDefault="0017257D" w:rsidP="00F618EA">
      <w:pPr>
        <w:pStyle w:val="Default"/>
        <w:jc w:val="center"/>
        <w:divId w:val="1489710004"/>
        <w:rPr>
          <w:rFonts w:ascii="Times New Roman" w:hAnsi="Times New Roman" w:cs="Times New Roman"/>
          <w:b/>
          <w:color w:val="auto"/>
        </w:rPr>
      </w:pPr>
    </w:p>
    <w:p w:rsidR="00F618EA" w:rsidRPr="009C6A89"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DAS CONDIÇÕES ORGANIZACIONAIS</w:t>
      </w:r>
    </w:p>
    <w:p w:rsidR="00F618EA" w:rsidRPr="009C6A89" w:rsidRDefault="00F618EA" w:rsidP="00F618EA">
      <w:pPr>
        <w:pStyle w:val="Default"/>
        <w:jc w:val="center"/>
        <w:divId w:val="1489710004"/>
        <w:rPr>
          <w:rFonts w:ascii="Times New Roman" w:hAnsi="Times New Roman" w:cs="Times New Roman"/>
          <w:b/>
          <w:color w:val="auto"/>
        </w:rPr>
      </w:pPr>
    </w:p>
    <w:p w:rsidR="00F618EA"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Seção I</w:t>
      </w:r>
    </w:p>
    <w:p w:rsidR="0017257D" w:rsidRPr="009C6A89" w:rsidRDefault="0017257D" w:rsidP="00F618EA">
      <w:pPr>
        <w:pStyle w:val="Default"/>
        <w:jc w:val="center"/>
        <w:divId w:val="1489710004"/>
        <w:rPr>
          <w:rFonts w:ascii="Times New Roman" w:hAnsi="Times New Roman" w:cs="Times New Roman"/>
          <w:b/>
          <w:color w:val="auto"/>
        </w:rPr>
      </w:pPr>
    </w:p>
    <w:p w:rsidR="00F618EA" w:rsidRPr="009C6A89"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Da criação do Núcleo de Segurança do Paciente</w:t>
      </w:r>
    </w:p>
    <w:p w:rsidR="00F618EA" w:rsidRPr="009C6A89" w:rsidRDefault="00F618EA" w:rsidP="00F618EA">
      <w:pPr>
        <w:pStyle w:val="Default"/>
        <w:jc w:val="center"/>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Art. 4º A direção do serviço de saúde deve constituir o Núcleo de Segurança do Paciente (NSP) e nomear a sua composição, conferindo aos membros autoridade, responsabilidade e poder para executar as ações do Plano de Segurança do Paciente em Serviços de Saúde.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kern w:val="32"/>
        </w:rPr>
        <w:t>§</w:t>
      </w:r>
      <w:r w:rsidRPr="009C6A89">
        <w:rPr>
          <w:rFonts w:ascii="Times New Roman" w:hAnsi="Times New Roman" w:cs="Times New Roman"/>
          <w:color w:val="auto"/>
        </w:rPr>
        <w:t xml:space="preserve"> 1º A direção do serviço de saúde pode utilizar a estrutura de comitês, comissões, gerências, coordenações ou núcleos já existentes para o desempenho das atribuições do NSP.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kern w:val="32"/>
        </w:rPr>
        <w:t>§</w:t>
      </w:r>
      <w:r w:rsidRPr="009C6A89">
        <w:rPr>
          <w:rFonts w:ascii="Times New Roman" w:hAnsi="Times New Roman" w:cs="Times New Roman"/>
          <w:color w:val="auto"/>
        </w:rPr>
        <w:t xml:space="preserve"> 2º No caso de serviços públicos ambulatoriais pode ser constituído um NSP para cada serviço de saúde ou um NSP para o conjunto desses, conforme decisão do gestor local do SUS.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Art. 5º Para o funcionamento sistemático e contínuo do NSP a direção do serviço de saúde deve disponibilizar: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I </w:t>
      </w:r>
      <w:r w:rsidRPr="009C6A89">
        <w:rPr>
          <w:rFonts w:ascii="Times New Roman" w:hAnsi="Times New Roman" w:cs="Times New Roman"/>
        </w:rPr>
        <w:t>–</w:t>
      </w:r>
      <w:r w:rsidRPr="009C6A89">
        <w:rPr>
          <w:rFonts w:ascii="Times New Roman" w:hAnsi="Times New Roman" w:cs="Times New Roman"/>
          <w:color w:val="auto"/>
        </w:rPr>
        <w:t xml:space="preserve"> recursos humanos, financeiros, equipamentos, insumos e materiais;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II – um profissional responsável pelo NSP com participação nas instâncias deliberativas do serviço de saúde.</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Art. 6º O NSP deve adotar os seguintes princípios e diretrizes:</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I </w:t>
      </w:r>
      <w:r w:rsidRPr="009C6A89">
        <w:rPr>
          <w:rFonts w:ascii="Times New Roman" w:hAnsi="Times New Roman" w:cs="Times New Roman"/>
        </w:rPr>
        <w:t>–</w:t>
      </w:r>
      <w:r w:rsidRPr="009C6A89">
        <w:rPr>
          <w:rFonts w:ascii="Times New Roman" w:hAnsi="Times New Roman" w:cs="Times New Roman"/>
          <w:color w:val="auto"/>
        </w:rPr>
        <w:t xml:space="preserve"> A melhoria contínua dos processos de cuidado e do uso de tecnologias da saúde;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II </w:t>
      </w:r>
      <w:r w:rsidRPr="009C6A89">
        <w:rPr>
          <w:rFonts w:ascii="Times New Roman" w:hAnsi="Times New Roman" w:cs="Times New Roman"/>
        </w:rPr>
        <w:t>–</w:t>
      </w:r>
      <w:r w:rsidRPr="009C6A89">
        <w:rPr>
          <w:rFonts w:ascii="Times New Roman" w:hAnsi="Times New Roman" w:cs="Times New Roman"/>
          <w:color w:val="auto"/>
        </w:rPr>
        <w:t xml:space="preserve"> A disseminação sistemática da cultura de segurança;</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III </w:t>
      </w:r>
      <w:r w:rsidRPr="009C6A89">
        <w:rPr>
          <w:rFonts w:ascii="Times New Roman" w:hAnsi="Times New Roman" w:cs="Times New Roman"/>
        </w:rPr>
        <w:t>–</w:t>
      </w:r>
      <w:r w:rsidRPr="009C6A89">
        <w:rPr>
          <w:rFonts w:ascii="Times New Roman" w:hAnsi="Times New Roman" w:cs="Times New Roman"/>
          <w:color w:val="auto"/>
        </w:rPr>
        <w:t xml:space="preserve"> A articulação e a integração dos processos de gestão de risco;</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IV – A garantia das boas práticas de funcionamento do serviço de saúde.</w:t>
      </w:r>
    </w:p>
    <w:p w:rsidR="00F618EA" w:rsidRPr="009C6A89" w:rsidRDefault="00F618EA" w:rsidP="00F618EA">
      <w:pPr>
        <w:pStyle w:val="Default"/>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Art.7º Compete ao NSP: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I – promover ações para a gestão de risco no serviço de saúde;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II – desenvolver ações para a integração e a articulação multiprofissional no serviço de saúde;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III – promover mecanismos para identificar e avaliar a existência de não conformidades nos processos e procedimentos realizados e na utilização de equipamentos, medicamentos e insumos propondo a</w:t>
      </w:r>
      <w:r w:rsidR="009C6A89">
        <w:rPr>
          <w:rFonts w:ascii="Times New Roman" w:hAnsi="Times New Roman" w:cs="Times New Roman"/>
          <w:color w:val="auto"/>
        </w:rPr>
        <w:t xml:space="preserve">ções preventivas e corretivas;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IV – elaborar, implantar, divulgar e manter atualizado o Plano de Segurança do Paciente em Serviços de Saúde;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V </w:t>
      </w:r>
      <w:r w:rsidRPr="009C6A89">
        <w:rPr>
          <w:rFonts w:ascii="Times New Roman" w:hAnsi="Times New Roman" w:cs="Times New Roman"/>
        </w:rPr>
        <w:t>–</w:t>
      </w:r>
      <w:r w:rsidRPr="009C6A89">
        <w:rPr>
          <w:rFonts w:ascii="Times New Roman" w:hAnsi="Times New Roman" w:cs="Times New Roman"/>
          <w:color w:val="auto"/>
        </w:rPr>
        <w:t xml:space="preserve"> acompanhar as ações vinculadas ao Plano de Segurança do Paciente em Serviços de Saúde;</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VI – implantar os Protocolos de Segurança do Paciente e realizar o monitoramento dos seus indicadores;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VII – estabelecer barreiras para a prevenção de incidentes nos serviços de saúde;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VIII – desenvolver, implantar e acompanhar programas de capacitação em segurança do paciente e qualidade em serviços de saúde;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IX – analisar e avaliar os dados sobre incidentes e eventos adversos decorrentes da prestação do serviço de saúde;</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X </w:t>
      </w:r>
      <w:r w:rsidRPr="009C6A89">
        <w:rPr>
          <w:rFonts w:ascii="Times New Roman" w:hAnsi="Times New Roman" w:cs="Times New Roman"/>
        </w:rPr>
        <w:t>–</w:t>
      </w:r>
      <w:r w:rsidRPr="009C6A89">
        <w:rPr>
          <w:rFonts w:ascii="Times New Roman" w:hAnsi="Times New Roman" w:cs="Times New Roman"/>
          <w:color w:val="auto"/>
        </w:rPr>
        <w:t xml:space="preserve"> compartilhar e divulgar à direção e aos profissionais do serviço de saúde os resultados da análise e avaliação dos dados sobre incidentes e eventos adversos decorrentes da prestação do serviço de saúde; </w:t>
      </w:r>
    </w:p>
    <w:p w:rsidR="00F618EA" w:rsidRPr="009C6A89" w:rsidRDefault="00F618EA" w:rsidP="00F618EA">
      <w:pPr>
        <w:ind w:firstLine="567"/>
        <w:jc w:val="both"/>
        <w:divId w:val="1489710004"/>
      </w:pPr>
      <w:r w:rsidRPr="009C6A89">
        <w:t>XI – notificar ao Sistema Nacional de Vigilância Sanitária os eventos adversos decorrentes da prestação do serviço de saúde;</w:t>
      </w: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XII– manter sob sua guarda e disponibilizar à autoridade sanitária, quando requisitado, as notificações de eventos adversos;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XIII – acompanhar os alertas sanitários e outras comunicações de risco divulgadas pelas autoridades sanitárias.</w:t>
      </w:r>
    </w:p>
    <w:p w:rsidR="00907A19" w:rsidRPr="009C6A89" w:rsidRDefault="00907A19" w:rsidP="00F618EA">
      <w:pPr>
        <w:pStyle w:val="Default"/>
        <w:jc w:val="center"/>
        <w:divId w:val="1489710004"/>
        <w:rPr>
          <w:rFonts w:ascii="Times New Roman" w:hAnsi="Times New Roman" w:cs="Times New Roman"/>
          <w:b/>
          <w:color w:val="auto"/>
        </w:rPr>
      </w:pPr>
    </w:p>
    <w:p w:rsidR="002C2EB8" w:rsidRDefault="002C2EB8" w:rsidP="00F618EA">
      <w:pPr>
        <w:pStyle w:val="Default"/>
        <w:jc w:val="center"/>
        <w:divId w:val="1489710004"/>
        <w:rPr>
          <w:rFonts w:ascii="Times New Roman" w:hAnsi="Times New Roman" w:cs="Times New Roman"/>
          <w:b/>
          <w:color w:val="auto"/>
        </w:rPr>
      </w:pPr>
    </w:p>
    <w:p w:rsidR="00F618EA"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lastRenderedPageBreak/>
        <w:t>Seção II</w:t>
      </w:r>
    </w:p>
    <w:p w:rsidR="0017257D" w:rsidRPr="009C6A89" w:rsidRDefault="0017257D" w:rsidP="00F618EA">
      <w:pPr>
        <w:pStyle w:val="Default"/>
        <w:jc w:val="center"/>
        <w:divId w:val="1489710004"/>
        <w:rPr>
          <w:rFonts w:ascii="Times New Roman" w:hAnsi="Times New Roman" w:cs="Times New Roman"/>
          <w:b/>
          <w:color w:val="auto"/>
        </w:rPr>
      </w:pPr>
    </w:p>
    <w:p w:rsidR="00F618EA" w:rsidRPr="009C6A89"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Do Plano de Segurança do Paciente em Serviços de Saúde</w:t>
      </w:r>
    </w:p>
    <w:p w:rsidR="00F618EA" w:rsidRPr="009C6A89" w:rsidRDefault="00F618EA" w:rsidP="00F618EA">
      <w:pPr>
        <w:pStyle w:val="Default"/>
        <w:jc w:val="center"/>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Art. 8º O Plano de Segurança do Paciente em Serviços de Saúde (PSP), elaborado pelo NSP, deve estabelecer estratégias e ações de gestão de risco, conforme as atividades desenvolvidas pelo serviço de saúde para: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I – identificação, análise, avaliação, monitoramento e comunicação dos riscos no serviço de saúde, de forma sistemática;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II – integrar os diferentes processos de gestão de risco desenvolvidos nos serviços de saúde;</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III – implementação de protocolos estabelecidos pelo Ministério da Saude;</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IV – identificação do paciente;</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V – higiene das mãos;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VI – segurança cirúrgica;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VII – segurança na prescrição, uso e administração de medicamentos;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2C2EB8" w:rsidRDefault="00F618EA" w:rsidP="00F618EA">
      <w:pPr>
        <w:pStyle w:val="Default"/>
        <w:ind w:firstLine="567"/>
        <w:jc w:val="both"/>
        <w:divId w:val="1489710004"/>
        <w:rPr>
          <w:rFonts w:ascii="Times New Roman" w:hAnsi="Times New Roman" w:cs="Times New Roman"/>
          <w:color w:val="auto"/>
          <w:spacing w:val="-6"/>
        </w:rPr>
      </w:pPr>
      <w:r w:rsidRPr="002C2EB8">
        <w:rPr>
          <w:rFonts w:ascii="Times New Roman" w:hAnsi="Times New Roman" w:cs="Times New Roman"/>
          <w:color w:val="auto"/>
          <w:spacing w:val="-6"/>
        </w:rPr>
        <w:t xml:space="preserve">VIII – segurança na prescrição, uso e administração de sangue e hemocomponentes;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IX – segurança no uso de equipamentos e materiais;</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bCs/>
          <w:color w:val="auto"/>
        </w:rPr>
      </w:pPr>
      <w:r w:rsidRPr="009C6A89">
        <w:rPr>
          <w:rFonts w:ascii="Times New Roman" w:hAnsi="Times New Roman" w:cs="Times New Roman"/>
          <w:color w:val="auto"/>
        </w:rPr>
        <w:t xml:space="preserve">X - </w:t>
      </w:r>
      <w:r w:rsidRPr="009C6A89">
        <w:rPr>
          <w:rFonts w:ascii="Times New Roman" w:hAnsi="Times New Roman" w:cs="Times New Roman"/>
          <w:bCs/>
          <w:color w:val="auto"/>
        </w:rPr>
        <w:t>manter registro adequado do uso de órteses e próteses quando este procedimento for realizado;</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XI – prevenção de quedas dos pacientes;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XII – prevenção de úlceras por pressão;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XIII – prevenção e controle de eventos adversos em serviços de saúde, incluindo as infecções relacionadas à assistência à saúde;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XIV– segurança nas terapias nutricionais enteral e parenteral;</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XV – comunicação efetiva entre profissionais do serviço de saúde e entre serviços de saúde;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2C2EB8" w:rsidRDefault="00F618EA" w:rsidP="00F618EA">
      <w:pPr>
        <w:pStyle w:val="Default"/>
        <w:ind w:firstLine="567"/>
        <w:jc w:val="both"/>
        <w:divId w:val="1489710004"/>
        <w:rPr>
          <w:rFonts w:ascii="Times New Roman" w:hAnsi="Times New Roman" w:cs="Times New Roman"/>
          <w:color w:val="auto"/>
          <w:spacing w:val="-6"/>
        </w:rPr>
      </w:pPr>
      <w:r w:rsidRPr="002C2EB8">
        <w:rPr>
          <w:rFonts w:ascii="Times New Roman" w:hAnsi="Times New Roman" w:cs="Times New Roman"/>
          <w:color w:val="auto"/>
          <w:spacing w:val="-6"/>
        </w:rPr>
        <w:t xml:space="preserve">XVI – estimular a participação do paciente e dos familiares na assistência prestada.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XVII – promoção do ambiente seguro</w:t>
      </w:r>
    </w:p>
    <w:p w:rsidR="00F618EA" w:rsidRPr="009C6A89" w:rsidRDefault="00F618EA" w:rsidP="00F618EA">
      <w:pPr>
        <w:pStyle w:val="Default"/>
        <w:divId w:val="1489710004"/>
        <w:rPr>
          <w:rFonts w:ascii="Times New Roman" w:hAnsi="Times New Roman" w:cs="Times New Roman"/>
          <w:color w:val="auto"/>
        </w:rPr>
      </w:pPr>
    </w:p>
    <w:p w:rsidR="00F618EA"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CAPÍTULO III</w:t>
      </w:r>
    </w:p>
    <w:p w:rsidR="0017257D" w:rsidRPr="009C6A89" w:rsidRDefault="0017257D" w:rsidP="00F618EA">
      <w:pPr>
        <w:pStyle w:val="Default"/>
        <w:jc w:val="center"/>
        <w:divId w:val="1489710004"/>
        <w:rPr>
          <w:rFonts w:ascii="Times New Roman" w:hAnsi="Times New Roman" w:cs="Times New Roman"/>
          <w:b/>
          <w:color w:val="auto"/>
        </w:rPr>
      </w:pPr>
    </w:p>
    <w:p w:rsidR="00F618EA" w:rsidRPr="009C6A89"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DA VIGILÂNCIA, DO MONITORAMENTO E DA NOTIFICAÇÃO DE EVENTOS ADVERSOS</w:t>
      </w:r>
    </w:p>
    <w:p w:rsidR="00F618EA" w:rsidRPr="009C6A89" w:rsidRDefault="00F618EA" w:rsidP="00F618EA">
      <w:pPr>
        <w:pStyle w:val="Default"/>
        <w:jc w:val="center"/>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Art. 9º O monitoramento dos incidentes e eventos adversos será realizado pelo Núcleo de Segurança do Paciente – NSP.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Art. 10 A notificação dos eventos adversos, para fins desta Resolução, deve ser realizada mensalmente pelo NSP, até o 15º (décimo quinto) dia útil do mês subsequente ao mês de vigilância, por meio das ferramentas eletrônicas disponibilizadas pela Anvisa. </w:t>
      </w: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Parágrafo único – Os eventos adversos que evoluírem para óbito devem ser notificados em até 72 (setenta e duas) horas a partir do ocorrido.</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Art. 11 Compete à ANVISA, em articulação com o Sistema Nacional de Vigilância Sanitária: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I – monitorar os dados sobre eventos adversos notificados pelos serviços de saúde;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II – divulgar relatório anual sobre eventos adversos com a análise das notificações realizadas pelos serviços de saúde;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III – acompanhar, junto às vigilâncias sanitárias distrital, estadual e municipal as investigações sobre os eventos adversos que evoluíram para óbito. </w:t>
      </w:r>
    </w:p>
    <w:p w:rsidR="00F618EA" w:rsidRPr="009C6A89" w:rsidRDefault="00F618EA" w:rsidP="00F618EA">
      <w:pPr>
        <w:pStyle w:val="Default"/>
        <w:divId w:val="1489710004"/>
        <w:rPr>
          <w:rFonts w:ascii="Times New Roman" w:hAnsi="Times New Roman" w:cs="Times New Roman"/>
          <w:color w:val="auto"/>
        </w:rPr>
      </w:pPr>
    </w:p>
    <w:p w:rsidR="00F618EA"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CAPÍTULO IV</w:t>
      </w:r>
    </w:p>
    <w:p w:rsidR="0017257D" w:rsidRPr="009C6A89" w:rsidRDefault="0017257D" w:rsidP="00F618EA">
      <w:pPr>
        <w:pStyle w:val="Default"/>
        <w:jc w:val="center"/>
        <w:divId w:val="1489710004"/>
        <w:rPr>
          <w:rFonts w:ascii="Times New Roman" w:hAnsi="Times New Roman" w:cs="Times New Roman"/>
          <w:b/>
          <w:color w:val="auto"/>
        </w:rPr>
      </w:pPr>
    </w:p>
    <w:p w:rsidR="00F618EA" w:rsidRPr="009C6A89" w:rsidRDefault="00F618EA" w:rsidP="00F618EA">
      <w:pPr>
        <w:pStyle w:val="Default"/>
        <w:jc w:val="center"/>
        <w:divId w:val="1489710004"/>
        <w:rPr>
          <w:rFonts w:ascii="Times New Roman" w:hAnsi="Times New Roman" w:cs="Times New Roman"/>
          <w:b/>
          <w:color w:val="auto"/>
        </w:rPr>
      </w:pPr>
      <w:r w:rsidRPr="009C6A89">
        <w:rPr>
          <w:rFonts w:ascii="Times New Roman" w:hAnsi="Times New Roman" w:cs="Times New Roman"/>
          <w:b/>
          <w:color w:val="auto"/>
        </w:rPr>
        <w:t>DAS DISPOSIÇÕES FINAIS E TRANSITÓRIAS</w:t>
      </w:r>
    </w:p>
    <w:p w:rsidR="00F618EA" w:rsidRPr="009C6A89" w:rsidRDefault="00F618EA" w:rsidP="00F618EA">
      <w:pPr>
        <w:pStyle w:val="Default"/>
        <w:jc w:val="center"/>
        <w:divId w:val="1489710004"/>
        <w:rPr>
          <w:rFonts w:ascii="Times New Roman" w:hAnsi="Times New Roman" w:cs="Times New Roman"/>
          <w:color w:val="auto"/>
        </w:rPr>
      </w:pPr>
    </w:p>
    <w:p w:rsidR="00F618EA" w:rsidRPr="009C6A89" w:rsidRDefault="00F618EA" w:rsidP="009C6A89">
      <w:pPr>
        <w:pStyle w:val="Default"/>
        <w:ind w:firstLine="567"/>
        <w:jc w:val="both"/>
        <w:divId w:val="1489710004"/>
        <w:rPr>
          <w:rFonts w:ascii="Times New Roman" w:hAnsi="Times New Roman" w:cs="Times New Roman"/>
          <w:strike/>
          <w:color w:val="auto"/>
        </w:rPr>
      </w:pPr>
      <w:r w:rsidRPr="009C6A89">
        <w:rPr>
          <w:rFonts w:ascii="Times New Roman" w:hAnsi="Times New Roman" w:cs="Times New Roman"/>
          <w:strike/>
          <w:color w:val="auto"/>
        </w:rPr>
        <w:t xml:space="preserve">Art. 12 Os serviços de saúde abrangidos por esta Resolução terão o prazo de 120 (cento e vinte) dias para a estruturação dos NSP e elaboração do PSP e o prazo de 150 (cento e cinquenta) dias para iniciar a notificação mensal dos eventos adversos, contados a partir da data da publicação desta Resolução. </w:t>
      </w:r>
    </w:p>
    <w:p w:rsidR="009C6A89" w:rsidRPr="009C6A89" w:rsidRDefault="009C6A89" w:rsidP="009C6A89">
      <w:pPr>
        <w:pStyle w:val="Default"/>
        <w:ind w:firstLine="567"/>
        <w:jc w:val="both"/>
        <w:divId w:val="1489710004"/>
        <w:rPr>
          <w:rFonts w:ascii="Times New Roman" w:hAnsi="Times New Roman" w:cs="Times New Roman"/>
          <w:strike/>
          <w:color w:val="auto"/>
        </w:rPr>
      </w:pPr>
    </w:p>
    <w:p w:rsidR="009C6A89" w:rsidRPr="009C6A89" w:rsidRDefault="009C6A89" w:rsidP="009C6A89">
      <w:pPr>
        <w:pStyle w:val="Default"/>
        <w:spacing w:after="240" w:line="276" w:lineRule="auto"/>
        <w:jc w:val="both"/>
        <w:divId w:val="1489710004"/>
        <w:rPr>
          <w:rFonts w:ascii="Times New Roman" w:hAnsi="Times New Roman" w:cs="Times New Roman"/>
          <w:b/>
          <w:color w:val="0000FF"/>
        </w:rPr>
      </w:pPr>
      <w:r w:rsidRPr="009C6A89">
        <w:rPr>
          <w:rFonts w:ascii="Times New Roman" w:hAnsi="Times New Roman" w:cs="Times New Roman"/>
        </w:rPr>
        <w:t xml:space="preserve">         Art. 12 Os serviços de saúde abrangidos por esta Resolução terão o prazo de 180 (cento e oitenta) dias para a estruturação dos NSP e elaboração do PSP e o prazo de 210 (duzentos e dez) dias para iniciar a notificação mensal dos eventos adversos, contados a partir da data da publicação desta Resolução. </w:t>
      </w:r>
      <w:r w:rsidRPr="009C6A89">
        <w:rPr>
          <w:rFonts w:ascii="Times New Roman" w:hAnsi="Times New Roman" w:cs="Times New Roman"/>
          <w:b/>
          <w:color w:val="0000FF"/>
        </w:rPr>
        <w:t>(Redação dada pela Resolução - RDC nº 53, de 14 de novembro de 2013)</w:t>
      </w: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Art. 13 O descumprimento das disposições contidas nesta Resolução constitui infração sanitária, nos termos da Lei n. 6.437, de 20 de agosto de 1977, sem prejuízo das responsabilidades civil, administrativa e penal cabíveis. </w:t>
      </w:r>
    </w:p>
    <w:p w:rsidR="00F618EA" w:rsidRPr="009C6A89" w:rsidRDefault="00F618EA" w:rsidP="00F618EA">
      <w:pPr>
        <w:pStyle w:val="Default"/>
        <w:ind w:firstLine="567"/>
        <w:jc w:val="both"/>
        <w:divId w:val="1489710004"/>
        <w:rPr>
          <w:rFonts w:ascii="Times New Roman" w:hAnsi="Times New Roman" w:cs="Times New Roman"/>
          <w:color w:val="auto"/>
        </w:rPr>
      </w:pPr>
    </w:p>
    <w:p w:rsidR="00F618EA" w:rsidRPr="009C6A89" w:rsidRDefault="00F618EA" w:rsidP="00F618EA">
      <w:pPr>
        <w:pStyle w:val="Default"/>
        <w:ind w:firstLine="567"/>
        <w:jc w:val="both"/>
        <w:divId w:val="1489710004"/>
        <w:rPr>
          <w:rFonts w:ascii="Times New Roman" w:hAnsi="Times New Roman" w:cs="Times New Roman"/>
          <w:color w:val="auto"/>
        </w:rPr>
      </w:pPr>
      <w:r w:rsidRPr="009C6A89">
        <w:rPr>
          <w:rFonts w:ascii="Times New Roman" w:hAnsi="Times New Roman" w:cs="Times New Roman"/>
          <w:color w:val="auto"/>
        </w:rPr>
        <w:t xml:space="preserve">Art. 14 Esta Resolução entra em vigor na data de sua publicação. </w:t>
      </w:r>
    </w:p>
    <w:p w:rsidR="00F618EA" w:rsidRPr="009C6A89" w:rsidRDefault="00F618EA" w:rsidP="00F618EA">
      <w:pPr>
        <w:pStyle w:val="Default"/>
        <w:jc w:val="both"/>
        <w:divId w:val="1489710004"/>
        <w:rPr>
          <w:rFonts w:ascii="Times New Roman" w:hAnsi="Times New Roman" w:cs="Times New Roman"/>
          <w:color w:val="auto"/>
        </w:rPr>
      </w:pPr>
    </w:p>
    <w:p w:rsidR="00907A19" w:rsidRPr="009C6A89" w:rsidRDefault="00907A19" w:rsidP="00F618EA">
      <w:pPr>
        <w:autoSpaceDE w:val="0"/>
        <w:autoSpaceDN w:val="0"/>
        <w:adjustRightInd w:val="0"/>
        <w:spacing w:before="0" w:beforeAutospacing="0" w:after="0" w:afterAutospacing="0"/>
        <w:ind w:left="150" w:right="150" w:firstLine="567"/>
        <w:jc w:val="center"/>
        <w:divId w:val="1489710004"/>
        <w:rPr>
          <w:b/>
          <w:bCs/>
        </w:rPr>
      </w:pPr>
    </w:p>
    <w:p w:rsidR="00F618EA" w:rsidRPr="002C2EB8" w:rsidRDefault="00F618EA" w:rsidP="002C2EB8">
      <w:pPr>
        <w:autoSpaceDE w:val="0"/>
        <w:autoSpaceDN w:val="0"/>
        <w:adjustRightInd w:val="0"/>
        <w:spacing w:before="0" w:beforeAutospacing="0" w:after="0" w:afterAutospacing="0"/>
        <w:ind w:right="150"/>
        <w:jc w:val="center"/>
        <w:divId w:val="1489710004"/>
        <w:rPr>
          <w:bCs/>
        </w:rPr>
      </w:pPr>
      <w:r w:rsidRPr="002C2EB8">
        <w:rPr>
          <w:bCs/>
        </w:rPr>
        <w:t>DIRCEU BRÁS APARECIDO BARBANO</w:t>
      </w:r>
    </w:p>
    <w:p w:rsidR="00270B37" w:rsidRDefault="00270B37" w:rsidP="00F618EA">
      <w:pPr>
        <w:autoSpaceDE w:val="0"/>
        <w:autoSpaceDN w:val="0"/>
        <w:adjustRightInd w:val="0"/>
        <w:spacing w:before="0" w:beforeAutospacing="0" w:after="0" w:afterAutospacing="0"/>
        <w:ind w:left="150" w:right="150" w:firstLine="567"/>
        <w:jc w:val="center"/>
        <w:divId w:val="1489710004"/>
        <w:rPr>
          <w:b/>
          <w:bCs/>
        </w:rPr>
      </w:pPr>
    </w:p>
    <w:p w:rsidR="00F618EA" w:rsidRPr="009C6A89" w:rsidRDefault="00F618EA" w:rsidP="006A2FE2">
      <w:pPr>
        <w:autoSpaceDE w:val="0"/>
        <w:autoSpaceDN w:val="0"/>
        <w:adjustRightInd w:val="0"/>
        <w:spacing w:before="0" w:beforeAutospacing="0" w:after="0" w:afterAutospacing="0"/>
        <w:ind w:left="150" w:right="150" w:firstLine="567"/>
        <w:jc w:val="center"/>
        <w:divId w:val="1489710004"/>
        <w:rPr>
          <w:b/>
        </w:rPr>
      </w:pPr>
    </w:p>
    <w:sectPr w:rsidR="00F618EA" w:rsidRPr="009C6A8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F77" w:rsidRDefault="00210F77" w:rsidP="002C2EB8">
      <w:pPr>
        <w:spacing w:before="0" w:after="0"/>
      </w:pPr>
      <w:r>
        <w:separator/>
      </w:r>
    </w:p>
  </w:endnote>
  <w:endnote w:type="continuationSeparator" w:id="0">
    <w:p w:rsidR="00210F77" w:rsidRDefault="00210F77" w:rsidP="002C2E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EB8" w:rsidRDefault="002C2EB8" w:rsidP="002C2EB8">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2C2EB8" w:rsidRDefault="002C2E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F77" w:rsidRDefault="00210F77" w:rsidP="002C2EB8">
      <w:pPr>
        <w:spacing w:before="0" w:after="0"/>
      </w:pPr>
      <w:r>
        <w:separator/>
      </w:r>
    </w:p>
  </w:footnote>
  <w:footnote w:type="continuationSeparator" w:id="0">
    <w:p w:rsidR="00210F77" w:rsidRDefault="00210F77" w:rsidP="002C2E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EB8" w:rsidRPr="002C2EB8" w:rsidRDefault="00210F77" w:rsidP="002C2EB8">
    <w:pPr>
      <w:tabs>
        <w:tab w:val="center" w:pos="4252"/>
        <w:tab w:val="right" w:pos="8504"/>
      </w:tabs>
      <w:spacing w:before="0" w:beforeAutospacing="0" w:after="0" w:afterAutospacing="0"/>
      <w:jc w:val="center"/>
      <w:rPr>
        <w:rFonts w:asciiTheme="minorHAnsi" w:hAnsiTheme="minorHAnsi"/>
        <w:sz w:val="22"/>
        <w:szCs w:val="22"/>
        <w:lang w:eastAsia="en-US"/>
      </w:rPr>
    </w:pPr>
    <w:r w:rsidRPr="00210F77">
      <w:rPr>
        <w:rFonts w:asciiTheme="minorHAnsi" w:hAnsiTheme="minorHAnsi"/>
        <w:noProof/>
        <w:sz w:val="22"/>
        <w:szCs w:val="22"/>
      </w:rPr>
      <w:drawing>
        <wp:inline distT="0" distB="0" distL="0" distR="0">
          <wp:extent cx="657225" cy="647700"/>
          <wp:effectExtent l="0" t="0" r="0"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C2EB8" w:rsidRPr="002C2EB8" w:rsidRDefault="002C2EB8" w:rsidP="002C2EB8">
    <w:pPr>
      <w:tabs>
        <w:tab w:val="center" w:pos="4252"/>
        <w:tab w:val="right" w:pos="8504"/>
      </w:tabs>
      <w:spacing w:before="0" w:beforeAutospacing="0" w:after="0" w:afterAutospacing="0"/>
      <w:jc w:val="center"/>
      <w:rPr>
        <w:rFonts w:asciiTheme="minorHAnsi" w:hAnsiTheme="minorHAnsi"/>
        <w:b/>
        <w:szCs w:val="22"/>
        <w:lang w:eastAsia="en-US"/>
      </w:rPr>
    </w:pPr>
    <w:r w:rsidRPr="002C2EB8">
      <w:rPr>
        <w:rFonts w:asciiTheme="minorHAnsi" w:hAnsiTheme="minorHAnsi"/>
        <w:b/>
        <w:szCs w:val="22"/>
        <w:lang w:eastAsia="en-US"/>
      </w:rPr>
      <w:t>Ministério da Saúde - MS</w:t>
    </w:r>
  </w:p>
  <w:p w:rsidR="002C2EB8" w:rsidRDefault="002C2EB8" w:rsidP="002C2EB8">
    <w:pPr>
      <w:pStyle w:val="Cabealho"/>
      <w:jc w:val="center"/>
      <w:rPr>
        <w:rFonts w:asciiTheme="minorHAnsi" w:hAnsiTheme="minorHAnsi" w:cs="Times New Roman"/>
        <w:b/>
        <w:szCs w:val="22"/>
        <w:lang w:val="pt-BR" w:eastAsia="en-US"/>
      </w:rPr>
    </w:pPr>
    <w:r w:rsidRPr="002C2EB8">
      <w:rPr>
        <w:rFonts w:asciiTheme="minorHAnsi" w:hAnsiTheme="minorHAnsi" w:cs="Times New Roman"/>
        <w:b/>
        <w:szCs w:val="22"/>
        <w:lang w:val="pt-BR" w:eastAsia="en-US"/>
      </w:rPr>
      <w:t xml:space="preserve">Agência Nacional de Vigilância Sanitária </w:t>
    </w:r>
    <w:r>
      <w:rPr>
        <w:rFonts w:asciiTheme="minorHAnsi" w:hAnsiTheme="minorHAnsi" w:cs="Times New Roman"/>
        <w:b/>
        <w:szCs w:val="22"/>
        <w:lang w:val="pt-BR" w:eastAsia="en-US"/>
      </w:rPr>
      <w:t>–</w:t>
    </w:r>
    <w:r w:rsidRPr="002C2EB8">
      <w:rPr>
        <w:rFonts w:asciiTheme="minorHAnsi" w:hAnsiTheme="minorHAnsi" w:cs="Times New Roman"/>
        <w:b/>
        <w:szCs w:val="22"/>
        <w:lang w:val="pt-BR" w:eastAsia="en-US"/>
      </w:rPr>
      <w:t xml:space="preserve"> ANVISA</w:t>
    </w:r>
  </w:p>
  <w:p w:rsidR="002C2EB8" w:rsidRDefault="002C2EB8" w:rsidP="002C2EB8">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87F93"/>
    <w:multiLevelType w:val="multilevel"/>
    <w:tmpl w:val="D3748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63811844"/>
    <w:multiLevelType w:val="hybridMultilevel"/>
    <w:tmpl w:val="600C1DA0"/>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20FC8"/>
    <w:rsid w:val="00074AC0"/>
    <w:rsid w:val="000C2183"/>
    <w:rsid w:val="000C2BED"/>
    <w:rsid w:val="001214F5"/>
    <w:rsid w:val="0017257D"/>
    <w:rsid w:val="001A635E"/>
    <w:rsid w:val="001B1DB0"/>
    <w:rsid w:val="00210F77"/>
    <w:rsid w:val="00270B37"/>
    <w:rsid w:val="00287378"/>
    <w:rsid w:val="002C06F2"/>
    <w:rsid w:val="002C2EB8"/>
    <w:rsid w:val="0036087A"/>
    <w:rsid w:val="0037107C"/>
    <w:rsid w:val="00375AF6"/>
    <w:rsid w:val="003A47B4"/>
    <w:rsid w:val="004C536B"/>
    <w:rsid w:val="004D42D8"/>
    <w:rsid w:val="0052208E"/>
    <w:rsid w:val="005A7908"/>
    <w:rsid w:val="00652E8A"/>
    <w:rsid w:val="00675AA8"/>
    <w:rsid w:val="006A2FE2"/>
    <w:rsid w:val="00757E12"/>
    <w:rsid w:val="00771958"/>
    <w:rsid w:val="00792B4F"/>
    <w:rsid w:val="00794DDF"/>
    <w:rsid w:val="007C1E38"/>
    <w:rsid w:val="0089359C"/>
    <w:rsid w:val="008B7BC0"/>
    <w:rsid w:val="008D770F"/>
    <w:rsid w:val="008F464B"/>
    <w:rsid w:val="00901C9A"/>
    <w:rsid w:val="00907A19"/>
    <w:rsid w:val="009A59ED"/>
    <w:rsid w:val="009C6A89"/>
    <w:rsid w:val="00A53197"/>
    <w:rsid w:val="00AC5755"/>
    <w:rsid w:val="00AF43E7"/>
    <w:rsid w:val="00BE784E"/>
    <w:rsid w:val="00C95A0B"/>
    <w:rsid w:val="00CE00F2"/>
    <w:rsid w:val="00D12F01"/>
    <w:rsid w:val="00D5529D"/>
    <w:rsid w:val="00DE1ED1"/>
    <w:rsid w:val="00DF7C19"/>
    <w:rsid w:val="00E2624D"/>
    <w:rsid w:val="00F618EA"/>
    <w:rsid w:val="00F624C1"/>
    <w:rsid w:val="00FE349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paragraph" w:styleId="Ttulo8">
    <w:name w:val="heading 8"/>
    <w:basedOn w:val="Normal"/>
    <w:next w:val="Normal"/>
    <w:link w:val="Ttulo8Char"/>
    <w:uiPriority w:val="99"/>
    <w:qFormat/>
    <w:rsid w:val="004C536B"/>
    <w:pPr>
      <w:spacing w:before="240" w:beforeAutospacing="0" w:after="60" w:afterAutospacing="0"/>
      <w:outlineLvl w:val="7"/>
    </w:pPr>
    <w:rPr>
      <w:rFonts w:eastAsia="Times New Roman"/>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9"/>
    <w:locked/>
    <w:rPr>
      <w:rFonts w:asciiTheme="majorHAnsi" w:eastAsiaTheme="majorEastAsia" w:hAnsiTheme="majorHAnsi" w:cs="Times New Roman"/>
      <w:b/>
      <w:bCs/>
      <w:color w:val="4F81BD" w:themeColor="accent1"/>
      <w:sz w:val="26"/>
      <w:szCs w:val="26"/>
    </w:rPr>
  </w:style>
  <w:style w:type="character" w:customStyle="1" w:styleId="Ttulo8Char">
    <w:name w:val="Título 8 Char"/>
    <w:basedOn w:val="Fontepargpadro"/>
    <w:link w:val="Ttulo8"/>
    <w:uiPriority w:val="99"/>
    <w:locked/>
    <w:rsid w:val="004C536B"/>
    <w:rPr>
      <w:rFonts w:cs="Times New Roman"/>
      <w:i/>
      <w:iCs/>
      <w:sz w:val="24"/>
      <w:szCs w:val="24"/>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unhideWhenUsed/>
    <w:rsid w:val="004C536B"/>
    <w:pPr>
      <w:spacing w:after="120"/>
    </w:pPr>
  </w:style>
  <w:style w:type="character" w:customStyle="1" w:styleId="CorpodetextoChar">
    <w:name w:val="Corpo de texto Char"/>
    <w:basedOn w:val="Fontepargpadro"/>
    <w:link w:val="Corpodetexto"/>
    <w:uiPriority w:val="99"/>
    <w:semiHidden/>
    <w:locked/>
    <w:rsid w:val="004C536B"/>
    <w:rPr>
      <w:rFonts w:eastAsiaTheme="minorEastAsia" w:cs="Times New Roman"/>
      <w:sz w:val="24"/>
      <w:szCs w:val="24"/>
    </w:rPr>
  </w:style>
  <w:style w:type="paragraph" w:styleId="Ttulo">
    <w:name w:val="Title"/>
    <w:basedOn w:val="Normal"/>
    <w:link w:val="TtuloChar"/>
    <w:uiPriority w:val="99"/>
    <w:qFormat/>
    <w:rsid w:val="004C536B"/>
    <w:pPr>
      <w:spacing w:before="0" w:beforeAutospacing="0" w:after="0" w:afterAutospacing="0"/>
      <w:jc w:val="center"/>
    </w:pPr>
    <w:rPr>
      <w:rFonts w:ascii="Arial" w:eastAsia="Times New Roman" w:hAnsi="Arial" w:cs="Arial"/>
      <w:b/>
      <w:bCs/>
      <w:sz w:val="20"/>
      <w:szCs w:val="20"/>
    </w:rPr>
  </w:style>
  <w:style w:type="character" w:customStyle="1" w:styleId="TtuloChar">
    <w:name w:val="Título Char"/>
    <w:basedOn w:val="Fontepargpadro"/>
    <w:link w:val="Ttulo"/>
    <w:uiPriority w:val="99"/>
    <w:locked/>
    <w:rsid w:val="004C536B"/>
    <w:rPr>
      <w:rFonts w:ascii="Arial" w:hAnsi="Arial" w:cs="Arial"/>
      <w:b/>
      <w:bCs/>
    </w:rPr>
  </w:style>
  <w:style w:type="table" w:styleId="Tabelacomgrade">
    <w:name w:val="Table Grid"/>
    <w:basedOn w:val="Tabelanormal"/>
    <w:uiPriority w:val="99"/>
    <w:rsid w:val="004C5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4C536B"/>
    <w:pPr>
      <w:tabs>
        <w:tab w:val="center" w:pos="4252"/>
        <w:tab w:val="right" w:pos="8504"/>
      </w:tabs>
      <w:overflowPunct w:val="0"/>
      <w:autoSpaceDE w:val="0"/>
      <w:autoSpaceDN w:val="0"/>
      <w:adjustRightInd w:val="0"/>
      <w:spacing w:before="0" w:beforeAutospacing="0" w:after="0" w:afterAutospacing="0"/>
      <w:textAlignment w:val="baseline"/>
    </w:pPr>
    <w:rPr>
      <w:rFonts w:ascii="Arial" w:eastAsia="Times New Roman" w:hAnsi="Arial" w:cs="Arial"/>
      <w:lang w:val="es-ES_tradnl"/>
    </w:rPr>
  </w:style>
  <w:style w:type="character" w:customStyle="1" w:styleId="CabealhoChar">
    <w:name w:val="Cabeçalho Char"/>
    <w:basedOn w:val="Fontepargpadro"/>
    <w:link w:val="Cabealho"/>
    <w:uiPriority w:val="99"/>
    <w:locked/>
    <w:rsid w:val="004C536B"/>
    <w:rPr>
      <w:rFonts w:ascii="Arial" w:hAnsi="Arial" w:cs="Arial"/>
      <w:sz w:val="24"/>
      <w:szCs w:val="24"/>
      <w:lang w:val="es-ES_tradnl" w:eastAsia="x-none"/>
    </w:rPr>
  </w:style>
  <w:style w:type="paragraph" w:styleId="Corpodetexto3">
    <w:name w:val="Body Text 3"/>
    <w:basedOn w:val="Normal"/>
    <w:link w:val="Corpodetexto3Char"/>
    <w:uiPriority w:val="99"/>
    <w:rsid w:val="004C536B"/>
    <w:pPr>
      <w:spacing w:before="0" w:beforeAutospacing="0" w:after="120" w:afterAutospacing="0"/>
    </w:pPr>
    <w:rPr>
      <w:rFonts w:eastAsia="Times New Roman"/>
      <w:sz w:val="16"/>
      <w:szCs w:val="16"/>
    </w:rPr>
  </w:style>
  <w:style w:type="character" w:customStyle="1" w:styleId="Corpodetexto3Char">
    <w:name w:val="Corpo de texto 3 Char"/>
    <w:basedOn w:val="Fontepargpadro"/>
    <w:link w:val="Corpodetexto3"/>
    <w:uiPriority w:val="99"/>
    <w:locked/>
    <w:rsid w:val="004C536B"/>
    <w:rPr>
      <w:rFonts w:cs="Times New Roman"/>
      <w:sz w:val="16"/>
      <w:szCs w:val="16"/>
    </w:rPr>
  </w:style>
  <w:style w:type="paragraph" w:styleId="Recuonormal">
    <w:name w:val="Normal Indent"/>
    <w:basedOn w:val="Normal"/>
    <w:uiPriority w:val="99"/>
    <w:rsid w:val="004C536B"/>
    <w:pPr>
      <w:overflowPunct w:val="0"/>
      <w:autoSpaceDE w:val="0"/>
      <w:autoSpaceDN w:val="0"/>
      <w:adjustRightInd w:val="0"/>
      <w:spacing w:before="0" w:beforeAutospacing="0" w:after="0" w:afterAutospacing="0"/>
      <w:ind w:left="708"/>
      <w:textAlignment w:val="baseline"/>
    </w:pPr>
    <w:rPr>
      <w:rFonts w:ascii="Arial" w:eastAsia="Times New Roman" w:hAnsi="Arial" w:cs="Arial"/>
      <w:lang w:val="es-ES_tradnl"/>
    </w:rPr>
  </w:style>
  <w:style w:type="paragraph" w:customStyle="1" w:styleId="Preformatted">
    <w:name w:val="Preformatted"/>
    <w:basedOn w:val="Normal"/>
    <w:uiPriority w:val="99"/>
    <w:rsid w:val="004C536B"/>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beforeAutospacing="0" w:after="0" w:afterAutospacing="0"/>
    </w:pPr>
    <w:rPr>
      <w:rFonts w:ascii="Courier New" w:eastAsia="Times New Roman" w:hAnsi="Courier New" w:cs="Courier New"/>
      <w:sz w:val="20"/>
      <w:szCs w:val="20"/>
      <w:lang w:val="es-AR" w:eastAsia="es-ES"/>
    </w:rPr>
  </w:style>
  <w:style w:type="paragraph" w:customStyle="1" w:styleId="Textopadro">
    <w:name w:val="Texto padrão"/>
    <w:basedOn w:val="Normal"/>
    <w:uiPriority w:val="99"/>
    <w:rsid w:val="004C536B"/>
    <w:pPr>
      <w:overflowPunct w:val="0"/>
      <w:autoSpaceDE w:val="0"/>
      <w:autoSpaceDN w:val="0"/>
      <w:adjustRightInd w:val="0"/>
      <w:spacing w:before="0" w:beforeAutospacing="0" w:after="0" w:afterAutospacing="0"/>
      <w:textAlignment w:val="baseline"/>
    </w:pPr>
    <w:rPr>
      <w:rFonts w:eastAsia="Times New Roman"/>
    </w:rPr>
  </w:style>
  <w:style w:type="paragraph" w:styleId="Rodap">
    <w:name w:val="footer"/>
    <w:basedOn w:val="Normal"/>
    <w:link w:val="RodapChar"/>
    <w:uiPriority w:val="99"/>
    <w:rsid w:val="004C536B"/>
    <w:pPr>
      <w:tabs>
        <w:tab w:val="center" w:pos="4419"/>
        <w:tab w:val="right" w:pos="8838"/>
      </w:tabs>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4C536B"/>
    <w:rPr>
      <w:rFonts w:cs="Times New Roman"/>
      <w:sz w:val="24"/>
      <w:szCs w:val="24"/>
    </w:rPr>
  </w:style>
  <w:style w:type="character" w:styleId="Nmerodepgina">
    <w:name w:val="page number"/>
    <w:basedOn w:val="Fontepargpadro"/>
    <w:uiPriority w:val="99"/>
    <w:rsid w:val="004C536B"/>
    <w:rPr>
      <w:rFonts w:cs="Times New Roman"/>
    </w:rPr>
  </w:style>
  <w:style w:type="character" w:customStyle="1" w:styleId="A0">
    <w:name w:val="A0"/>
    <w:uiPriority w:val="99"/>
    <w:rsid w:val="004C536B"/>
    <w:rPr>
      <w:color w:val="auto"/>
    </w:rPr>
  </w:style>
  <w:style w:type="paragraph" w:customStyle="1" w:styleId="Default">
    <w:name w:val="Default"/>
    <w:rsid w:val="004C536B"/>
    <w:pPr>
      <w:autoSpaceDE w:val="0"/>
      <w:autoSpaceDN w:val="0"/>
      <w:adjustRightInd w:val="0"/>
    </w:pPr>
    <w:rPr>
      <w:rFonts w:ascii="Arial" w:hAnsi="Arial" w:cs="Arial"/>
      <w:color w:val="000000"/>
      <w:sz w:val="24"/>
      <w:szCs w:val="24"/>
    </w:rPr>
  </w:style>
  <w:style w:type="paragraph" w:customStyle="1" w:styleId="western">
    <w:name w:val="western"/>
    <w:basedOn w:val="Normal"/>
    <w:uiPriority w:val="99"/>
    <w:rsid w:val="004C536B"/>
    <w:rPr>
      <w:rFonts w:eastAsia="Times New Roman"/>
    </w:rPr>
  </w:style>
  <w:style w:type="paragraph" w:styleId="PargrafodaLista">
    <w:name w:val="List Paragraph"/>
    <w:basedOn w:val="Normal"/>
    <w:uiPriority w:val="99"/>
    <w:qFormat/>
    <w:rsid w:val="004C536B"/>
    <w:pPr>
      <w:spacing w:before="0" w:beforeAutospacing="0" w:after="0" w:afterAutospacing="0"/>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710006">
      <w:marLeft w:val="150"/>
      <w:marRight w:val="150"/>
      <w:marTop w:val="150"/>
      <w:marBottom w:val="0"/>
      <w:divBdr>
        <w:top w:val="none" w:sz="0" w:space="0" w:color="auto"/>
        <w:left w:val="none" w:sz="0" w:space="0" w:color="auto"/>
        <w:bottom w:val="none" w:sz="0" w:space="0" w:color="auto"/>
        <w:right w:val="none" w:sz="0" w:space="0" w:color="auto"/>
      </w:divBdr>
      <w:divsChild>
        <w:div w:id="1489710005">
          <w:marLeft w:val="0"/>
          <w:marRight w:val="0"/>
          <w:marTop w:val="0"/>
          <w:marBottom w:val="0"/>
          <w:divBdr>
            <w:top w:val="none" w:sz="0" w:space="0" w:color="auto"/>
            <w:left w:val="none" w:sz="0" w:space="0" w:color="auto"/>
            <w:bottom w:val="none" w:sz="0" w:space="0" w:color="auto"/>
            <w:right w:val="none" w:sz="0" w:space="0" w:color="auto"/>
          </w:divBdr>
          <w:divsChild>
            <w:div w:id="1489710004">
              <w:marLeft w:val="0"/>
              <w:marRight w:val="0"/>
              <w:marTop w:val="75"/>
              <w:marBottom w:val="300"/>
              <w:divBdr>
                <w:top w:val="none" w:sz="0" w:space="0" w:color="auto"/>
                <w:left w:val="none" w:sz="0" w:space="0" w:color="auto"/>
                <w:bottom w:val="none" w:sz="0" w:space="0" w:color="auto"/>
                <w:right w:val="none" w:sz="0" w:space="0" w:color="auto"/>
              </w:divBdr>
            </w:div>
            <w:div w:id="1489710007">
              <w:marLeft w:val="0"/>
              <w:marRight w:val="0"/>
              <w:marTop w:val="0"/>
              <w:marBottom w:val="0"/>
              <w:divBdr>
                <w:top w:val="single" w:sz="6" w:space="2" w:color="666666"/>
                <w:left w:val="none" w:sz="0" w:space="0" w:color="auto"/>
                <w:bottom w:val="single" w:sz="6" w:space="2" w:color="666666"/>
                <w:right w:val="none" w:sz="0" w:space="0" w:color="auto"/>
              </w:divBdr>
            </w:div>
            <w:div w:id="1489710008">
              <w:marLeft w:val="0"/>
              <w:marRight w:val="0"/>
              <w:marTop w:val="150"/>
              <w:marBottom w:val="150"/>
              <w:divBdr>
                <w:top w:val="none" w:sz="0" w:space="0" w:color="auto"/>
                <w:left w:val="none" w:sz="0" w:space="0" w:color="auto"/>
                <w:bottom w:val="none" w:sz="0" w:space="0" w:color="auto"/>
                <w:right w:val="none" w:sz="0" w:space="0" w:color="auto"/>
              </w:divBdr>
            </w:div>
            <w:div w:id="148971000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1668</Words>
  <Characters>9013</Characters>
  <Application>Microsoft Office Word</Application>
  <DocSecurity>0</DocSecurity>
  <Lines>75</Lines>
  <Paragraphs>21</Paragraphs>
  <ScaleCrop>false</ScaleCrop>
  <Company>ANVISA</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2016-06-24T20:07:00Z</cp:lastPrinted>
  <dcterms:created xsi:type="dcterms:W3CDTF">2018-08-16T18:51:00Z</dcterms:created>
  <dcterms:modified xsi:type="dcterms:W3CDTF">2018-08-16T18:51:00Z</dcterms:modified>
</cp:coreProperties>
</file>