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7C" w:rsidRDefault="00784B7C" w:rsidP="000D1C0F">
      <w:pPr>
        <w:pStyle w:val="Ttulo1"/>
        <w:ind w:left="-426" w:right="-427"/>
        <w:divId w:val="1923879392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0D1C0F">
        <w:rPr>
          <w:rFonts w:ascii="Times New Roman" w:hAnsi="Times New Roman" w:cs="Times New Roman"/>
          <w:sz w:val="22"/>
          <w:szCs w:val="24"/>
        </w:rPr>
        <w:t>RESOLUÇÃO DA DIRETORIA COLEGIADA – RDC Nº 47, DE 4 DE NOVEMBRO DE 2010</w:t>
      </w:r>
    </w:p>
    <w:p w:rsidR="004D5B81" w:rsidRPr="004D5B81" w:rsidRDefault="004D5B81" w:rsidP="000D1C0F">
      <w:pPr>
        <w:pStyle w:val="Ttulo1"/>
        <w:ind w:left="-426" w:right="-427"/>
        <w:divId w:val="1923879392"/>
        <w:rPr>
          <w:rFonts w:ascii="Times New Roman" w:hAnsi="Times New Roman" w:cs="Times New Roman"/>
          <w:color w:val="0000FF"/>
          <w:sz w:val="24"/>
          <w:szCs w:val="24"/>
        </w:rPr>
      </w:pPr>
      <w:r w:rsidRPr="004D5B81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4D5B81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212, de 5 de novembro de 2010)</w:t>
      </w:r>
    </w:p>
    <w:p w:rsidR="004D5B81" w:rsidRPr="004D5B81" w:rsidRDefault="004D5B81" w:rsidP="000D1C0F">
      <w:pPr>
        <w:pStyle w:val="Ttulo1"/>
        <w:ind w:left="-426" w:right="-427"/>
        <w:divId w:val="1923879392"/>
        <w:rPr>
          <w:rFonts w:ascii="Times New Roman" w:hAnsi="Times New Roman" w:cs="Times New Roman"/>
          <w:color w:val="0000FF"/>
          <w:sz w:val="24"/>
          <w:szCs w:val="24"/>
        </w:rPr>
      </w:pPr>
      <w:r w:rsidRPr="004D5B81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4D5B81">
        <w:rPr>
          <w:rFonts w:ascii="Times New Roman" w:hAnsi="Times New Roman" w:cs="Times New Roman"/>
          <w:caps w:val="0"/>
          <w:color w:val="0000FF"/>
          <w:sz w:val="24"/>
          <w:szCs w:val="24"/>
        </w:rPr>
        <w:t>Revogada pela Resolução – RDC nº 2, de 2 de novembro de 2011)</w:t>
      </w:r>
    </w:p>
    <w:p w:rsidR="00784B7C" w:rsidRPr="00E273B5" w:rsidRDefault="00784B7C" w:rsidP="00784B7C">
      <w:pPr>
        <w:ind w:left="3420"/>
        <w:jc w:val="both"/>
        <w:divId w:val="1923879392"/>
        <w:rPr>
          <w:strike/>
          <w:color w:val="000000"/>
        </w:rPr>
      </w:pPr>
      <w:r w:rsidRPr="00E273B5">
        <w:rPr>
          <w:strike/>
          <w:color w:val="000000"/>
        </w:rPr>
        <w:t xml:space="preserve">Dispõe sobre os procedimentos no âmbito da ANVISA para acompanhamento e procedimentos relacionados aos processos de registro e pós-registro no Brasil de medicamentos produzidos mediante parcerias público-público ou público-privado e transferência de tecnologia. 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b/>
          <w:bCs/>
          <w:strike/>
        </w:rPr>
        <w:t>A Diretoria Colegiada da Agência Nacional de Vigilância Sanitária</w:t>
      </w:r>
      <w:r w:rsidRPr="00E273B5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setembro de 2010, e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considerando a necessidade de implementar critérios e procedimentos para a participação da ANVISA no acompanhamento e análise das petições relacionadas a medicamentos, no que concerne às etapas de desenvolvimento, produção, registro e pós-registro, que contemplem parcerias público-público e público-privado, com ou sem transferência de tecnologia,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Adota a seguinte Resolução e eu, Diretor-Presidente, determino a sua publicação: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1º Será constituído Grupo de Trabalho Regulatório – GTR, composto por representantes da Anvisa, para acompanhamento das parcerias firmadas pelo Ministério da Saúde – MS.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Parágrafo único. Sempre que necessário, o grupo poderá solicitar a participação de servidores ou demais profissionais em exercício em outros órgãos da Administração Pública Federal, bem como de especialistas em assuntos ligados ao tema, para colaborar na realização dos trabalhos.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2º O Grupo de Trabalho Regulatório será coordenado pelo Diretor Presidente da ANVISA, ou por pessoa por ele indicada.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3º Ao Coordenador Grupo de Trabalho compete: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I – Indicar os representantes técnicos da ANVISA no Grupo de Trabalho Regulatório;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lastRenderedPageBreak/>
        <w:t xml:space="preserve">II – Promover a articulação com as unidades organizacionais da ANVISA, no âmbito de suas atribuições, bem como com outros órgãos, quando julgar necessário;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III – Acompanhar os trabalhos desenvolvidos e convidar o MS e empresas envolvidas no processo, sempre que necessário;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 xml:space="preserve">4º Compete aos integrantes do GTR: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I – Participar quando solicitado das reuniões, das discussões e dos trabalhos relacionados com as atividades que nortearão a transferência de tecnologia;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II – Elaborar agenda de trabalho interna para o desenvolvimento das ações de cooperação, com base no cronograma de atividades apresentado pelas empresas envolvidas;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III – Cumprir as tarefas originárias do processo, respeitando-se o cronograma das atividades;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IV – Elaborar as atas, relatórios e demais documentos pertinentes ao trabalho do GTR.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V – Analisar os processos de registro e pós-registro relacionados à transferência de tecnologia após protocolização na Anvisa;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5º Os documentos relacionados aos projetos de transferência de tecnologia na produção de medicamentos devem ser protocolados na Anvisa por meio de uma petição de registro ou de pós-registro de medicamentos, quando pertinente.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 xml:space="preserve">6º O acompanhamento e a análise dos registros referentes aos projetos de transferência de tecnologia na produção de medicamentos que contemplam parcerias público-público e público-privado serão feitos em três etapas conforme estabelecido no anexo I da presente RDC.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§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1º É facultado à empresa submeter o dossiê de registro já com todos os documentos e etapas cumpridas.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§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2º As petições pós-registro deverão ser instruídas com todos os documentos estabelecidos em legislação específica em uma única etapa.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7º A ANVISA se manifestará ao final de cada uma das etapas estabelecidas no 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 xml:space="preserve">6º. 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Parágrafo único. A conclusão final do processo ocorrerá após avaliação de todos os documentos enviados nas diferentes etapas. A documentação apresentada deve atender a legislações sanitárias específicas para registro e pós-registro de medicamentos.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lastRenderedPageBreak/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8º A critério da Anvisa poderão ser solicitados documentos adicionais referentes aos projetos de transferência de tecnologia na produção de medicamentos.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9º Será facultativo o acompanhamento de projetos em que não houver transferência de tecnologia, na forma desta RDC.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10 Durante o procedimento estabelecido nesta RDC, a empresa fabricante/produtora do medicamento, o centro responsável pelo estudo de equivalência farmacêutica e o centro responsável pelo estudo de bioequivalência poderão ser auditados, a critério da ANVISA.</w:t>
      </w:r>
    </w:p>
    <w:p w:rsidR="00784B7C" w:rsidRPr="00E273B5" w:rsidRDefault="00784B7C" w:rsidP="00784B7C">
      <w:pPr>
        <w:autoSpaceDE w:val="0"/>
        <w:autoSpaceDN w:val="0"/>
        <w:adjustRightInd w:val="0"/>
        <w:ind w:firstLine="567"/>
        <w:jc w:val="both"/>
        <w:divId w:val="1923879392"/>
        <w:rPr>
          <w:strike/>
        </w:rPr>
      </w:pPr>
      <w:r w:rsidRPr="00E273B5">
        <w:rPr>
          <w:strike/>
        </w:rPr>
        <w:t>Art.</w:t>
      </w:r>
      <w:r w:rsidR="00E273B5" w:rsidRPr="00E273B5">
        <w:rPr>
          <w:strike/>
        </w:rPr>
        <w:t xml:space="preserve"> </w:t>
      </w:r>
      <w:r w:rsidRPr="00E273B5">
        <w:rPr>
          <w:strike/>
        </w:rPr>
        <w:t>11 Esta Resolução entra em vigor na data de sua publicação.</w:t>
      </w:r>
    </w:p>
    <w:p w:rsidR="00784B7C" w:rsidRPr="00E273B5" w:rsidRDefault="00784B7C" w:rsidP="00784B7C">
      <w:pPr>
        <w:pStyle w:val="Ttulo2"/>
        <w:divId w:val="1923879392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E273B5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784B7C" w:rsidRPr="00E273B5" w:rsidRDefault="00784B7C" w:rsidP="00784B7C">
      <w:pPr>
        <w:ind w:firstLine="567"/>
        <w:jc w:val="center"/>
        <w:divId w:val="1923879392"/>
        <w:rPr>
          <w:b/>
          <w:strike/>
        </w:rPr>
      </w:pPr>
      <w:r w:rsidRPr="00E273B5">
        <w:rPr>
          <w:b/>
          <w:strike/>
        </w:rPr>
        <w:t>ANEXO I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Primeira etapa: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I. Formulários de petição FP1 e FP2 devidamente preenchidos;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  <w:color w:val="000000"/>
        </w:rPr>
      </w:pPr>
      <w:r w:rsidRPr="00E273B5">
        <w:rPr>
          <w:strike/>
        </w:rPr>
        <w:t xml:space="preserve">II. Declaração das empresas envolvidas de que o processo se trata de </w:t>
      </w:r>
      <w:r w:rsidRPr="00E273B5">
        <w:rPr>
          <w:strike/>
          <w:color w:val="000000"/>
        </w:rPr>
        <w:t>parecerias público-público ou público-privado, com ou sem transferência de tecnologia, e documentos comprobatórios;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III. Via original do comprovante de pagamento da taxa de fiscalização de vigilância sanitária - GRU;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IV. Cópia da Licença de Funcionamento da Empresa (Alvará Sanitário) atualizado;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V. Cópia da Autorização de Funcionamento da Empresa publicada no DOU ou, quando aplicável, da Autorização Especial de Funcionamento, publicada no DOU;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VI. Declaração de Vínculo de Registro Simultâneo de medicamento similar e genérico, caso cabível;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bCs/>
          <w:strike/>
        </w:rPr>
        <w:t xml:space="preserve">VII. </w:t>
      </w:r>
      <w:r w:rsidRPr="00E273B5">
        <w:rPr>
          <w:strike/>
        </w:rPr>
        <w:t>Cópia do certificado de boas práticas de fabricação e controle (CBPFC, atualizado emitido pela ANVISA para a linha de produção na qual o medicamento será fabricado);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VIII. Cópia do protocolo de notificação de produção de lote-piloto, com o número de protocolo fornecido pela ANVISA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IX. Cópia do Certificado de Responsabilidade Técnica, atualizado;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lastRenderedPageBreak/>
        <w:t>X. Informações adicionais de acordo com a legislação vigente sobre controle da Encefalopatia Espongiforme Transmissível, ou justificativa da ausência deste documento;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XI. Textos de bula e modelo de </w:t>
      </w:r>
      <w:r w:rsidRPr="00E273B5">
        <w:rPr>
          <w:i/>
          <w:strike/>
        </w:rPr>
        <w:t>layout</w:t>
      </w:r>
      <w:r w:rsidRPr="00E273B5">
        <w:rPr>
          <w:strike/>
        </w:rPr>
        <w:t xml:space="preserve"> de embalagem primária e secundária;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XII. Relatório de Controle de Qualidade de todos os excipientes Relatório do fármaco(s), bem como o controle de qualidade do(s) fármaco(s), em papel timbrado do fabricante do fármaco; 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XIII. Especificação e metodologia analítica e validação para o produto acabado;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XIV. Relatório de desenvolvimento e validação de método analítico da dissolução e perfil de dissolução;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XV. Especificações e métodos analíticos usados no controle de qualidade da embalagem primária, bem como no controle de qualidade dos acessórios dosadores;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XVI. Relação dos ensaios do controle de qualidade;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XVII. Protocolo do estudo de estabilidade acelerada e de longa duração;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XVIII. Descrição detalha do desenho, do princípio de funcionamento e das capacidades máxima e mínima de cada equipamento a ser utilizado no processo de fabricação;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XIX. Cronograma das demais etapas das atividades relacionadas ao processo: produção de lote piloto, controle de qualidade do produto acabado, estudo de estabilidade, ensaios de equivalência farmacêutica, perfil de dissolução e os estudos de bioequivalência/biodisponibilidade relativa e estudos clínicos quando aplicável, quando aplicável.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Segunda etapa: 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I. Relatório e dossiê de produção;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II. Laudo do controle de qualidade do produto acabado;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III. Estudo de estabilidade e fotoestabilidade;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>IV. Equivalência farmacêutica e perfil de dissolução, quando aplicável.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t xml:space="preserve">Terceira etapa: </w:t>
      </w:r>
    </w:p>
    <w:p w:rsidR="00784B7C" w:rsidRPr="00E273B5" w:rsidRDefault="00784B7C" w:rsidP="00784B7C">
      <w:pPr>
        <w:ind w:firstLine="567"/>
        <w:jc w:val="both"/>
        <w:divId w:val="1923879392"/>
        <w:rPr>
          <w:strike/>
        </w:rPr>
      </w:pPr>
      <w:r w:rsidRPr="00E273B5">
        <w:rPr>
          <w:strike/>
        </w:rPr>
        <w:lastRenderedPageBreak/>
        <w:t>I. Estudos de bioequivalência/biodisponibilidade relativa e estudos clínicos quando aplicável.</w:t>
      </w:r>
    </w:p>
    <w:sectPr w:rsidR="00784B7C" w:rsidRPr="00E273B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550" w:rsidRDefault="00363550" w:rsidP="004D5B81">
      <w:pPr>
        <w:spacing w:before="0" w:after="0"/>
      </w:pPr>
      <w:r>
        <w:separator/>
      </w:r>
    </w:p>
  </w:endnote>
  <w:endnote w:type="continuationSeparator" w:id="0">
    <w:p w:rsidR="00363550" w:rsidRDefault="00363550" w:rsidP="004D5B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81" w:rsidRPr="004D5B81" w:rsidRDefault="004D5B81" w:rsidP="004D5B81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550" w:rsidRDefault="00363550" w:rsidP="004D5B81">
      <w:pPr>
        <w:spacing w:before="0" w:after="0"/>
      </w:pPr>
      <w:r>
        <w:separator/>
      </w:r>
    </w:p>
  </w:footnote>
  <w:footnote w:type="continuationSeparator" w:id="0">
    <w:p w:rsidR="00363550" w:rsidRDefault="00363550" w:rsidP="004D5B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81" w:rsidRPr="004D5B81" w:rsidRDefault="00363550" w:rsidP="004D5B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63550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5B81" w:rsidRPr="004D5B81" w:rsidRDefault="004D5B81" w:rsidP="004D5B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D5B81">
      <w:rPr>
        <w:rFonts w:ascii="Calibri" w:hAnsi="Calibri"/>
        <w:b/>
        <w:szCs w:val="22"/>
        <w:lang w:eastAsia="en-US"/>
      </w:rPr>
      <w:t>Ministério da Saúde - MS</w:t>
    </w:r>
  </w:p>
  <w:p w:rsidR="004D5B81" w:rsidRDefault="004D5B81" w:rsidP="004D5B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D5B81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4D5B81">
      <w:rPr>
        <w:rFonts w:ascii="Calibri" w:hAnsi="Calibri"/>
        <w:b/>
        <w:szCs w:val="22"/>
        <w:lang w:eastAsia="en-US"/>
      </w:rPr>
      <w:t xml:space="preserve"> ANVISA</w:t>
    </w:r>
  </w:p>
  <w:p w:rsidR="004D5B81" w:rsidRPr="004D5B81" w:rsidRDefault="004D5B81" w:rsidP="004D5B8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86619"/>
    <w:rsid w:val="000C2183"/>
    <w:rsid w:val="000D1C0F"/>
    <w:rsid w:val="000F7751"/>
    <w:rsid w:val="002A6BAF"/>
    <w:rsid w:val="00363550"/>
    <w:rsid w:val="003E6680"/>
    <w:rsid w:val="004D5B81"/>
    <w:rsid w:val="00524060"/>
    <w:rsid w:val="00524ACE"/>
    <w:rsid w:val="005D13BD"/>
    <w:rsid w:val="00606D6B"/>
    <w:rsid w:val="00652E8A"/>
    <w:rsid w:val="00771958"/>
    <w:rsid w:val="00784B7C"/>
    <w:rsid w:val="008B7BC0"/>
    <w:rsid w:val="008D770F"/>
    <w:rsid w:val="009D4C4B"/>
    <w:rsid w:val="009F4005"/>
    <w:rsid w:val="00A53197"/>
    <w:rsid w:val="00AF43E7"/>
    <w:rsid w:val="00B517AC"/>
    <w:rsid w:val="00C60954"/>
    <w:rsid w:val="00C95A0B"/>
    <w:rsid w:val="00DB5743"/>
    <w:rsid w:val="00DF7C19"/>
    <w:rsid w:val="00E273B5"/>
    <w:rsid w:val="00E30878"/>
    <w:rsid w:val="00EA1B8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4D5B8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D5B8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D5B8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D5B81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793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3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9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1172</Words>
  <Characters>6330</Characters>
  <Application>Microsoft Office Word</Application>
  <DocSecurity>0</DocSecurity>
  <Lines>52</Lines>
  <Paragraphs>14</Paragraphs>
  <ScaleCrop>false</ScaleCrop>
  <Company>ANVISA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