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1DF" w:rsidRPr="0019415B" w:rsidRDefault="005F51DF" w:rsidP="0019415B">
      <w:pPr>
        <w:pStyle w:val="Ttulo1"/>
        <w:spacing w:before="0" w:beforeAutospacing="0" w:after="200" w:afterAutospacing="0"/>
        <w:ind w:left="-567" w:right="-1135"/>
        <w:divId w:val="1920751898"/>
        <w:rPr>
          <w:rFonts w:ascii="Times New Roman" w:hAnsi="Times New Roman" w:cs="Times New Roman"/>
          <w:sz w:val="24"/>
          <w:szCs w:val="24"/>
        </w:rPr>
      </w:pPr>
      <w:bookmarkStart w:id="0" w:name="_GoBack"/>
      <w:bookmarkEnd w:id="0"/>
      <w:r w:rsidRPr="0019415B">
        <w:rPr>
          <w:rFonts w:ascii="Times New Roman" w:hAnsi="Times New Roman" w:cs="Times New Roman"/>
          <w:sz w:val="24"/>
          <w:szCs w:val="24"/>
        </w:rPr>
        <w:t xml:space="preserve">RESOLUÇÃO DA DIRETORIA COLEGIADA – RDC Nº 50, DE 13 DE SETEMBRO DE 2012 </w:t>
      </w:r>
    </w:p>
    <w:p w:rsidR="0019415B" w:rsidRPr="0019415B" w:rsidRDefault="0019415B" w:rsidP="0019415B">
      <w:pPr>
        <w:spacing w:before="0" w:beforeAutospacing="0" w:after="200" w:afterAutospacing="0"/>
        <w:ind w:left="708"/>
        <w:jc w:val="center"/>
        <w:divId w:val="1920751898"/>
        <w:rPr>
          <w:b/>
          <w:color w:val="0000FF"/>
        </w:rPr>
      </w:pPr>
      <w:r w:rsidRPr="0019415B">
        <w:rPr>
          <w:b/>
          <w:color w:val="0000FF"/>
        </w:rPr>
        <w:t>(Publicada no DOU nº 179, de 14 de setembro de 2012)</w:t>
      </w:r>
    </w:p>
    <w:p w:rsidR="005F51DF" w:rsidRPr="0019415B" w:rsidRDefault="005F51DF" w:rsidP="0019415B">
      <w:pPr>
        <w:pStyle w:val="NormalWeb"/>
        <w:spacing w:before="0" w:beforeAutospacing="0" w:after="200" w:afterAutospacing="0"/>
        <w:ind w:left="3969" w:firstLine="0"/>
        <w:divId w:val="1920751898"/>
        <w:rPr>
          <w:rFonts w:ascii="Times New Roman" w:hAnsi="Times New Roman" w:cs="Times New Roman"/>
          <w:sz w:val="24"/>
          <w:szCs w:val="24"/>
        </w:rPr>
      </w:pPr>
      <w:r w:rsidRPr="0019415B">
        <w:rPr>
          <w:rFonts w:ascii="Times New Roman" w:hAnsi="Times New Roman" w:cs="Times New Roman"/>
          <w:sz w:val="24"/>
          <w:szCs w:val="24"/>
        </w:rPr>
        <w:t>Dispõe sobre os procedimentos no âmbito da ANVISA para registro de produtos em processo de desenvolvimento ou de transferência de tecnologias objetos de Parcerias de Desenvolvimento Produtivo público-público ou público-privado de interesse do Sistema Único de Saúde.</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b/>
          <w:sz w:val="24"/>
          <w:szCs w:val="24"/>
        </w:rPr>
        <w:t>A</w:t>
      </w:r>
      <w:r w:rsidRPr="0019415B">
        <w:rPr>
          <w:rFonts w:ascii="Times New Roman" w:hAnsi="Times New Roman" w:cs="Times New Roman"/>
          <w:sz w:val="24"/>
          <w:szCs w:val="24"/>
        </w:rPr>
        <w:t xml:space="preserve"> </w:t>
      </w:r>
      <w:r w:rsidRPr="0019415B">
        <w:rPr>
          <w:rFonts w:ascii="Times New Roman" w:hAnsi="Times New Roman" w:cs="Times New Roman"/>
          <w:b/>
          <w:bCs/>
          <w:sz w:val="24"/>
          <w:szCs w:val="24"/>
        </w:rPr>
        <w:t>Diretoria Colegiada da Agência Nacional de Vigilância Sanitária</w:t>
      </w:r>
      <w:r w:rsidRPr="0019415B">
        <w:rPr>
          <w:rFonts w:ascii="Times New Roman" w:hAnsi="Times New Roman" w:cs="Times New Roman"/>
          <w:sz w:val="24"/>
          <w:szCs w:val="24"/>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13 de setembro de 2012, adota a seguinte Resolução e eu, Diretor Presidente, determino a sua publicação:</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Art.1º Fica instituído o Registro de Produtos em Processo de Desenvolvimento, observadas as condições, os critérios e as limitações definidas na presente Resolução.</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Parágrafo único - Somente poderão obter o Registro previsto no caput deste artigo os medicamentos e produtos para saúde que sejam objeto de processos de desenvolvimento, inovação ou transferência de tecnologia avalizados pelo Ministério da Saúde, por meio da formalização de Parcerias para o Desenvolvimento Produtivo.</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Art. 2º Para efeito desta Resolução são adotadas as seguintes definições:</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 xml:space="preserve">I - Registro de Produtos em Processo de Desenvolvimento – análise prévia de produtos que sejam objeto de Parcerias de Desenvolvimento Produtivo para a produção no Brasil de medicamentos e produtos para a saúde; </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II – Registro Sanitário – ato da autoridade sanitária, como previsto na Lei nº 6.360, de 23 de setembro de 1976, e no Decreto 79.094, de 5 de janeiro de 1977.</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III – Parcerias de Desenvolvimento Produtivo - são parcerias realizadas entre instituições públicas e outras de mesma natureza ou ainda instituições públicas e empresas privadas com o objetivo de permitir o acesso a tecnologias prioritárias e a redução da vulnerabilidade do Sistema Único de Saúde (SUS), mediante o comprometimento de internalização da produção ou o desenvolvimento novas tecnologias estratégicas.</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lastRenderedPageBreak/>
        <w:t>IV – Produtos em Processo de Desenvolvimento Produtivo – são medicamentos ou produtos para saúde que sejam objeto de processos de desenvolvimento, inovação ou transferência de tecnologia, contemplados em Parcerias para o Desenvolvimento Produtivo avalizadas pelo Ministério da Saúde.</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Art. 3º Concedido o registro do produto de que trata o caput do art. 1º desta Resolução, o respectivo Processo de Desenvolvimento Produtivo passará automaticamente a ser monitorado pela ANVISA.</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Art. 4º Os produtos cujos registros sejam concedidos com base no disposto nesta Resolução somente poderão ser comercializados, expostos à venda ou entregues ao consumo, após a obtenção do registro sanitário na categoria na qual se enquadrarem, nos termos definidos nesta Resolução e nas normas vigentes.</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Art. 5º A concessão do registro de que trata a presente Resolução está condicionada ao peticionamento, em formulário próprio, e análise dos seguintes documentos, observadas as regulamentações vigentes:</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I – Identificação das empresas envolvidas na Parceria de Desenvolvimento Produtivo de caráter público-público ou público-privado e indicação dos seus representantes legais, mediante a apresentação dos documentos comprobatórios.</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II - Declaração assinada pelos representantes legais das empresas envolvidas de que o produto integra Parceria de Desenvolvimento Produtivo de caráter público-público ou público-privado, e documentos comprobatórios.</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III – Descrição detalhada do produto objeto do registro, observando o conjunto de informações aplicadas nos casos de medicamentos e produtos para saúde.</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IV – Cronograma detalhando as etapas do processo de desenvolvimento ou de transferência de tecnologia, incluindo a descrição das capacidades já instaladas ou a serem instaladas, metas e avaliação de resultados propostos pela empresa responsável pela produção no Brasil.</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V - Cópia da publicação em Diário Oficial da União da Autorização de Funcionamento ou, quando aplicável, da Autorização Especial de Funcionamento do requerente do registro.</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VI - Cópia atualizada do Certificado de Responsabilidade Técnica do requerente do registro.</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VII - Cópia do certificado de boas práticas de fabricação e controle (CBPFC) atualizado emitido pela ANVISA ou pela autoridade do país onde está localizada a linha de produção na qual o produto é fabricado, nos casos de transferência de tecnologia.</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lastRenderedPageBreak/>
        <w:t>Art. 6º Concedido o registro de que trata a presente Resolução, a Anvisa constituirá Comitê Técnico Regulatório com competência para acompanhar as atividades previstas no cronograma estabelecido pelo requerente.</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Art. 7</w:t>
      </w:r>
      <w:r w:rsidRPr="0019415B">
        <w:rPr>
          <w:rFonts w:ascii="Times New Roman" w:hAnsi="Times New Roman" w:cs="Times New Roman"/>
          <w:sz w:val="24"/>
          <w:szCs w:val="24"/>
          <w:vertAlign w:val="superscript"/>
        </w:rPr>
        <w:t>o</w:t>
      </w:r>
      <w:r w:rsidRPr="0019415B">
        <w:rPr>
          <w:rFonts w:ascii="Times New Roman" w:hAnsi="Times New Roman" w:cs="Times New Roman"/>
          <w:sz w:val="24"/>
          <w:szCs w:val="24"/>
        </w:rPr>
        <w:t xml:space="preserve"> O requerente deverá peticionar a conversão de seu Registro de Produto em Processo de Desenvolvimento em Registro Sanitário no prazo de 60 (sessenta) dias, contados a partir do termo final do cronograma aprovado pela ANVISA. </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Art. 8</w:t>
      </w:r>
      <w:r w:rsidRPr="0019415B">
        <w:rPr>
          <w:rFonts w:ascii="Times New Roman" w:hAnsi="Times New Roman" w:cs="Times New Roman"/>
          <w:sz w:val="24"/>
          <w:szCs w:val="24"/>
          <w:vertAlign w:val="superscript"/>
        </w:rPr>
        <w:t>o</w:t>
      </w:r>
      <w:r w:rsidRPr="0019415B">
        <w:rPr>
          <w:rFonts w:ascii="Times New Roman" w:hAnsi="Times New Roman" w:cs="Times New Roman"/>
          <w:sz w:val="24"/>
          <w:szCs w:val="24"/>
        </w:rPr>
        <w:t xml:space="preserve"> O Registro de Produto em Processo de Desenvolvimento de que trata a presente Resolução poderá ser cancelado nas seguintes situações:</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I - Por requisição do(s) detentor(es) do Registro de Produto em Processo de Desenvolvimento.</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II – Quando se verificar o não cumprimento do cronograma previsto no inciso IV do Art. 5</w:t>
      </w:r>
      <w:r w:rsidRPr="0019415B">
        <w:rPr>
          <w:rFonts w:ascii="Times New Roman" w:hAnsi="Times New Roman" w:cs="Times New Roman"/>
          <w:sz w:val="24"/>
          <w:szCs w:val="24"/>
          <w:vertAlign w:val="superscript"/>
        </w:rPr>
        <w:t>o</w:t>
      </w:r>
      <w:r w:rsidRPr="0019415B">
        <w:rPr>
          <w:rFonts w:ascii="Times New Roman" w:hAnsi="Times New Roman" w:cs="Times New Roman"/>
          <w:sz w:val="24"/>
          <w:szCs w:val="24"/>
        </w:rPr>
        <w:t xml:space="preserve"> da presente Resolução, ou de suas alterações aprovadas pelo Comitê Técnico Regulatório responsável pelo seu acompanhamento.</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III – Na ocorrência de alterações do cronograma previsto no inciso IV do Art. 5</w:t>
      </w:r>
      <w:r w:rsidRPr="0019415B">
        <w:rPr>
          <w:rFonts w:ascii="Times New Roman" w:hAnsi="Times New Roman" w:cs="Times New Roman"/>
          <w:sz w:val="24"/>
          <w:szCs w:val="24"/>
          <w:vertAlign w:val="superscript"/>
        </w:rPr>
        <w:t>o</w:t>
      </w:r>
      <w:r w:rsidRPr="0019415B">
        <w:rPr>
          <w:rFonts w:ascii="Times New Roman" w:hAnsi="Times New Roman" w:cs="Times New Roman"/>
          <w:sz w:val="24"/>
          <w:szCs w:val="24"/>
        </w:rPr>
        <w:t xml:space="preserve"> da presente Resolução sem aprovação do Comitê Técnico Regulatório respectivo.</w:t>
      </w:r>
    </w:p>
    <w:p w:rsidR="005F51DF" w:rsidRPr="0019415B" w:rsidRDefault="00B30492" w:rsidP="008C5BD3">
      <w:pPr>
        <w:pStyle w:val="NormalWeb"/>
        <w:spacing w:before="0" w:beforeAutospacing="0" w:after="200" w:afterAutospacing="0"/>
        <w:divId w:val="1920751898"/>
        <w:rPr>
          <w:rFonts w:ascii="Times New Roman" w:hAnsi="Times New Roman" w:cs="Times New Roman"/>
          <w:sz w:val="24"/>
          <w:szCs w:val="24"/>
        </w:rPr>
      </w:pPr>
      <w:r>
        <w:rPr>
          <w:rFonts w:ascii="Times New Roman" w:hAnsi="Times New Roman" w:cs="Times New Roman"/>
          <w:sz w:val="24"/>
          <w:szCs w:val="24"/>
        </w:rPr>
        <w:t xml:space="preserve">IV – </w:t>
      </w:r>
      <w:r w:rsidR="005F51DF" w:rsidRPr="0019415B">
        <w:rPr>
          <w:rFonts w:ascii="Times New Roman" w:hAnsi="Times New Roman" w:cs="Times New Roman"/>
          <w:sz w:val="24"/>
          <w:szCs w:val="24"/>
        </w:rPr>
        <w:t>Caso não seja protocolado, no prazo estipulado no Art. 6º, o peticionamento de conversão do Registro de Produto em Processo de Desenvolvimento em registro definitivo.</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V – Na ocorrência de indeferimento do peticionamento de conversão em registro sanitário, decorrente da análise técnica do conjunto dos documentos apresentados à ANVISA, observadas as regulamentações sanitárias pertinentes.</w:t>
      </w:r>
    </w:p>
    <w:p w:rsidR="005F51DF" w:rsidRPr="0019415B" w:rsidRDefault="005F51DF" w:rsidP="008C5BD3">
      <w:pPr>
        <w:pStyle w:val="NormalWeb"/>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Art. 9</w:t>
      </w:r>
      <w:r w:rsidRPr="0019415B">
        <w:rPr>
          <w:rFonts w:ascii="Times New Roman" w:hAnsi="Times New Roman" w:cs="Times New Roman"/>
          <w:sz w:val="24"/>
          <w:szCs w:val="24"/>
          <w:vertAlign w:val="superscript"/>
        </w:rPr>
        <w:t>o</w:t>
      </w:r>
      <w:r w:rsidRPr="0019415B">
        <w:rPr>
          <w:rFonts w:ascii="Times New Roman" w:hAnsi="Times New Roman" w:cs="Times New Roman"/>
          <w:sz w:val="24"/>
          <w:szCs w:val="24"/>
        </w:rPr>
        <w:t xml:space="preserve"> Esta Resolução entra em vigor na data de sua publicação.</w:t>
      </w:r>
    </w:p>
    <w:p w:rsidR="005F51DF" w:rsidRPr="0019415B" w:rsidRDefault="005F51DF" w:rsidP="0019415B">
      <w:pPr>
        <w:pStyle w:val="Ttulo2"/>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DIRCEU BRÁS APARECIDO BARBANO</w:t>
      </w:r>
    </w:p>
    <w:p w:rsidR="005F51DF" w:rsidRPr="0019415B" w:rsidRDefault="005F51DF" w:rsidP="0019415B">
      <w:pPr>
        <w:pStyle w:val="Ttulo2"/>
        <w:spacing w:before="0" w:beforeAutospacing="0" w:after="200" w:afterAutospacing="0"/>
        <w:divId w:val="1920751898"/>
        <w:rPr>
          <w:rFonts w:ascii="Times New Roman" w:hAnsi="Times New Roman" w:cs="Times New Roman"/>
          <w:sz w:val="24"/>
          <w:szCs w:val="24"/>
        </w:rPr>
      </w:pPr>
      <w:r w:rsidRPr="0019415B">
        <w:rPr>
          <w:rFonts w:ascii="Times New Roman" w:hAnsi="Times New Roman" w:cs="Times New Roman"/>
          <w:sz w:val="24"/>
          <w:szCs w:val="24"/>
        </w:rPr>
        <w:t>Diretor Presidente</w:t>
      </w:r>
    </w:p>
    <w:sectPr w:rsidR="005F51DF" w:rsidRPr="0019415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4E2" w:rsidRDefault="009E64E2" w:rsidP="0019415B">
      <w:pPr>
        <w:spacing w:before="0" w:after="0"/>
      </w:pPr>
      <w:r>
        <w:separator/>
      </w:r>
    </w:p>
  </w:endnote>
  <w:endnote w:type="continuationSeparator" w:id="0">
    <w:p w:rsidR="009E64E2" w:rsidRDefault="009E64E2" w:rsidP="001941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15B" w:rsidRPr="00727D0A" w:rsidRDefault="0019415B" w:rsidP="0019415B">
    <w:pPr>
      <w:spacing w:after="200" w:line="288" w:lineRule="auto"/>
      <w:jc w:val="center"/>
      <w:rPr>
        <w:rFonts w:ascii="Calibri" w:hAnsi="Calibri"/>
      </w:rPr>
    </w:pPr>
    <w:r w:rsidRPr="00727D0A">
      <w:rPr>
        <w:rFonts w:ascii="Calibri" w:hAnsi="Calibri"/>
        <w:color w:val="943634"/>
      </w:rPr>
      <w:t>Este texto não substitui o(s) publicado(s) em Diário Oficial da União.</w:t>
    </w:r>
  </w:p>
  <w:p w:rsidR="0019415B" w:rsidRDefault="0019415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4E2" w:rsidRDefault="009E64E2" w:rsidP="0019415B">
      <w:pPr>
        <w:spacing w:before="0" w:after="0"/>
      </w:pPr>
      <w:r>
        <w:separator/>
      </w:r>
    </w:p>
  </w:footnote>
  <w:footnote w:type="continuationSeparator" w:id="0">
    <w:p w:rsidR="009E64E2" w:rsidRDefault="009E64E2" w:rsidP="0019415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15B" w:rsidRPr="00727D0A" w:rsidRDefault="009E64E2" w:rsidP="008C5BD3">
    <w:pPr>
      <w:tabs>
        <w:tab w:val="center" w:pos="4252"/>
        <w:tab w:val="right" w:pos="8504"/>
      </w:tabs>
      <w:spacing w:before="0" w:beforeAutospacing="0" w:after="0" w:afterAutospacing="0"/>
      <w:ind w:left="357"/>
      <w:jc w:val="center"/>
      <w:rPr>
        <w:rFonts w:ascii="Calibri" w:hAnsi="Calibri"/>
      </w:rPr>
    </w:pPr>
    <w:r w:rsidRPr="009E64E2">
      <w:rPr>
        <w:rFonts w:eastAsia="Times New Roman"/>
        <w:noProof/>
      </w:rPr>
      <w:drawing>
        <wp:inline distT="0" distB="0" distL="0" distR="0">
          <wp:extent cx="657225" cy="638175"/>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p>
  <w:p w:rsidR="0019415B" w:rsidRPr="00727D0A" w:rsidRDefault="0019415B" w:rsidP="008C5BD3">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Ministério da Saúde - MS</w:t>
    </w:r>
  </w:p>
  <w:p w:rsidR="0019415B" w:rsidRDefault="0019415B" w:rsidP="008C5BD3">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 xml:space="preserve">Agência Nacional de Vigilância Sanitária </w:t>
    </w:r>
    <w:r w:rsidR="008C5BD3">
      <w:rPr>
        <w:rFonts w:ascii="Calibri" w:hAnsi="Calibri"/>
        <w:b/>
      </w:rPr>
      <w:t>–</w:t>
    </w:r>
    <w:r w:rsidRPr="00727D0A">
      <w:rPr>
        <w:rFonts w:ascii="Calibri" w:hAnsi="Calibri"/>
        <w:b/>
      </w:rPr>
      <w:t xml:space="preserve"> ANVISA</w:t>
    </w:r>
  </w:p>
  <w:p w:rsidR="008C5BD3" w:rsidRPr="00727D0A" w:rsidRDefault="008C5BD3" w:rsidP="008C5BD3">
    <w:pPr>
      <w:tabs>
        <w:tab w:val="center" w:pos="4252"/>
        <w:tab w:val="right" w:pos="8504"/>
      </w:tabs>
      <w:spacing w:before="0" w:beforeAutospacing="0" w:after="0" w:afterAutospacing="0"/>
      <w:ind w:left="357"/>
      <w:jc w:val="center"/>
      <w:rPr>
        <w:rFonts w:ascii="Calibri" w:hAnsi="Calibri"/>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9415B"/>
    <w:rsid w:val="001D1FEE"/>
    <w:rsid w:val="002216D6"/>
    <w:rsid w:val="002A6BAF"/>
    <w:rsid w:val="004B1DF9"/>
    <w:rsid w:val="00524060"/>
    <w:rsid w:val="005D13BD"/>
    <w:rsid w:val="005F51DF"/>
    <w:rsid w:val="00652E8A"/>
    <w:rsid w:val="00727D0A"/>
    <w:rsid w:val="00771958"/>
    <w:rsid w:val="008B7BC0"/>
    <w:rsid w:val="008C5BD3"/>
    <w:rsid w:val="008D770F"/>
    <w:rsid w:val="009D4C4B"/>
    <w:rsid w:val="009E64E2"/>
    <w:rsid w:val="009F4005"/>
    <w:rsid w:val="00A53197"/>
    <w:rsid w:val="00AF43E7"/>
    <w:rsid w:val="00B30492"/>
    <w:rsid w:val="00C95A0B"/>
    <w:rsid w:val="00D624E5"/>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19415B"/>
    <w:pPr>
      <w:tabs>
        <w:tab w:val="center" w:pos="4252"/>
        <w:tab w:val="right" w:pos="8504"/>
      </w:tabs>
      <w:spacing w:before="0" w:after="0"/>
    </w:pPr>
  </w:style>
  <w:style w:type="character" w:customStyle="1" w:styleId="CabealhoChar">
    <w:name w:val="Cabeçalho Char"/>
    <w:basedOn w:val="Fontepargpadro"/>
    <w:link w:val="Cabealho"/>
    <w:uiPriority w:val="99"/>
    <w:locked/>
    <w:rsid w:val="0019415B"/>
    <w:rPr>
      <w:rFonts w:eastAsiaTheme="minorEastAsia" w:cs="Times New Roman"/>
      <w:sz w:val="24"/>
      <w:szCs w:val="24"/>
    </w:rPr>
  </w:style>
  <w:style w:type="paragraph" w:styleId="Rodap">
    <w:name w:val="footer"/>
    <w:basedOn w:val="Normal"/>
    <w:link w:val="RodapChar"/>
    <w:uiPriority w:val="99"/>
    <w:rsid w:val="0019415B"/>
    <w:pPr>
      <w:tabs>
        <w:tab w:val="center" w:pos="4252"/>
        <w:tab w:val="right" w:pos="8504"/>
      </w:tabs>
      <w:spacing w:before="0" w:after="0"/>
    </w:pPr>
  </w:style>
  <w:style w:type="character" w:customStyle="1" w:styleId="RodapChar">
    <w:name w:val="Rodapé Char"/>
    <w:basedOn w:val="Fontepargpadro"/>
    <w:link w:val="Rodap"/>
    <w:uiPriority w:val="99"/>
    <w:locked/>
    <w:rsid w:val="0019415B"/>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751900">
      <w:marLeft w:val="150"/>
      <w:marRight w:val="150"/>
      <w:marTop w:val="150"/>
      <w:marBottom w:val="0"/>
      <w:divBdr>
        <w:top w:val="none" w:sz="0" w:space="0" w:color="auto"/>
        <w:left w:val="none" w:sz="0" w:space="0" w:color="auto"/>
        <w:bottom w:val="none" w:sz="0" w:space="0" w:color="auto"/>
        <w:right w:val="none" w:sz="0" w:space="0" w:color="auto"/>
      </w:divBdr>
      <w:divsChild>
        <w:div w:id="1920751899">
          <w:marLeft w:val="0"/>
          <w:marRight w:val="0"/>
          <w:marTop w:val="0"/>
          <w:marBottom w:val="0"/>
          <w:divBdr>
            <w:top w:val="none" w:sz="0" w:space="0" w:color="auto"/>
            <w:left w:val="none" w:sz="0" w:space="0" w:color="auto"/>
            <w:bottom w:val="none" w:sz="0" w:space="0" w:color="auto"/>
            <w:right w:val="none" w:sz="0" w:space="0" w:color="auto"/>
          </w:divBdr>
          <w:divsChild>
            <w:div w:id="1920751898">
              <w:marLeft w:val="0"/>
              <w:marRight w:val="0"/>
              <w:marTop w:val="75"/>
              <w:marBottom w:val="300"/>
              <w:divBdr>
                <w:top w:val="none" w:sz="0" w:space="0" w:color="auto"/>
                <w:left w:val="none" w:sz="0" w:space="0" w:color="auto"/>
                <w:bottom w:val="none" w:sz="0" w:space="0" w:color="auto"/>
                <w:right w:val="none" w:sz="0" w:space="0" w:color="auto"/>
              </w:divBdr>
            </w:div>
            <w:div w:id="1920751901">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5416</Characters>
  <Application>Microsoft Office Word</Application>
  <DocSecurity>0</DocSecurity>
  <Lines>45</Lines>
  <Paragraphs>12</Paragraphs>
  <ScaleCrop>false</ScaleCrop>
  <Company>ANVISA</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2018-01-17T18:51:00Z</cp:lastPrinted>
  <dcterms:created xsi:type="dcterms:W3CDTF">2018-08-16T18:37:00Z</dcterms:created>
  <dcterms:modified xsi:type="dcterms:W3CDTF">2018-08-16T18:37:00Z</dcterms:modified>
</cp:coreProperties>
</file>