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D8076B" w:rsidRDefault="00C74BE4" w:rsidP="00251D4F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D8076B">
        <w:rPr>
          <w:rFonts w:ascii="Times New Roman" w:hAnsi="Times New Roman" w:cs="Times New Roman"/>
          <w:b/>
          <w:szCs w:val="24"/>
        </w:rPr>
        <w:t xml:space="preserve">RESOLUÇÃO </w:t>
      </w:r>
      <w:r w:rsidR="00251D4F" w:rsidRPr="00D8076B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D8076B">
        <w:rPr>
          <w:rFonts w:ascii="Times New Roman" w:hAnsi="Times New Roman" w:cs="Times New Roman"/>
          <w:b/>
          <w:szCs w:val="24"/>
        </w:rPr>
        <w:t xml:space="preserve">– RDC Nº 55, DE 10 DE NOVEMBRO DE </w:t>
      </w:r>
      <w:proofErr w:type="gramStart"/>
      <w:r w:rsidRPr="00D8076B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8A3333" w:rsidRDefault="008A3333" w:rsidP="00C74BE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8076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217, de 13 de novembro de 2009</w:t>
      </w:r>
      <w:proofErr w:type="gramStart"/>
      <w:r w:rsidRPr="00D8076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8076B" w:rsidRPr="00D8076B" w:rsidRDefault="00D8076B" w:rsidP="00D807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nº 109, de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setembro de 2016)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A3333" w:rsidRPr="00D8076B" w:rsidTr="008A3333">
        <w:tc>
          <w:tcPr>
            <w:tcW w:w="4322" w:type="dxa"/>
          </w:tcPr>
          <w:p w:rsidR="008A3333" w:rsidRPr="00D8076B" w:rsidRDefault="008A3333" w:rsidP="00C74BE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8A3333" w:rsidRPr="00D8076B" w:rsidRDefault="008A3333" w:rsidP="008A3333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D8076B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Regulamento Técnico para Produtos Saneantes Categorizados como</w:t>
            </w:r>
            <w:r w:rsidR="002C527C" w:rsidRPr="00D8076B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D8076B">
              <w:rPr>
                <w:rFonts w:ascii="Times New Roman" w:hAnsi="Times New Roman" w:cs="Times New Roman"/>
                <w:strike/>
                <w:sz w:val="24"/>
                <w:szCs w:val="24"/>
              </w:rPr>
              <w:t>Água Sanitária e Alvejantes à Base de Hipoclorito de Sódio ou Hipoclorito de Cálcio e dá outras providências.</w:t>
            </w:r>
          </w:p>
        </w:tc>
      </w:tr>
    </w:tbl>
    <w:p w:rsidR="008A3333" w:rsidRPr="00D8076B" w:rsidRDefault="008A3333" w:rsidP="00D807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novembro de 2009,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Fica aprovado o Regulamento Técnico que estabelece os requisitos mínimos para o Registro de Produtos Saneantes Categorizados como Água Sanitária e Alvejantes à Base de Hipoclorito de Sódio e Hipoclorito de Cálcio, nos termos desta Resolução.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CAPÍTULO 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DAS DISPOSIÇÕES INICIAIS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Seção 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Objetivo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Este Regulamento estabelece definições, características gerais, substâncias ativas e coadjuvantes de formulação permitidos, forma de apresentação, advertências e cuidados a serem mencionados na rotulagem de produtos categorizados como Água Sanitária e Alvejante de forma a minimizar o risco à saúde do usuário.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Seção II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Abrangência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3º Este Regulamento se aplica aos produtos saneantes categorizados como Água Sanitária e Alvejante à base de Hipoclorito de Sódio ou Hipoclorito de Cálcio, 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destinados à desinfecção de ambientes, superfícies inanimadas e tecidos e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alvejamento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objetos, tecidos, superfícies inanimadas e ambientes, em domicílios, instituições, indústrias e em estabelecimentos de assistência à saúde.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Seção III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Definições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Para efeito deste Regulamento Técnico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são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adotadas as seguintes definições: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 - Água Sanitária: Solução aquosa com a finalidade de desinfecção e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alvejamento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cujo ativo é o hipoclorito de sódio ou de cálcio, com teor de Cloro Ativo entre 2,0 e 2,5% p/p, podendo conter apenas os seguintes componentes complementares: hidróxido de sódio ou de cálcio, cloreto de sódio ou de cálcio e carbonato de sódio ou de cálcio.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 - Alvejante à base de Hipoclorito: Solução aquosa com a finalidade de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alvejamento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e/ou desinfecção, cujo ativo é o hipoclorito de sódio ou de cálcio, com teor de Cloro Ativo entre 2,0 e 2,5% p/p, podendo conter estabilizantes, corantes, fragrâncias, sequestrantes e/ou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tensoativos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em sua formulação.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 - Alvejante concentrado à base de Hipoclorito: Solução aquosa com a finalidade de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alvejamento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e/ou desinfecção, cujo ativo é o hipoclorito de sódio ou de cálcio, com teor de Cloro Ativo entre 3,9 e 5,6% p/p, podendo conter estabilizantes, corantes, fragrâncias, sequestrantes e/ou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tensoativos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em sua formulação.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Embalagem: invólucro, recipiente ou qualquer forma de acondicionamento, removível ou não, destinado a cobrir, empacotar, envasar, proteger ou manter, especificamente ou não, produtos de que trata este Regulamento.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Rótulo: identificação impressa, bem como dizeres pintados ou gravados a fogo, pressão ou decalco, aplicados diretamente sobre recipientes, vasilhames e envoltórios.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VI - Desinfecção: processo que mata todos os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microorganismos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patogênicos, mas não necessariamente todas as formas microbianas esporuladas.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VII -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Alvejamento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processo químico e/ou físico destinado a branquear ou alvejar.</w:t>
      </w:r>
    </w:p>
    <w:p w:rsidR="00D8076B" w:rsidRDefault="00D8076B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D8076B" w:rsidRDefault="00D8076B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D8076B" w:rsidRDefault="00D8076B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CAPÍTULO II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CARACTERÍSTICAS GERAIS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 Para efeito deste Regulamento Técnico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são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adotadas as seguintes características gerais: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 - Os produtos abrangidos por este Regulamento são considerados de Risco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Todos os laudos exigidos por este Regulamento devem ser emitidos por Laboratórios Oficiais.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 - O prazo de validade admitido será de acordo com a comprovação apresentada por meio de laudo de estabilidade de longa duração.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IV - O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pH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máximo do produto puro deve ser de 13,5 (treze e meio).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Os produtos alcançados por este Regulamento não podem ter apresentações na forma de aerossol, líquidos premidos ou pulverizados.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VI - O material da embalagem primária deve ser opaco, de plástico rígido e de difícil ruptura, de composição e porosidade adequadas de modo a não permitir que ocorram reações químicas entre o produto e a embalagem, mudança de cor do produto, transferência de odores ou migração de substâncias para o produto, bem como migração do produto para o meio externo.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VII - A embalagem deve ser bem vedada, com fechamento que impeça vazamentos ou eventuais acidentes e de tal maneira que possa voltar a ser fechada várias vezes durante o uso, sem o risco de contato com o produto, dificultando a abertura acidental ou casual durante o período de utilização do produto.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Não se incluem no disposto no inciso VI deste artigo as embalagens flexíveis, que devem atender ao estabelecido no inciso VII do Art. 7º deste Regulamento Técnico.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CAPÍTULO III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CARACTERÍSTICAS ESPECÍFICAS PARA ÁGUA SANITÁRIA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6º Para efeito deste Regulamento Técnico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são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adotadas as seguintes características específicas para Água Sanitária: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O teor mínimo de cloro ativo deve ser de 2,0% p/p e máximo de 2,5% p/p durante o prazo de validade do produto.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II - A água utilizada na fabricação deve atender ao "Padrão de Potabilidade de Água para Consumo Humano", de acordo com as normas do Ministério da Saúde.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 - É proibida a adição de corantes, fragrâncias, sequestrantes,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tensoativos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ou quaisquer outras substâncias.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Para a desinfecção de ambientes, superfícies e objetos inanimados, a água sanitária deve ser utilizada pura.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 - O tempo de contato que deve constar no modo de uso do rótulo do produto para desinfecção de ambientes e superfícies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inanimadasé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no mínimo 10 minutos.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VI - No caso da indicação do produto para combater as larvas do mosquito da dengue, incluir no campo modo de uso do rótulo, a adição de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mL de água sanitária para cada litro de água tratada.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Parágrafo único. Quando as indicações de desinfecção forem diferentes das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constatntes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nos incisos IV e V deste artigo, deverão ser apresentados estudos que comprovem a eficácia do produto nas condições indicadas.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CAPÍTULO IV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CARACTERÍSTICAS ESPECÍFICAS PARA ALVEJANTE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7º Para ef</w:t>
      </w:r>
      <w:r w:rsidR="00567A4C"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eito deste Regulamento Técnico</w:t>
      </w:r>
      <w:proofErr w:type="gramStart"/>
      <w:r w:rsidR="00567A4C"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são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adotadas as seguintes características específicas para Alvejante: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O teor mínimo de cloro ativo deve ser de 2,0% p/p e máximo de 2,5% p/p durante o prazo de validade do produto.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O teor mínimo de cloro ativo deve ser de 3,9% p/p e máximo de 5,6% p/p durante o prazo de validade do produto para Alvejante Concentrado.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 - É permitida a inclusão de corantes, fragrâncias, sequestrantes e/ou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tensoativos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em sua formulação.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As formulações não podem conter outras substâncias que possuem ação antimicrobiana.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Não é permitida a indicação de desinfecção de hortifrutícolas e água para consumo humano.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VI - Os produtos alvejantes destinados à desinfecção de ambientes, superfícies e objetos inanimados devem comprovar sua eficácia frente aos microrganismos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Staphylococcus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aureus e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Salmonella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choleraesuis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VII - As embalagens flexíveis sem tampa devem ser de dose</w:t>
      </w:r>
      <w:r w:rsidR="00A512E9"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única, indicando a diluição total do seu conteúdo, para fornecer uma solução com concentração adequada para o uso recomendado.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§1º O material da embalagem flexível deve ser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opaco, de composição e porosidade adequados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de modo a não permitir que ocorram reações químicas entre o produto e a embalagem, mudança de cor do produto, transferência de odores ou migração de substâncias para o produto, bem como migração do produto para o meio externo.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§2º O limite quantitativo máximo para as embalagens flexíveis de dose única deve ser de 100 </w:t>
      </w:r>
      <w:proofErr w:type="spellStart"/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mL</w:t>
      </w:r>
      <w:proofErr w:type="spellEnd"/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CAPÍTULO V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REQUISITOS PARA O REGISTRO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8º Para efeito deste Regulamento Técnico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são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adotados os seguintes requisitos para o registro sanitário de que trata a Lei Nº 6.360/76: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A empresa deve apresentar os seguintes documentos: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a) </w:t>
      </w:r>
      <w:proofErr w:type="spell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Peticionamento</w:t>
      </w:r>
      <w:proofErr w:type="spell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eletrônico;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Via original do comprovante de pagamento da taxa de fiscalização de vigilância sanitária (GRU);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Laudo de atividade antimicrobiana, quando for o caso;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d) Laudo de estabilidade de longa duração;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e) Laudo do teor de cloro ativo;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f) Laudo de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pH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produto puro;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g) Modelo de rótulo em duas vias, em papel A4, conforme o original, impresso colorido e em resolução que permita a leitura dos dizeres e com as cores e matizes do rótulo final, sendo necessário, efetuar a redução para adequar ao tamanho A4, informando a relação de escala;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h) Desenho da embalagem/croqui/foto, incluindo detalhe de fechamento da tampa e dosagem;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i) Dados gerais da empresa;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j) Alvará sanitário ou pedido de renovação (ambos do ano vigente);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k) Alvará sanitário ou pedido de renovação (ambos do ano vigente) da empresa terceirizada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se for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 caso.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proofErr w:type="gramStart"/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CAPÍTULO VI</w:t>
      </w:r>
      <w:proofErr w:type="gramEnd"/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ROTULAGEM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9º Para os efeitos deste Regulamento Técnico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são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adotados os seguintes requisitos para a rotulagem: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As palavras em destaque devem ser impressas em negrito com, no mínimo, o dobro de altura do tamanho do restante do texto;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 - Os dizeres de rotulagem devem ser indeléveis, legíveis, com limite mínimo de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mm de altura, sendo que a cor e o tipo das letras usadas não podem se confundir com o fundo;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 - É vedado conter etiquetas e dados escritos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mão e os dizeres não podem ser apagados ou rasurados durante a vigência do prazo de validade;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Não é permitida a inscrição de lote, data de fabricação e validade na tampa do produto;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É vedada indicação de: NÃO TÓXICO, SEGURO, INÓCUO, NÃO PREJUDICIAL ou outras indicações similares. Não devem constar também termos superlativos tais como: O MELHOR, TRATAMENTO EXCELENTE, INCOMPARÁVEL, ou similar.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§1º O painel principal do rótulo (face imediatamente voltada para o consumidor) deverá conter as seguintes informações obrigatórias: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Marca e/ou nome do produto e complemento do nome - versão (se houver)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Categoria do produto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 - Destinação de uso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Indicação quantitativa relativa à massa ou volume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A frase "ANTES DE USAR, LEIA AS INSTRUÇÕES DO RÓTULO", em destaque e em letras maiúsculas.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VI - A frase "CONSERVE FORA DO ALCANCE DAS CRIANÇAS E DOS ANIMAIS DOMÉSTICOS", em destaque e em letras maiúsculas.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§2º São informações obrigatórias a serem veiculadas no principal ou secundário: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Modo de usar;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Cuidados de conservação, contendo as seguintes frases: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"Mantenha o produto na sua embalagem original.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"Para conservação da qualidade do produto, mantenha a embalagem protegida do sol e calor.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 - Composição qualitativa e princípio ativo;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Lote ou partida e data de fabricação;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Prazo de validade.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VI - As seguintes frases de advertência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"NÃO MISTURE COM OUTROS PRODUTOS. A MISTURA COM ÁCIDOS OU PRODUTOS À BASE DE AMÔNIA PRODUZ GASES TÓXICOS" - em destaque e em letras maiúsculas.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Para os rótulos de produtos alvejantes com indicação de desinfecção, deve constar, no painel principal, a seguinte frase: "NÃO UTILIZAR PARA A DESINFECÇÃO DE ÁGUA PARA CONSUMO HUMANO E ALIMENTOS", em negrito e letras maiúsculas, com tamanho da letra 50% maior que o tamanho da letra do texto geral do rótulo ou no mínimo com 0,3 cm de altura.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Para os rótulos de produtos "Alvejantes concentrados à base de hipoclorito", deve constar a frase: "CUIDADO! PRODUTO CONCENTRADO" - em negrito e em letras maiúsculas, sendo o tamanho mínimo da letra igual a 1/3 do tamanho da letra do nome do produto.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d) Para as embalagens de dose única deve constar, no rótulo, a frase: "QUANDO ABERTA DEVE SER UTILIZADA EM SUA TOTALIDADE", em destaque e em letras maiúsculas.</w:t>
      </w:r>
    </w:p>
    <w:p w:rsidR="00D8076B" w:rsidRDefault="00D8076B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D8076B" w:rsidRDefault="00D8076B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bookmarkStart w:id="0" w:name="_GoBack"/>
      <w:bookmarkEnd w:id="0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VII - As seguintes frases de precaução: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"Não ingerir. Evite inalação ou aspiração e o contato com os olhos e a pele.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"Lavar os objetos e utensílios utilizados como medida, antes de reutilizá-los.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"Não usar em recipientes e objetos metálicos.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d) "Usar luvas para sua aplicação." (exclusivo para Alvejante Concentrado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e) "Não reutilizar a embalagem para outros fins.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VIII - Informações sobre primeiros socorros, contendo as seguintes frases: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"Em caso de contato com os olhos e a pele, lave imediatamente com água em abundância. Se persistir a irritação, procure um médico.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"Em caso de ingestão, não provoque vômito e consulte imediatamente o Centro de Intoxicações ou o médico, levando a embalagem ou o rótulo do produto.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"Em caso de inalação ou aspiração, remova o paciente para local arejado e procure um Serviço de Saúde ou Centro de Intoxicações, levando a embalagem ou o rótulo do produto.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IX - Dados do Fabricante e/ou Distribuidor e/ou Importador, dentre os quais: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razão social, endereço e Cadastro Nacional da Pessoa Jurídica (CNPJ) do fabricante e/ou distribuidor e/ou importador;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nome do técnico responsável e o número do registro no seu conselho profissional;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"Indústria Brasileira" ou o nome do país de origem do produto, no caso de produto importado;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d) número do registro do produto junto à Agência Nacional de Vigilância Sanitária;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e) número de telefone do Serviço de Atendimento ao Consumidor - SAC.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f) telefone para emergências toxicológicas - Centro de Intoxicações (CEATOX). O número do disque-Intoxicação 0800 722 6001 poderá ser informado.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§1º As instruções de uso do produto devem ser claras e simples. As diluições do produto devem ser expressas em porcentagem, relação produto/diluente ou outras 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medidas de ordem prática, desde que mencionados seus equivalentes no Sistema Métrico Decimal.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§2º As informações sobre composição qualitativa e do princípio ativo de que trata o inciso III deverão incluir: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o componente ativo e outros de importância toxicológica pelo nome técnico aceito internacionalmente, com a respectiva concentração em % p/p (peso por peso) e os demais componentes da formulação por sua função;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a indicação "Teor de cloro ativo entre 2,0 e 2,5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% p/p", para Água Sanitária e Alvejante"</w:t>
      </w:r>
      <w:proofErr w:type="gramEnd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 - a indicação "Teor de cloro ativo entre 3,9 e 5,6% p/p", para Alvejante Concentrado.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§3º O prazo de validade do produto deve ser descrito em sua rotulagem dos produtos por meio das expressões designativas abaixo, suas abreviações ou outras expressões equivalentes: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I. - "VÁLIDO ATÉ: (MÊS/ANO)",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ou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II. - "VÁLIDO POR: ____ MESES, a partir da data de fabricação.", incluindo DATA DE FABRICAÇÃO (MÊS/ANO), </w:t>
      </w:r>
      <w:proofErr w:type="gramStart"/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ou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 - "USAR EM ____ MESES, a partir da data de fabricação.", incluindo DATA DE FABRICAÇÃO (MÊS/ANO).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CAPÍTULO VII</w:t>
      </w: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DAS DISPOSIÇÕES FINAIS E TRANSITÓRIAS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10. A partir da publicação desta Resolução, o registro de novos produtos deve atender na íntegra este Regulamento.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Concede-se o prazo de 180 dias para que os produtos anteriormente notificados/registrados como Alvejantes ou</w:t>
      </w:r>
      <w:r w:rsidR="004F0FCA"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Água Sanitária sejam ajustados aos dispositivos desta Resolução.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11. O descumprimento das disposições contidas nesta Resolução e no regulamento por ela aprovado constitui infração sanitária, nos termos da Lei Nº 6.437, de 20 de agosto de 1977, sem prejuízo das responsabilidades civil, administrativa e penal cabíveis.</w:t>
      </w:r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12. Fica revogada a Portaria N</w:t>
      </w:r>
      <w:r w:rsidRPr="00D8076B">
        <w:rPr>
          <w:rFonts w:ascii="Times New Roman" w:hAnsi="Times New Roman" w:cs="Times New Roman"/>
          <w:strike/>
          <w:sz w:val="24"/>
          <w:szCs w:val="24"/>
        </w:rPr>
        <w:t>º</w:t>
      </w: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89, de 25 de agosto de 1994.</w:t>
      </w:r>
    </w:p>
    <w:p w:rsidR="00C40F64" w:rsidRPr="00D8076B" w:rsidRDefault="00C40F64" w:rsidP="00C40F6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Art.12-A. Fica internalizada a Resolução GMC Nº 57/98. </w:t>
      </w:r>
      <w:r w:rsidRPr="00D8076B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(In</w:t>
      </w:r>
      <w:r w:rsidR="00251D4F" w:rsidRPr="00D8076B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cluído pela Resolução – RDC nº </w:t>
      </w:r>
      <w:r w:rsidRPr="00D8076B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5, de 04 de fevereiro de 2010</w:t>
      </w:r>
      <w:proofErr w:type="gramStart"/>
      <w:r w:rsidRPr="00D8076B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8A3333" w:rsidRPr="00D8076B" w:rsidRDefault="008A3333" w:rsidP="008A33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13. Esta Resolução entra em vigor na data de sua publicação.</w:t>
      </w:r>
    </w:p>
    <w:p w:rsidR="00251D4F" w:rsidRPr="00D8076B" w:rsidRDefault="00251D4F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</w:p>
    <w:p w:rsidR="008A3333" w:rsidRPr="00D8076B" w:rsidRDefault="008A3333" w:rsidP="008A33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D8076B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8A3333" w:rsidRPr="00D8076B" w:rsidRDefault="008A3333" w:rsidP="008A3333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8A3333" w:rsidRPr="00D8076B" w:rsidSect="003755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4F" w:rsidRDefault="00251D4F" w:rsidP="00251D4F">
      <w:pPr>
        <w:spacing w:after="0" w:line="240" w:lineRule="auto"/>
      </w:pPr>
      <w:r>
        <w:separator/>
      </w:r>
    </w:p>
  </w:endnote>
  <w:endnote w:type="continuationSeparator" w:id="0">
    <w:p w:rsidR="00251D4F" w:rsidRDefault="00251D4F" w:rsidP="0025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4F" w:rsidRPr="00251D4F" w:rsidRDefault="00251D4F" w:rsidP="00251D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4F" w:rsidRDefault="00251D4F" w:rsidP="00251D4F">
      <w:pPr>
        <w:spacing w:after="0" w:line="240" w:lineRule="auto"/>
      </w:pPr>
      <w:r>
        <w:separator/>
      </w:r>
    </w:p>
  </w:footnote>
  <w:footnote w:type="continuationSeparator" w:id="0">
    <w:p w:rsidR="00251D4F" w:rsidRDefault="00251D4F" w:rsidP="00251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4F" w:rsidRPr="00B517AC" w:rsidRDefault="00251D4F" w:rsidP="00251D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131AC62" wp14:editId="19AF130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51D4F" w:rsidRPr="00B517AC" w:rsidRDefault="00251D4F" w:rsidP="00251D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51D4F" w:rsidRPr="00B517AC" w:rsidRDefault="00251D4F" w:rsidP="00251D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51D4F" w:rsidRDefault="00251D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BE4"/>
    <w:rsid w:val="00175B1A"/>
    <w:rsid w:val="001E708B"/>
    <w:rsid w:val="00251D4F"/>
    <w:rsid w:val="002C527C"/>
    <w:rsid w:val="00375593"/>
    <w:rsid w:val="004F0FCA"/>
    <w:rsid w:val="00567A4C"/>
    <w:rsid w:val="005D7972"/>
    <w:rsid w:val="007441BF"/>
    <w:rsid w:val="00786686"/>
    <w:rsid w:val="008215DB"/>
    <w:rsid w:val="008A3333"/>
    <w:rsid w:val="00A512E9"/>
    <w:rsid w:val="00AC11F4"/>
    <w:rsid w:val="00B30817"/>
    <w:rsid w:val="00C40F64"/>
    <w:rsid w:val="00C74BE4"/>
    <w:rsid w:val="00D621E1"/>
    <w:rsid w:val="00D8076B"/>
    <w:rsid w:val="00F2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93"/>
  </w:style>
  <w:style w:type="paragraph" w:styleId="Ttulo2">
    <w:name w:val="heading 2"/>
    <w:basedOn w:val="Normal"/>
    <w:link w:val="Ttulo2Char"/>
    <w:uiPriority w:val="9"/>
    <w:qFormat/>
    <w:rsid w:val="008A333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8A333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333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8A333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8A3333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33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1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D4F"/>
  </w:style>
  <w:style w:type="paragraph" w:styleId="Rodap">
    <w:name w:val="footer"/>
    <w:basedOn w:val="Normal"/>
    <w:link w:val="RodapChar"/>
    <w:uiPriority w:val="99"/>
    <w:unhideWhenUsed/>
    <w:rsid w:val="00251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4F"/>
  </w:style>
  <w:style w:type="paragraph" w:styleId="Textodebalo">
    <w:name w:val="Balloon Text"/>
    <w:basedOn w:val="Normal"/>
    <w:link w:val="TextodebaloChar"/>
    <w:uiPriority w:val="99"/>
    <w:semiHidden/>
    <w:unhideWhenUsed/>
    <w:rsid w:val="0025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333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8A333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333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8A333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8A3333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34021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46AE3-FBF4-48C5-92DC-81F7021E0CB1}"/>
</file>

<file path=customXml/itemProps2.xml><?xml version="1.0" encoding="utf-8"?>
<ds:datastoreItem xmlns:ds="http://schemas.openxmlformats.org/officeDocument/2006/customXml" ds:itemID="{AF345739-DC3B-4C8D-B1C9-E87DAA97E6EC}"/>
</file>

<file path=customXml/itemProps3.xml><?xml version="1.0" encoding="utf-8"?>
<ds:datastoreItem xmlns:ds="http://schemas.openxmlformats.org/officeDocument/2006/customXml" ds:itemID="{1CB24432-08B3-4D24-B1A3-EAAB7133F3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2412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2016-04-27T18:19:00Z</dcterms:created>
  <dcterms:modified xsi:type="dcterms:W3CDTF">2016-09-08T18:15:00Z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