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0A1" w:rsidRPr="000713B9" w:rsidRDefault="00B710A1" w:rsidP="000713B9">
      <w:pPr>
        <w:autoSpaceDE w:val="0"/>
        <w:autoSpaceDN w:val="0"/>
        <w:adjustRightInd w:val="0"/>
        <w:spacing w:after="200"/>
        <w:ind w:left="-284" w:right="-285"/>
        <w:jc w:val="center"/>
        <w:rPr>
          <w:b/>
          <w:bCs/>
          <w:color w:val="282526"/>
          <w:sz w:val="23"/>
          <w:szCs w:val="23"/>
        </w:rPr>
      </w:pPr>
      <w:bookmarkStart w:id="0" w:name="_GoBack"/>
      <w:bookmarkEnd w:id="0"/>
      <w:r w:rsidRPr="000713B9">
        <w:rPr>
          <w:b/>
          <w:bCs/>
          <w:sz w:val="23"/>
          <w:szCs w:val="23"/>
        </w:rPr>
        <w:t xml:space="preserve">RESOLUÇÃO DA DIRETORIA COLEGIADA - RDC </w:t>
      </w:r>
      <w:r w:rsidR="00A46288" w:rsidRPr="000713B9">
        <w:rPr>
          <w:b/>
          <w:bCs/>
          <w:color w:val="282526"/>
          <w:sz w:val="23"/>
          <w:szCs w:val="23"/>
        </w:rPr>
        <w:t xml:space="preserve">Nº </w:t>
      </w:r>
      <w:r w:rsidR="0025216C" w:rsidRPr="000713B9">
        <w:rPr>
          <w:b/>
          <w:bCs/>
          <w:color w:val="282526"/>
          <w:sz w:val="23"/>
          <w:szCs w:val="23"/>
        </w:rPr>
        <w:t>67</w:t>
      </w:r>
      <w:r w:rsidR="00A46288" w:rsidRPr="000713B9">
        <w:rPr>
          <w:b/>
          <w:bCs/>
          <w:color w:val="282526"/>
          <w:sz w:val="23"/>
          <w:szCs w:val="23"/>
        </w:rPr>
        <w:t xml:space="preserve">, DE </w:t>
      </w:r>
      <w:r w:rsidR="0025216C" w:rsidRPr="000713B9">
        <w:rPr>
          <w:b/>
          <w:bCs/>
          <w:color w:val="282526"/>
          <w:sz w:val="23"/>
          <w:szCs w:val="23"/>
        </w:rPr>
        <w:t xml:space="preserve">23 </w:t>
      </w:r>
      <w:r w:rsidR="00A46288" w:rsidRPr="000713B9">
        <w:rPr>
          <w:b/>
          <w:bCs/>
          <w:color w:val="282526"/>
          <w:sz w:val="23"/>
          <w:szCs w:val="23"/>
        </w:rPr>
        <w:t>DE MARÇO</w:t>
      </w:r>
      <w:r w:rsidRPr="000713B9">
        <w:rPr>
          <w:b/>
          <w:bCs/>
          <w:color w:val="282526"/>
          <w:sz w:val="23"/>
          <w:szCs w:val="23"/>
        </w:rPr>
        <w:t xml:space="preserve"> DE </w:t>
      </w:r>
      <w:r w:rsidR="00A46288" w:rsidRPr="000713B9">
        <w:rPr>
          <w:b/>
          <w:bCs/>
          <w:color w:val="282526"/>
          <w:sz w:val="23"/>
          <w:szCs w:val="23"/>
        </w:rPr>
        <w:t>2016</w:t>
      </w:r>
    </w:p>
    <w:p w:rsidR="000713B9" w:rsidRPr="000713B9" w:rsidRDefault="000713B9" w:rsidP="000713B9">
      <w:pPr>
        <w:autoSpaceDE w:val="0"/>
        <w:autoSpaceDN w:val="0"/>
        <w:adjustRightInd w:val="0"/>
        <w:spacing w:after="200"/>
        <w:ind w:left="-284" w:right="-285"/>
        <w:jc w:val="center"/>
        <w:rPr>
          <w:b/>
          <w:bCs/>
          <w:color w:val="0000FF"/>
        </w:rPr>
      </w:pPr>
      <w:r w:rsidRPr="000713B9">
        <w:rPr>
          <w:b/>
          <w:bCs/>
          <w:color w:val="0000FF"/>
        </w:rPr>
        <w:t>(Publicada no DOU nº 57, de 24 de março de 2016)</w:t>
      </w:r>
    </w:p>
    <w:p w:rsidR="00B710A1" w:rsidRPr="000713B9" w:rsidRDefault="00B710A1" w:rsidP="000713B9">
      <w:pPr>
        <w:autoSpaceDE w:val="0"/>
        <w:autoSpaceDN w:val="0"/>
        <w:adjustRightInd w:val="0"/>
        <w:spacing w:after="200"/>
        <w:ind w:left="3958"/>
        <w:jc w:val="both"/>
      </w:pPr>
      <w:r w:rsidRPr="000713B9">
        <w:t>Dispõe sobre as petições de solicitação de habilitação, renovação de habilitação, modificações pós-habilitação, terceirização de ensaio, suspensões e cancelamentos de Centros de Equivalência Farmacêutica e dá outras providências.</w:t>
      </w:r>
    </w:p>
    <w:p w:rsidR="007718DD" w:rsidRPr="000713B9" w:rsidRDefault="007718DD" w:rsidP="000713B9">
      <w:pPr>
        <w:spacing w:after="200"/>
        <w:ind w:firstLine="567"/>
        <w:jc w:val="both"/>
      </w:pPr>
      <w:r w:rsidRPr="000713B9">
        <w:rPr>
          <w:b/>
          <w:bCs/>
        </w:rPr>
        <w:t>A Diretoria Colegiada da Agência Nacional de Vigilância Sanitária,</w:t>
      </w:r>
      <w:r w:rsidRPr="000713B9">
        <w:t xml:space="preserve"> no uso da atribuição que lhe conferem </w:t>
      </w:r>
      <w:r w:rsidRPr="000713B9">
        <w:rPr>
          <w:color w:val="000000"/>
        </w:rPr>
        <w:t xml:space="preserve">o art. </w:t>
      </w:r>
      <w:r w:rsidRPr="000713B9">
        <w:t>15, III e IV</w:t>
      </w:r>
      <w:r w:rsidRPr="000713B9">
        <w:rPr>
          <w:color w:val="000000"/>
        </w:rPr>
        <w:t xml:space="preserve"> aliado ao art. </w:t>
      </w:r>
      <w:r w:rsidRPr="000713B9">
        <w:t>7º, III, e IV</w:t>
      </w:r>
      <w:r w:rsidRPr="000713B9">
        <w:rPr>
          <w:color w:val="000000"/>
        </w:rPr>
        <w:t>,</w:t>
      </w:r>
      <w:r w:rsidRPr="000713B9">
        <w:t xml:space="preserve"> da Lei nº 9.782, de 26 de janeiro de 1999, o art. 53, V, §§ 1º e 3º </w:t>
      </w:r>
      <w:r w:rsidRPr="000713B9">
        <w:rPr>
          <w:color w:val="000000"/>
        </w:rPr>
        <w:t>do Regimento Interno aprovado nos termos do Anexo I d</w:t>
      </w:r>
      <w:r w:rsidRPr="000713B9">
        <w:rPr>
          <w:color w:val="1F497D"/>
        </w:rPr>
        <w:t xml:space="preserve">a </w:t>
      </w:r>
      <w:r w:rsidRPr="000713B9">
        <w:t>Resolução da Diretoria Colegiada – RDC n° 61, de 3 de fevereiro de 2016, resolve adotar a seguinte Resolução da Diretoria Colegiada, conforme deliberado em Reunião Ordinária Pública 005/2016, realizada  em 8 de março de 2016, e eu, Diretor-Presidente, determino a sua publicação.</w:t>
      </w:r>
    </w:p>
    <w:p w:rsidR="00B710A1" w:rsidRPr="000713B9" w:rsidRDefault="00B710A1" w:rsidP="000713B9">
      <w:pPr>
        <w:autoSpaceDE w:val="0"/>
        <w:autoSpaceDN w:val="0"/>
        <w:adjustRightInd w:val="0"/>
        <w:spacing w:after="200"/>
        <w:ind w:firstLine="567"/>
        <w:jc w:val="center"/>
        <w:rPr>
          <w:b/>
        </w:rPr>
      </w:pPr>
    </w:p>
    <w:p w:rsidR="00B710A1" w:rsidRPr="000713B9" w:rsidRDefault="00B710A1" w:rsidP="000713B9">
      <w:pPr>
        <w:autoSpaceDE w:val="0"/>
        <w:autoSpaceDN w:val="0"/>
        <w:adjustRightInd w:val="0"/>
        <w:spacing w:after="200"/>
        <w:jc w:val="center"/>
        <w:rPr>
          <w:b/>
        </w:rPr>
      </w:pPr>
      <w:r w:rsidRPr="000713B9">
        <w:rPr>
          <w:b/>
        </w:rPr>
        <w:t>TÍTULO I</w:t>
      </w:r>
    </w:p>
    <w:p w:rsidR="00B710A1" w:rsidRPr="000713B9" w:rsidRDefault="00B710A1" w:rsidP="000713B9">
      <w:pPr>
        <w:keepNext/>
        <w:spacing w:after="200"/>
        <w:jc w:val="center"/>
        <w:outlineLvl w:val="0"/>
        <w:rPr>
          <w:b/>
          <w:bCs/>
          <w:caps/>
          <w:kern w:val="32"/>
        </w:rPr>
      </w:pPr>
      <w:bookmarkStart w:id="1" w:name="_Toc397347932"/>
      <w:r w:rsidRPr="000713B9">
        <w:rPr>
          <w:b/>
          <w:bCs/>
          <w:caps/>
          <w:kern w:val="32"/>
        </w:rPr>
        <w:t>DAS DISPOSIÇÕES INICIAIS</w:t>
      </w:r>
      <w:bookmarkEnd w:id="1"/>
    </w:p>
    <w:p w:rsidR="00B710A1" w:rsidRPr="000713B9" w:rsidRDefault="00B710A1" w:rsidP="000713B9">
      <w:pPr>
        <w:autoSpaceDE w:val="0"/>
        <w:autoSpaceDN w:val="0"/>
        <w:adjustRightInd w:val="0"/>
        <w:spacing w:after="200"/>
        <w:jc w:val="center"/>
        <w:rPr>
          <w:b/>
          <w:smallCaps/>
        </w:rPr>
      </w:pPr>
      <w:r w:rsidRPr="000713B9">
        <w:rPr>
          <w:b/>
          <w:smallCaps/>
        </w:rPr>
        <w:t>Capítulo I</w:t>
      </w:r>
    </w:p>
    <w:p w:rsidR="00B710A1" w:rsidRPr="000713B9" w:rsidRDefault="00B710A1" w:rsidP="000713B9">
      <w:pPr>
        <w:keepNext/>
        <w:spacing w:after="200"/>
        <w:jc w:val="center"/>
        <w:outlineLvl w:val="1"/>
        <w:rPr>
          <w:b/>
          <w:bCs/>
          <w:iCs/>
          <w:smallCaps/>
        </w:rPr>
      </w:pPr>
      <w:bookmarkStart w:id="2" w:name="_Toc397347933"/>
      <w:r w:rsidRPr="000713B9">
        <w:rPr>
          <w:b/>
          <w:bCs/>
          <w:iCs/>
          <w:smallCaps/>
        </w:rPr>
        <w:t>Objetivo</w:t>
      </w:r>
      <w:bookmarkEnd w:id="2"/>
    </w:p>
    <w:p w:rsidR="00B710A1" w:rsidRPr="000713B9" w:rsidRDefault="009C6CD9" w:rsidP="000713B9">
      <w:pPr>
        <w:tabs>
          <w:tab w:val="num" w:pos="737"/>
          <w:tab w:val="num" w:pos="1418"/>
        </w:tabs>
        <w:autoSpaceDE w:val="0"/>
        <w:autoSpaceDN w:val="0"/>
        <w:adjustRightInd w:val="0"/>
        <w:spacing w:after="200"/>
        <w:ind w:firstLine="567"/>
        <w:jc w:val="both"/>
      </w:pPr>
      <w:r w:rsidRPr="000713B9">
        <w:t xml:space="preserve">Art. 1°. </w:t>
      </w:r>
      <w:r w:rsidR="00B710A1" w:rsidRPr="000713B9">
        <w:t>Esta Resolução estabelece os requisitos mínimos e procedimentos a serem atendidos para a solicitação de habilitação, renovação de habilitação, alterações, inclusões e exclusões pós-habilitação, terceirização de ensaio, suspensões e cancelamentos de Centros de Equivalência Farmacêutica.</w:t>
      </w:r>
    </w:p>
    <w:p w:rsidR="00B710A1" w:rsidRPr="000713B9" w:rsidRDefault="00B710A1" w:rsidP="00215FD9">
      <w:pPr>
        <w:autoSpaceDE w:val="0"/>
        <w:autoSpaceDN w:val="0"/>
        <w:adjustRightInd w:val="0"/>
        <w:spacing w:after="200"/>
        <w:jc w:val="center"/>
        <w:rPr>
          <w:b/>
          <w:smallCaps/>
        </w:rPr>
      </w:pPr>
      <w:bookmarkStart w:id="3" w:name="_Toc330564185"/>
      <w:r w:rsidRPr="000713B9">
        <w:rPr>
          <w:b/>
          <w:smallCaps/>
        </w:rPr>
        <w:t>CAPÍTULO II</w:t>
      </w:r>
    </w:p>
    <w:p w:rsidR="00B710A1" w:rsidRPr="000713B9" w:rsidRDefault="00B710A1" w:rsidP="00215FD9">
      <w:pPr>
        <w:keepNext/>
        <w:spacing w:after="200"/>
        <w:jc w:val="center"/>
        <w:outlineLvl w:val="1"/>
        <w:rPr>
          <w:b/>
          <w:bCs/>
          <w:iCs/>
          <w:smallCaps/>
        </w:rPr>
      </w:pPr>
      <w:bookmarkStart w:id="4" w:name="_Toc397347934"/>
      <w:r w:rsidRPr="000713B9">
        <w:rPr>
          <w:b/>
          <w:bCs/>
          <w:iCs/>
          <w:smallCaps/>
        </w:rPr>
        <w:t>Abrangência</w:t>
      </w:r>
      <w:bookmarkEnd w:id="3"/>
      <w:bookmarkEnd w:id="4"/>
    </w:p>
    <w:p w:rsidR="00B710A1" w:rsidRPr="000713B9" w:rsidRDefault="009C6CD9" w:rsidP="000713B9">
      <w:pPr>
        <w:tabs>
          <w:tab w:val="num" w:pos="737"/>
          <w:tab w:val="num" w:pos="1418"/>
        </w:tabs>
        <w:autoSpaceDE w:val="0"/>
        <w:autoSpaceDN w:val="0"/>
        <w:adjustRightInd w:val="0"/>
        <w:spacing w:after="200"/>
        <w:ind w:firstLine="567"/>
        <w:jc w:val="both"/>
      </w:pPr>
      <w:r w:rsidRPr="000713B9">
        <w:rPr>
          <w:color w:val="2E2C2D"/>
        </w:rPr>
        <w:t xml:space="preserve">Art. 2°. </w:t>
      </w:r>
      <w:r w:rsidR="00B710A1" w:rsidRPr="000713B9">
        <w:rPr>
          <w:color w:val="2E2C2D"/>
        </w:rPr>
        <w:t xml:space="preserve">Esta </w:t>
      </w:r>
      <w:r w:rsidR="00B710A1" w:rsidRPr="000713B9">
        <w:t xml:space="preserve">Resolução </w:t>
      </w:r>
      <w:r w:rsidR="00B710A1" w:rsidRPr="000713B9">
        <w:rPr>
          <w:color w:val="2E2C2D"/>
        </w:rPr>
        <w:t>aplica-se aos</w:t>
      </w:r>
      <w:r w:rsidR="00B710A1" w:rsidRPr="000713B9">
        <w:t xml:space="preserve"> laboratórios que pretend</w:t>
      </w:r>
      <w:r w:rsidR="005D60C6" w:rsidRPr="000713B9">
        <w:t>e</w:t>
      </w:r>
      <w:r w:rsidR="00B710A1" w:rsidRPr="000713B9">
        <w:t>m se tornar Centros de Equivalência Farmacêutica e aos Centros de Equivalência Farmacêutica já habilitados.</w:t>
      </w:r>
    </w:p>
    <w:p w:rsidR="00B710A1" w:rsidRPr="000713B9" w:rsidRDefault="00B710A1" w:rsidP="00215FD9">
      <w:pPr>
        <w:autoSpaceDE w:val="0"/>
        <w:autoSpaceDN w:val="0"/>
        <w:adjustRightInd w:val="0"/>
        <w:spacing w:after="200"/>
        <w:jc w:val="center"/>
        <w:rPr>
          <w:b/>
          <w:smallCaps/>
        </w:rPr>
      </w:pPr>
      <w:r w:rsidRPr="000713B9">
        <w:rPr>
          <w:b/>
          <w:smallCaps/>
        </w:rPr>
        <w:t>CAPÍTULO III</w:t>
      </w:r>
    </w:p>
    <w:p w:rsidR="00B710A1" w:rsidRPr="000713B9" w:rsidRDefault="00B710A1" w:rsidP="00215FD9">
      <w:pPr>
        <w:keepNext/>
        <w:spacing w:after="200"/>
        <w:jc w:val="center"/>
        <w:outlineLvl w:val="1"/>
        <w:rPr>
          <w:b/>
          <w:bCs/>
          <w:iCs/>
          <w:smallCaps/>
        </w:rPr>
      </w:pPr>
      <w:bookmarkStart w:id="5" w:name="_Toc397347935"/>
      <w:r w:rsidRPr="000713B9">
        <w:rPr>
          <w:b/>
          <w:bCs/>
          <w:iCs/>
          <w:smallCaps/>
        </w:rPr>
        <w:t>Definições</w:t>
      </w:r>
      <w:bookmarkEnd w:id="5"/>
    </w:p>
    <w:p w:rsidR="00B710A1" w:rsidRPr="000713B9" w:rsidRDefault="009C6CD9" w:rsidP="000713B9">
      <w:pPr>
        <w:tabs>
          <w:tab w:val="num" w:pos="737"/>
          <w:tab w:val="num" w:pos="1418"/>
        </w:tabs>
        <w:autoSpaceDE w:val="0"/>
        <w:autoSpaceDN w:val="0"/>
        <w:adjustRightInd w:val="0"/>
        <w:spacing w:after="200"/>
        <w:ind w:firstLine="567"/>
        <w:jc w:val="both"/>
      </w:pPr>
      <w:r w:rsidRPr="000713B9">
        <w:t xml:space="preserve">Art. 3°. </w:t>
      </w:r>
      <w:r w:rsidR="00B710A1" w:rsidRPr="000713B9">
        <w:t>Para efeitos desta Resolução, são adotadas as seguintes definições:</w:t>
      </w:r>
    </w:p>
    <w:p w:rsidR="00B710A1" w:rsidRPr="000713B9" w:rsidRDefault="00E074F0" w:rsidP="000713B9">
      <w:pPr>
        <w:tabs>
          <w:tab w:val="num" w:pos="360"/>
        </w:tabs>
        <w:spacing w:after="200"/>
        <w:ind w:firstLine="567"/>
        <w:jc w:val="both"/>
      </w:pPr>
      <w:r w:rsidRPr="000713B9">
        <w:lastRenderedPageBreak/>
        <w:t xml:space="preserve">I. </w:t>
      </w:r>
      <w:r w:rsidR="00735C21" w:rsidRPr="000713B9">
        <w:t>a</w:t>
      </w:r>
      <w:r w:rsidR="00B710A1" w:rsidRPr="000713B9">
        <w:t>nalista:</w:t>
      </w:r>
      <w:r w:rsidR="00B710A1" w:rsidRPr="000713B9">
        <w:rPr>
          <w:lang w:val="pt-PT"/>
        </w:rPr>
        <w:t xml:space="preserve"> profissional tecnicamente qualificado que atua em Centro de Equivalência </w:t>
      </w:r>
      <w:r w:rsidR="007269FB" w:rsidRPr="000713B9">
        <w:rPr>
          <w:lang w:val="pt-PT"/>
        </w:rPr>
        <w:t xml:space="preserve">Farmacêutica </w:t>
      </w:r>
      <w:r w:rsidR="00B710A1" w:rsidRPr="000713B9">
        <w:rPr>
          <w:lang w:val="pt-PT"/>
        </w:rPr>
        <w:t>executando ensaios físico-químicos, microbiológicos ou biológicos;</w:t>
      </w:r>
    </w:p>
    <w:p w:rsidR="00BC3C6E" w:rsidRPr="000713B9" w:rsidRDefault="00E074F0" w:rsidP="000713B9">
      <w:pPr>
        <w:tabs>
          <w:tab w:val="num" w:pos="540"/>
        </w:tabs>
        <w:spacing w:after="200"/>
        <w:ind w:firstLine="567"/>
        <w:jc w:val="both"/>
      </w:pPr>
      <w:r w:rsidRPr="000713B9">
        <w:t xml:space="preserve">II. </w:t>
      </w:r>
      <w:r w:rsidR="00735C21" w:rsidRPr="000713B9">
        <w:t>a</w:t>
      </w:r>
      <w:r w:rsidR="00BC3C6E" w:rsidRPr="000713B9">
        <w:t>uditoria de estudo: avaliação sistemática de estudos de equivalência farmacêutica, estudos de perfil de dissolução comparativo e outros ensaios que o Centro de Equivalência Farmacêutica pode vir a realizar, tais como os previstos para a bioisenção baseada no Sistema de Classificação Biofarmacêutica</w:t>
      </w:r>
      <w:r w:rsidR="005D60C6" w:rsidRPr="000713B9">
        <w:t xml:space="preserve"> e</w:t>
      </w:r>
      <w:r w:rsidR="00BC3C6E" w:rsidRPr="000713B9">
        <w:t xml:space="preserve"> validação parcial de métodos analíticos, com o objetivo de averiguar se estão de acordo com as disposições planejadas ou estabelecidas previamente, se foram conduzidos com qualidade e rastreabilidade e se estão em conformidade com o disposto nesta Resolução e em normas e regulamentos aprovados / referendados pela Anvisa; </w:t>
      </w:r>
    </w:p>
    <w:p w:rsidR="00744A16" w:rsidRPr="000713B9" w:rsidRDefault="00E074F0" w:rsidP="000713B9">
      <w:pPr>
        <w:tabs>
          <w:tab w:val="num" w:pos="426"/>
          <w:tab w:val="num" w:pos="540"/>
        </w:tabs>
        <w:spacing w:after="200"/>
        <w:ind w:firstLine="567"/>
        <w:jc w:val="both"/>
      </w:pPr>
      <w:r w:rsidRPr="000713B9">
        <w:t xml:space="preserve">III. </w:t>
      </w:r>
      <w:r w:rsidR="00735C21" w:rsidRPr="000713B9">
        <w:t>a</w:t>
      </w:r>
      <w:r w:rsidR="00B710A1" w:rsidRPr="000713B9">
        <w:t xml:space="preserve">utoinspeção: avaliação sistemática, realizada pela própria área de garantia da qualidade do Centro de Equivalência Farmacêutica, de suas atividades, cujo objetivo é averiguar se estão de acordo com as disposições planejadas ou estabelecidas previamente, se foram implementadas com eficiência e rastreabilidade e se estão em conformidade com a consecução dos objetivos e o disposto nesta Resolução e em normas e regulamentos aprovados/referendados pela Anvisa; </w:t>
      </w:r>
    </w:p>
    <w:p w:rsidR="00744A16" w:rsidRPr="000713B9" w:rsidRDefault="00E074F0" w:rsidP="000713B9">
      <w:pPr>
        <w:tabs>
          <w:tab w:val="num" w:pos="426"/>
          <w:tab w:val="num" w:pos="540"/>
        </w:tabs>
        <w:spacing w:after="200"/>
        <w:ind w:firstLine="567"/>
        <w:jc w:val="both"/>
      </w:pPr>
      <w:r w:rsidRPr="000713B9">
        <w:t xml:space="preserve">IV. </w:t>
      </w:r>
      <w:r w:rsidR="00735C21" w:rsidRPr="000713B9">
        <w:t>c</w:t>
      </w:r>
      <w:r w:rsidR="00744A16" w:rsidRPr="000713B9">
        <w:t>adeia de custódia: registro de movimentação de amostras de forma qualitativa e quantitativa, desde sua aquisição e utilização até seu descarte, visando que o Centro de Equivalência Farmacêutica possa garantir a rastreabilidade das amostras e substâncias químicas de referência ou caracterizadas, utilizadas em estudos de equivalência farmacêutica, perfil de dissolução comparativo e outros ensaios que o centro pode vir a realizar, tais como bioisenção baseada no Sistema de Classificação Biofarmacêutica (BCS), validações ou validações parciais de métodos analíticos, bem como justificar o quantitativo de amostras gastas em cada ensaio realizado.</w:t>
      </w:r>
    </w:p>
    <w:p w:rsidR="00B710A1" w:rsidRPr="000713B9" w:rsidRDefault="00E074F0" w:rsidP="000713B9">
      <w:pPr>
        <w:tabs>
          <w:tab w:val="num" w:pos="540"/>
        </w:tabs>
        <w:spacing w:after="200"/>
        <w:ind w:firstLine="567"/>
        <w:jc w:val="both"/>
      </w:pPr>
      <w:r w:rsidRPr="000713B9">
        <w:t xml:space="preserve">V. </w:t>
      </w:r>
      <w:r w:rsidR="00C07E66" w:rsidRPr="000713B9">
        <w:t>C</w:t>
      </w:r>
      <w:r w:rsidR="00B710A1" w:rsidRPr="000713B9">
        <w:t xml:space="preserve">entro de </w:t>
      </w:r>
      <w:r w:rsidR="00C07E66" w:rsidRPr="000713B9">
        <w:t>E</w:t>
      </w:r>
      <w:r w:rsidR="00B710A1" w:rsidRPr="000713B9">
        <w:t xml:space="preserve">quivalência </w:t>
      </w:r>
      <w:r w:rsidR="00C07E66" w:rsidRPr="000713B9">
        <w:t>F</w:t>
      </w:r>
      <w:r w:rsidR="00B710A1" w:rsidRPr="000713B9">
        <w:t>armacêutica: laboratório habilitad</w:t>
      </w:r>
      <w:r w:rsidR="00B710A1" w:rsidRPr="000713B9">
        <w:rPr>
          <w:color w:val="000000"/>
        </w:rPr>
        <w:t xml:space="preserve">o pela Anvisa que realiza </w:t>
      </w:r>
      <w:r w:rsidR="000064CB" w:rsidRPr="000713B9">
        <w:rPr>
          <w:color w:val="000000"/>
        </w:rPr>
        <w:t xml:space="preserve">ao menos </w:t>
      </w:r>
      <w:r w:rsidR="00B710A1" w:rsidRPr="000713B9">
        <w:rPr>
          <w:color w:val="000000"/>
        </w:rPr>
        <w:t>os ensaios físico-químicos mínimos e, quando aplicável, microbiológicos ou biológicos dos Estudos de Equivalência Farmacêutica e Perfil de Dissolução Comparativo, de pelo menos uma das formas fa</w:t>
      </w:r>
      <w:r w:rsidR="007269FB" w:rsidRPr="000713B9">
        <w:rPr>
          <w:color w:val="000000"/>
        </w:rPr>
        <w:t>rmacêuticas (sólidas, líquidas,</w:t>
      </w:r>
      <w:r w:rsidR="00B710A1" w:rsidRPr="000713B9">
        <w:rPr>
          <w:color w:val="000000"/>
        </w:rPr>
        <w:t xml:space="preserve"> semissólidas</w:t>
      </w:r>
      <w:r w:rsidR="007269FB" w:rsidRPr="000713B9">
        <w:rPr>
          <w:color w:val="000000"/>
        </w:rPr>
        <w:t xml:space="preserve"> ou especiais</w:t>
      </w:r>
      <w:r w:rsidR="00B710A1" w:rsidRPr="000713B9">
        <w:rPr>
          <w:color w:val="000000"/>
        </w:rPr>
        <w:t>),</w:t>
      </w:r>
      <w:r w:rsidR="00744A16" w:rsidRPr="000713B9">
        <w:t xml:space="preserve"> </w:t>
      </w:r>
      <w:r w:rsidR="00744A16" w:rsidRPr="000713B9">
        <w:rPr>
          <w:color w:val="000000"/>
        </w:rPr>
        <w:t>além de outros ensaios que pode vir a realizar, tais como a Bioisenção baseada no Sistema de Classificação Biofarmacêutica,</w:t>
      </w:r>
      <w:r w:rsidR="00B710A1" w:rsidRPr="000713B9">
        <w:rPr>
          <w:color w:val="000000"/>
        </w:rPr>
        <w:t xml:space="preserve"> responsabilizando-se técnica e juridicamente pela veracidade dos dados e informações constantes dos estudos, nos termos desta Resolução, sem prejuízo das atribuições do patrocinador do estudo;</w:t>
      </w:r>
    </w:p>
    <w:p w:rsidR="00B710A1" w:rsidRPr="000713B9" w:rsidRDefault="00E074F0" w:rsidP="000713B9">
      <w:pPr>
        <w:tabs>
          <w:tab w:val="num" w:pos="540"/>
        </w:tabs>
        <w:spacing w:after="200"/>
        <w:ind w:firstLine="567"/>
        <w:jc w:val="both"/>
      </w:pPr>
      <w:r w:rsidRPr="000713B9">
        <w:t xml:space="preserve">VI. </w:t>
      </w:r>
      <w:r w:rsidR="00735C21" w:rsidRPr="000713B9">
        <w:t>c</w:t>
      </w:r>
      <w:r w:rsidR="00B710A1" w:rsidRPr="000713B9">
        <w:t>entro responsável pelo estudo: Centro de Equivalência Farmacêutica, contratado pelo patrocinador do estudo, responsável técnica e legalmente pelos estudos de equivalência farmacêutica e de perfil de dissolução comparativo</w:t>
      </w:r>
      <w:r w:rsidR="00744A16" w:rsidRPr="000713B9">
        <w:t>, além de outros ensaios que possa vir a realizar, tais como a Bioisenção baseada no Sistema de Classificação Biofarmacêutica (SCB)</w:t>
      </w:r>
      <w:r w:rsidR="00B710A1" w:rsidRPr="000713B9">
        <w:t>;</w:t>
      </w:r>
    </w:p>
    <w:p w:rsidR="00551F89" w:rsidRPr="000713B9" w:rsidRDefault="00E074F0" w:rsidP="000713B9">
      <w:pPr>
        <w:tabs>
          <w:tab w:val="num" w:pos="360"/>
        </w:tabs>
        <w:spacing w:after="200"/>
        <w:ind w:firstLine="567"/>
        <w:jc w:val="both"/>
      </w:pPr>
      <w:r w:rsidRPr="000713B9">
        <w:rPr>
          <w:rStyle w:val="Hipervnculo"/>
          <w:bCs/>
        </w:rPr>
        <w:lastRenderedPageBreak/>
        <w:t xml:space="preserve">VII. </w:t>
      </w:r>
      <w:r w:rsidR="00735C21" w:rsidRPr="000713B9">
        <w:rPr>
          <w:rStyle w:val="Hipervnculo"/>
          <w:bCs/>
        </w:rPr>
        <w:t>c</w:t>
      </w:r>
      <w:r w:rsidR="00551F89" w:rsidRPr="000713B9">
        <w:rPr>
          <w:rStyle w:val="Hipervnculo"/>
          <w:bCs/>
        </w:rPr>
        <w:t xml:space="preserve">entro / </w:t>
      </w:r>
      <w:r w:rsidR="00735C21" w:rsidRPr="000713B9">
        <w:rPr>
          <w:rStyle w:val="Hipervnculo"/>
          <w:bCs/>
        </w:rPr>
        <w:t>l</w:t>
      </w:r>
      <w:r w:rsidR="00551F89" w:rsidRPr="000713B9">
        <w:rPr>
          <w:rStyle w:val="Hipervnculo"/>
          <w:bCs/>
        </w:rPr>
        <w:t xml:space="preserve">aboratório terceirizado: Centro de </w:t>
      </w:r>
      <w:r w:rsidR="005D60C6" w:rsidRPr="000713B9">
        <w:rPr>
          <w:rStyle w:val="Hipervnculo"/>
          <w:bCs/>
        </w:rPr>
        <w:t>E</w:t>
      </w:r>
      <w:r w:rsidR="00551F89" w:rsidRPr="000713B9">
        <w:rPr>
          <w:rStyle w:val="Hipervnculo"/>
          <w:bCs/>
        </w:rPr>
        <w:t xml:space="preserve">quivalência </w:t>
      </w:r>
      <w:r w:rsidR="005D60C6" w:rsidRPr="000713B9">
        <w:rPr>
          <w:rStyle w:val="Hipervnculo"/>
          <w:bCs/>
        </w:rPr>
        <w:t>F</w:t>
      </w:r>
      <w:r w:rsidR="00551F89" w:rsidRPr="000713B9">
        <w:rPr>
          <w:rStyle w:val="Hipervnculo"/>
          <w:bCs/>
        </w:rPr>
        <w:t>armacêutica habilitado pela Anvisa ou laboratório analítico não habilitado, contratado para a realização de ensaios específicos, não pertencentes ao escopo mínimo de análise.</w:t>
      </w:r>
    </w:p>
    <w:p w:rsidR="00B710A1" w:rsidRPr="000713B9" w:rsidRDefault="00E074F0" w:rsidP="000713B9">
      <w:pPr>
        <w:tabs>
          <w:tab w:val="num" w:pos="360"/>
        </w:tabs>
        <w:spacing w:after="200"/>
        <w:ind w:firstLine="567"/>
        <w:jc w:val="both"/>
      </w:pPr>
      <w:r w:rsidRPr="000713B9">
        <w:t xml:space="preserve">VIII. </w:t>
      </w:r>
      <w:r w:rsidR="00735C21" w:rsidRPr="000713B9">
        <w:t>e</w:t>
      </w:r>
      <w:r w:rsidR="00B710A1" w:rsidRPr="000713B9">
        <w:t>scopo de Centro de Equivalência Farmacêutica: ensaios que definem a atuação do Centro de Equivalência Farmacêutica;</w:t>
      </w:r>
    </w:p>
    <w:p w:rsidR="00B710A1" w:rsidRPr="000713B9" w:rsidRDefault="00E074F0" w:rsidP="000713B9">
      <w:pPr>
        <w:tabs>
          <w:tab w:val="num" w:pos="540"/>
        </w:tabs>
        <w:spacing w:after="200"/>
        <w:ind w:firstLine="567"/>
        <w:jc w:val="both"/>
      </w:pPr>
      <w:r w:rsidRPr="000713B9">
        <w:t xml:space="preserve">IX. </w:t>
      </w:r>
      <w:r w:rsidR="00735C21" w:rsidRPr="000713B9">
        <w:t>e</w:t>
      </w:r>
      <w:r w:rsidR="00B710A1" w:rsidRPr="000713B9">
        <w:t xml:space="preserve">scopo mínimo: conjunto mínimo de, pelo menos, um dos seguintes ensaios, requerido para a atuação de Centro de Equivalência Farmacêutica: </w:t>
      </w:r>
    </w:p>
    <w:p w:rsidR="00B710A1" w:rsidRPr="000713B9" w:rsidRDefault="00AB4B20" w:rsidP="000713B9">
      <w:pPr>
        <w:spacing w:after="200"/>
        <w:ind w:firstLine="567"/>
        <w:jc w:val="both"/>
      </w:pPr>
      <w:r w:rsidRPr="000713B9">
        <w:t xml:space="preserve">a. </w:t>
      </w:r>
      <w:r w:rsidR="00B710A1" w:rsidRPr="000713B9">
        <w:t>físico-químicos para formas farmacêuticas sólidas;</w:t>
      </w:r>
    </w:p>
    <w:p w:rsidR="00B710A1" w:rsidRPr="000713B9" w:rsidRDefault="00AB4B20" w:rsidP="000713B9">
      <w:pPr>
        <w:spacing w:after="200"/>
        <w:ind w:firstLine="567"/>
        <w:jc w:val="both"/>
      </w:pPr>
      <w:r w:rsidRPr="000713B9">
        <w:t xml:space="preserve">b. </w:t>
      </w:r>
      <w:r w:rsidR="00B710A1" w:rsidRPr="000713B9">
        <w:t>físico-químicos para formas farmacêuticas semissólidas, e</w:t>
      </w:r>
    </w:p>
    <w:p w:rsidR="00B710A1" w:rsidRPr="000713B9" w:rsidRDefault="00AB4B20" w:rsidP="000713B9">
      <w:pPr>
        <w:spacing w:after="200"/>
        <w:ind w:firstLine="567"/>
        <w:jc w:val="both"/>
      </w:pPr>
      <w:r w:rsidRPr="000713B9">
        <w:t xml:space="preserve">c. </w:t>
      </w:r>
      <w:r w:rsidR="00B710A1" w:rsidRPr="000713B9">
        <w:t>físico-químicos para formas farmacêuticas líquidas</w:t>
      </w:r>
      <w:r w:rsidR="00735C21" w:rsidRPr="000713B9">
        <w:t>.</w:t>
      </w:r>
    </w:p>
    <w:p w:rsidR="00B710A1" w:rsidRPr="000713B9" w:rsidRDefault="00E074F0" w:rsidP="000713B9">
      <w:pPr>
        <w:tabs>
          <w:tab w:val="num" w:pos="540"/>
        </w:tabs>
        <w:spacing w:after="200"/>
        <w:ind w:firstLine="567"/>
        <w:jc w:val="both"/>
      </w:pPr>
      <w:r w:rsidRPr="000713B9">
        <w:t xml:space="preserve">X. </w:t>
      </w:r>
      <w:r w:rsidR="00735C21" w:rsidRPr="000713B9">
        <w:t>h</w:t>
      </w:r>
      <w:r w:rsidR="00B710A1" w:rsidRPr="000713B9">
        <w:t>abilitação: autorização concedida pela Anvisa para atividades de um laboratório como Centro de Equivalência Farmacêutica.</w:t>
      </w:r>
    </w:p>
    <w:p w:rsidR="00B710A1" w:rsidRPr="000713B9" w:rsidRDefault="00E074F0" w:rsidP="000713B9">
      <w:pPr>
        <w:tabs>
          <w:tab w:val="num" w:pos="426"/>
        </w:tabs>
        <w:spacing w:after="200"/>
        <w:ind w:firstLine="567"/>
        <w:jc w:val="both"/>
      </w:pPr>
      <w:r w:rsidRPr="000713B9">
        <w:t xml:space="preserve">XI. </w:t>
      </w:r>
      <w:r w:rsidR="00735C21" w:rsidRPr="000713B9">
        <w:t>p</w:t>
      </w:r>
      <w:r w:rsidR="00B710A1" w:rsidRPr="000713B9">
        <w:t>atrocinador do estudo: pessoa jurídica pública ou privada que apoia financeiramente os estudos de equivalência farmacêutica</w:t>
      </w:r>
      <w:r w:rsidR="002846EC" w:rsidRPr="000713B9">
        <w:t>,</w:t>
      </w:r>
      <w:r w:rsidR="00B710A1" w:rsidRPr="000713B9">
        <w:t xml:space="preserve"> perfil de dissolução comparativo</w:t>
      </w:r>
      <w:r w:rsidR="002846EC" w:rsidRPr="000713B9">
        <w:t xml:space="preserve"> e outros ensaios que o centro possa vir a realizar, tais como a Bioisenção baseada no Sistema de Classificação Biofarmacêutica</w:t>
      </w:r>
      <w:r w:rsidR="00B710A1" w:rsidRPr="000713B9">
        <w:t xml:space="preserve">, corresponsabilizando-se técnica e juridicamente com o centro responsável pelo estudo pela veracidade dos dados e informações constantes de todos os estudos; </w:t>
      </w:r>
    </w:p>
    <w:p w:rsidR="00B710A1" w:rsidRPr="000713B9" w:rsidRDefault="00E074F0" w:rsidP="000713B9">
      <w:pPr>
        <w:tabs>
          <w:tab w:val="num" w:pos="426"/>
        </w:tabs>
        <w:spacing w:after="200"/>
        <w:ind w:firstLine="567"/>
        <w:jc w:val="both"/>
      </w:pPr>
      <w:r w:rsidRPr="000713B9">
        <w:t xml:space="preserve">XII. </w:t>
      </w:r>
      <w:r w:rsidR="00735C21" w:rsidRPr="000713B9">
        <w:t>r</w:t>
      </w:r>
      <w:r w:rsidR="00B710A1" w:rsidRPr="000713B9">
        <w:t>esponsável da qualidade: profissional com formação em nível superior responsável pela gestão do Sistema da Qualidade no Centro de Equivalência Farmacêutica, com capacitação, experiência e atribuições exclusivas a esse sistema;</w:t>
      </w:r>
    </w:p>
    <w:p w:rsidR="00B710A1" w:rsidRPr="000713B9" w:rsidRDefault="00E074F0" w:rsidP="000713B9">
      <w:pPr>
        <w:tabs>
          <w:tab w:val="num" w:pos="540"/>
        </w:tabs>
        <w:spacing w:after="200"/>
        <w:ind w:firstLine="567"/>
        <w:jc w:val="both"/>
      </w:pPr>
      <w:r w:rsidRPr="000713B9">
        <w:t xml:space="preserve">XIII. </w:t>
      </w:r>
      <w:r w:rsidR="00735C21" w:rsidRPr="000713B9">
        <w:t>r</w:t>
      </w:r>
      <w:r w:rsidR="00B710A1" w:rsidRPr="000713B9">
        <w:t>esponsável técnico: farmacêutico devidamente registrado no Conselho Regional de Farmácia na jurisdição em que se localiza o Centro de Equivalência Farmacêutica,</w:t>
      </w:r>
      <w:r w:rsidR="00944AF3" w:rsidRPr="000713B9">
        <w:t xml:space="preserve"> quando aplicável,</w:t>
      </w:r>
      <w:r w:rsidR="00B710A1" w:rsidRPr="000713B9">
        <w:t xml:space="preserve"> com capacitação e experiência na área, possuindo substituto que atenda aos mesmos requisitos; e</w:t>
      </w:r>
    </w:p>
    <w:p w:rsidR="00B710A1" w:rsidRPr="000713B9" w:rsidRDefault="00E074F0" w:rsidP="000713B9">
      <w:pPr>
        <w:spacing w:after="200"/>
        <w:ind w:firstLine="567"/>
        <w:jc w:val="both"/>
      </w:pPr>
      <w:r w:rsidRPr="000713B9">
        <w:t xml:space="preserve">XIV. </w:t>
      </w:r>
      <w:r w:rsidR="00FD6860" w:rsidRPr="000713B9">
        <w:t>S</w:t>
      </w:r>
      <w:r w:rsidR="00B710A1" w:rsidRPr="000713B9">
        <w:t xml:space="preserve">istema da </w:t>
      </w:r>
      <w:r w:rsidR="00FD6860" w:rsidRPr="000713B9">
        <w:t>Q</w:t>
      </w:r>
      <w:r w:rsidR="00B710A1" w:rsidRPr="000713B9">
        <w:t xml:space="preserve">ualidade: </w:t>
      </w:r>
      <w:r w:rsidR="00B710A1" w:rsidRPr="000713B9">
        <w:rPr>
          <w:lang w:val="pt-PT"/>
        </w:rPr>
        <w:t>programa de acompanhamento e avaliação sistemáticos que asseguram, com confiabilidade adequada, que todas as atividades desenvolvidas pelo Centro de Equivalência Farmacêutica cumprem os requisitos preconizados nesta Resolução.</w:t>
      </w:r>
    </w:p>
    <w:p w:rsidR="00B710A1" w:rsidRPr="000713B9" w:rsidRDefault="00B710A1" w:rsidP="000713B9">
      <w:pPr>
        <w:spacing w:after="200"/>
        <w:jc w:val="center"/>
        <w:rPr>
          <w:b/>
        </w:rPr>
      </w:pPr>
      <w:bookmarkStart w:id="6" w:name="_Toc330564187"/>
      <w:r w:rsidRPr="000713B9">
        <w:rPr>
          <w:b/>
        </w:rPr>
        <w:t>TÍTULO II</w:t>
      </w:r>
    </w:p>
    <w:p w:rsidR="00B710A1" w:rsidRPr="000713B9" w:rsidRDefault="00B710A1" w:rsidP="000713B9">
      <w:pPr>
        <w:keepNext/>
        <w:spacing w:after="200"/>
        <w:jc w:val="center"/>
        <w:outlineLvl w:val="0"/>
        <w:rPr>
          <w:b/>
          <w:bCs/>
          <w:caps/>
          <w:kern w:val="32"/>
        </w:rPr>
      </w:pPr>
      <w:bookmarkStart w:id="7" w:name="_Toc397347936"/>
      <w:r w:rsidRPr="000713B9">
        <w:rPr>
          <w:b/>
          <w:bCs/>
          <w:caps/>
          <w:kern w:val="32"/>
        </w:rPr>
        <w:t>das petições de Centros de Equivalência Farmacêutica</w:t>
      </w:r>
      <w:bookmarkEnd w:id="7"/>
    </w:p>
    <w:p w:rsidR="00B710A1" w:rsidRPr="000713B9" w:rsidRDefault="009C6CD9" w:rsidP="000713B9">
      <w:pPr>
        <w:tabs>
          <w:tab w:val="num" w:pos="1418"/>
        </w:tabs>
        <w:autoSpaceDE w:val="0"/>
        <w:autoSpaceDN w:val="0"/>
        <w:adjustRightInd w:val="0"/>
        <w:spacing w:after="200"/>
        <w:ind w:firstLine="567"/>
        <w:jc w:val="both"/>
      </w:pPr>
      <w:r w:rsidRPr="000713B9">
        <w:t xml:space="preserve">Art. 4°. </w:t>
      </w:r>
      <w:r w:rsidR="00B710A1" w:rsidRPr="000713B9">
        <w:t>Todas as petições de que trata esta Resolução devem ser acompanhadas dos seguintes documentos, além daqueles específicos para cada uma delas:</w:t>
      </w:r>
    </w:p>
    <w:p w:rsidR="00B710A1" w:rsidRPr="000713B9" w:rsidRDefault="002806E3" w:rsidP="000713B9">
      <w:pPr>
        <w:tabs>
          <w:tab w:val="left" w:pos="360"/>
        </w:tabs>
        <w:spacing w:after="200"/>
        <w:ind w:firstLine="567"/>
        <w:jc w:val="both"/>
      </w:pPr>
      <w:r w:rsidRPr="000713B9">
        <w:lastRenderedPageBreak/>
        <w:t xml:space="preserve">I. </w:t>
      </w:r>
      <w:r w:rsidR="00735C21" w:rsidRPr="000713B9">
        <w:t>v</w:t>
      </w:r>
      <w:r w:rsidR="00B710A1" w:rsidRPr="000713B9">
        <w:t>ia original do comprovante de pagamento da Taxa de Fiscalização de Vigilância Sanitária ou de sua isenção (GRU isenta), quando for o caso;</w:t>
      </w:r>
    </w:p>
    <w:p w:rsidR="00B710A1" w:rsidRPr="000713B9" w:rsidRDefault="002806E3" w:rsidP="000713B9">
      <w:pPr>
        <w:tabs>
          <w:tab w:val="left" w:pos="360"/>
        </w:tabs>
        <w:spacing w:after="200"/>
        <w:ind w:firstLine="567"/>
        <w:jc w:val="both"/>
      </w:pPr>
      <w:r w:rsidRPr="000713B9">
        <w:t xml:space="preserve">II. </w:t>
      </w:r>
      <w:r w:rsidR="002C553E" w:rsidRPr="000713B9">
        <w:t>F</w:t>
      </w:r>
      <w:r w:rsidR="00B710A1" w:rsidRPr="000713B9">
        <w:t>ormulário de Petição, referente à solicitação, devidamente preenchido; e</w:t>
      </w:r>
    </w:p>
    <w:p w:rsidR="00B710A1" w:rsidRPr="000713B9" w:rsidRDefault="002806E3" w:rsidP="000713B9">
      <w:pPr>
        <w:tabs>
          <w:tab w:val="left" w:pos="540"/>
        </w:tabs>
        <w:spacing w:after="200"/>
        <w:ind w:firstLine="567"/>
        <w:jc w:val="both"/>
      </w:pPr>
      <w:r w:rsidRPr="000713B9">
        <w:t xml:space="preserve">III. </w:t>
      </w:r>
      <w:r w:rsidR="00735C21" w:rsidRPr="000713B9">
        <w:t>d</w:t>
      </w:r>
      <w:r w:rsidR="00B710A1" w:rsidRPr="000713B9">
        <w:t>eclaração, assinada pelo responsável técnico do Centro de Equivalência Farmacêutica, explicitando as informações referentes à solicitação.</w:t>
      </w:r>
    </w:p>
    <w:p w:rsidR="00B710A1" w:rsidRPr="000713B9" w:rsidRDefault="002806E3" w:rsidP="000713B9">
      <w:pPr>
        <w:tabs>
          <w:tab w:val="num" w:pos="1080"/>
        </w:tabs>
        <w:spacing w:after="200"/>
        <w:ind w:firstLine="567"/>
        <w:jc w:val="both"/>
      </w:pPr>
      <w:r w:rsidRPr="000713B9">
        <w:t xml:space="preserve">§1° </w:t>
      </w:r>
      <w:r w:rsidR="00B710A1" w:rsidRPr="000713B9">
        <w:t>O preenchimento e envio dos documentos é de responsabilidade exclusiva do interessado, devendo conter todas as informações solicitadas.</w:t>
      </w:r>
    </w:p>
    <w:p w:rsidR="00B710A1" w:rsidRPr="000713B9" w:rsidRDefault="002806E3" w:rsidP="000713B9">
      <w:pPr>
        <w:tabs>
          <w:tab w:val="num" w:pos="1418"/>
        </w:tabs>
        <w:spacing w:after="200"/>
        <w:ind w:firstLine="567"/>
        <w:jc w:val="both"/>
        <w:rPr>
          <w:color w:val="000000"/>
        </w:rPr>
      </w:pPr>
      <w:r w:rsidRPr="000713B9">
        <w:t xml:space="preserve">§2° </w:t>
      </w:r>
      <w:r w:rsidR="00B710A1" w:rsidRPr="000713B9">
        <w:t>A critério da Anvisa, pode ser solicitada documentação complementar para análise e aprovação das petições.</w:t>
      </w:r>
    </w:p>
    <w:p w:rsidR="00B710A1" w:rsidRPr="000713B9" w:rsidRDefault="009C6CD9" w:rsidP="000713B9">
      <w:pPr>
        <w:tabs>
          <w:tab w:val="num" w:pos="1418"/>
        </w:tabs>
        <w:autoSpaceDE w:val="0"/>
        <w:autoSpaceDN w:val="0"/>
        <w:adjustRightInd w:val="0"/>
        <w:spacing w:after="200"/>
        <w:ind w:firstLine="567"/>
        <w:jc w:val="both"/>
      </w:pPr>
      <w:r w:rsidRPr="000713B9">
        <w:t xml:space="preserve">Art. 5° </w:t>
      </w:r>
      <w:r w:rsidR="00B710A1" w:rsidRPr="000713B9">
        <w:t>Todas as petições devem ter seu objeto previamente aprovado pela Anvisa</w:t>
      </w:r>
      <w:r w:rsidR="002846EC" w:rsidRPr="000713B9">
        <w:t>,</w:t>
      </w:r>
      <w:r w:rsidR="00B710A1" w:rsidRPr="000713B9">
        <w:t xml:space="preserve"> para sua implementação.</w:t>
      </w:r>
    </w:p>
    <w:p w:rsidR="00C2371D" w:rsidRPr="000713B9" w:rsidRDefault="009C6CD9" w:rsidP="000713B9">
      <w:pPr>
        <w:tabs>
          <w:tab w:val="num" w:pos="1418"/>
        </w:tabs>
        <w:autoSpaceDE w:val="0"/>
        <w:autoSpaceDN w:val="0"/>
        <w:adjustRightInd w:val="0"/>
        <w:spacing w:after="200"/>
        <w:ind w:firstLine="567"/>
        <w:jc w:val="both"/>
      </w:pPr>
      <w:r w:rsidRPr="000713B9">
        <w:t xml:space="preserve">Art. 6° </w:t>
      </w:r>
      <w:r w:rsidR="00C2371D" w:rsidRPr="000713B9">
        <w:t>A Anvisa</w:t>
      </w:r>
      <w:r w:rsidR="0095483F" w:rsidRPr="000713B9">
        <w:t xml:space="preserve"> poderá </w:t>
      </w:r>
      <w:r w:rsidR="000713B9">
        <w:t>realizar inspeções</w:t>
      </w:r>
      <w:r w:rsidR="00C2371D" w:rsidRPr="000713B9">
        <w:t xml:space="preserve"> no centro, conforme o objeto da solicitação.</w:t>
      </w:r>
    </w:p>
    <w:p w:rsidR="00B710A1" w:rsidRPr="000713B9" w:rsidRDefault="009C6CD9" w:rsidP="000713B9">
      <w:pPr>
        <w:tabs>
          <w:tab w:val="num" w:pos="1418"/>
        </w:tabs>
        <w:autoSpaceDE w:val="0"/>
        <w:autoSpaceDN w:val="0"/>
        <w:adjustRightInd w:val="0"/>
        <w:spacing w:after="200"/>
        <w:ind w:firstLine="567"/>
        <w:jc w:val="both"/>
        <w:rPr>
          <w:b/>
          <w:smallCaps/>
        </w:rPr>
      </w:pPr>
      <w:r w:rsidRPr="000713B9">
        <w:t xml:space="preserve">Art. 7° </w:t>
      </w:r>
      <w:r w:rsidR="00B710A1" w:rsidRPr="000713B9">
        <w:t xml:space="preserve">Os dados atualizados dos Centros de Equivalência Farmacêutica </w:t>
      </w:r>
      <w:r w:rsidR="00001E10" w:rsidRPr="000713B9">
        <w:t xml:space="preserve">serão </w:t>
      </w:r>
      <w:r w:rsidR="00B710A1" w:rsidRPr="000713B9">
        <w:t>disponibilizados no portal eletrônico da Anvisa ou, quando aplicável, no Diário Oficial da União (DOU).</w:t>
      </w:r>
      <w:bookmarkEnd w:id="6"/>
    </w:p>
    <w:p w:rsidR="00B710A1" w:rsidRPr="000713B9" w:rsidRDefault="00B710A1" w:rsidP="000713B9">
      <w:pPr>
        <w:autoSpaceDE w:val="0"/>
        <w:autoSpaceDN w:val="0"/>
        <w:adjustRightInd w:val="0"/>
        <w:spacing w:after="200"/>
        <w:jc w:val="center"/>
        <w:rPr>
          <w:b/>
          <w:smallCaps/>
        </w:rPr>
      </w:pPr>
      <w:r w:rsidRPr="000713B9">
        <w:rPr>
          <w:b/>
          <w:smallCaps/>
        </w:rPr>
        <w:t>Capítulo I</w:t>
      </w:r>
      <w:bookmarkStart w:id="8" w:name="_Toc330564188"/>
    </w:p>
    <w:p w:rsidR="00B710A1" w:rsidRPr="000713B9" w:rsidRDefault="00B710A1" w:rsidP="000713B9">
      <w:pPr>
        <w:keepNext/>
        <w:spacing w:after="200"/>
        <w:jc w:val="center"/>
        <w:outlineLvl w:val="1"/>
        <w:rPr>
          <w:b/>
          <w:bCs/>
          <w:iCs/>
          <w:smallCaps/>
        </w:rPr>
      </w:pPr>
      <w:bookmarkStart w:id="9" w:name="_Toc397347937"/>
      <w:r w:rsidRPr="000713B9">
        <w:rPr>
          <w:b/>
          <w:bCs/>
          <w:iCs/>
          <w:smallCaps/>
        </w:rPr>
        <w:t>Da Solicitação de Habilitação de Centro</w:t>
      </w:r>
      <w:bookmarkEnd w:id="8"/>
      <w:r w:rsidRPr="000713B9">
        <w:rPr>
          <w:b/>
          <w:bCs/>
          <w:iCs/>
          <w:smallCaps/>
        </w:rPr>
        <w:t xml:space="preserve"> de Equivalência Farmacêutica</w:t>
      </w:r>
      <w:bookmarkEnd w:id="9"/>
    </w:p>
    <w:p w:rsidR="00B710A1" w:rsidRPr="000713B9" w:rsidRDefault="009C6CD9" w:rsidP="000713B9">
      <w:pPr>
        <w:tabs>
          <w:tab w:val="num" w:pos="1418"/>
        </w:tabs>
        <w:autoSpaceDE w:val="0"/>
        <w:autoSpaceDN w:val="0"/>
        <w:adjustRightInd w:val="0"/>
        <w:spacing w:after="200"/>
        <w:ind w:firstLine="567"/>
        <w:jc w:val="both"/>
      </w:pPr>
      <w:r w:rsidRPr="000713B9">
        <w:t xml:space="preserve">Art. 8° </w:t>
      </w:r>
      <w:r w:rsidR="00B710A1" w:rsidRPr="000713B9">
        <w:t>O disposto neste Capítulo refere-se à autorização concedida pela Anvisa para o início das atividades de um laboratório como Centro de Equivalência Farmacêutica.</w:t>
      </w:r>
    </w:p>
    <w:p w:rsidR="00BC67E1" w:rsidRPr="000713B9" w:rsidRDefault="009C6CD9" w:rsidP="000713B9">
      <w:pPr>
        <w:tabs>
          <w:tab w:val="num" w:pos="1418"/>
        </w:tabs>
        <w:autoSpaceDE w:val="0"/>
        <w:autoSpaceDN w:val="0"/>
        <w:adjustRightInd w:val="0"/>
        <w:spacing w:after="200"/>
        <w:ind w:firstLine="567"/>
        <w:jc w:val="both"/>
      </w:pPr>
      <w:r w:rsidRPr="000713B9">
        <w:t xml:space="preserve">Art. 9° </w:t>
      </w:r>
      <w:r w:rsidR="00B710A1" w:rsidRPr="000713B9">
        <w:t xml:space="preserve">Para ser habilitado como Centro de Equivalência Farmacêutica é necessário que o laboratório analítico </w:t>
      </w:r>
      <w:r w:rsidR="00E47117" w:rsidRPr="000713B9">
        <w:t xml:space="preserve">ou a empresa farmacêutica </w:t>
      </w:r>
      <w:r w:rsidR="00B710A1" w:rsidRPr="000713B9">
        <w:t>solicitante possua inscrição própria no Cadastro Nacional de Pessoa Jurídica (CNPJ).</w:t>
      </w:r>
    </w:p>
    <w:p w:rsidR="00261179" w:rsidRPr="000713B9" w:rsidRDefault="009C6CD9" w:rsidP="000713B9">
      <w:pPr>
        <w:autoSpaceDE w:val="0"/>
        <w:autoSpaceDN w:val="0"/>
        <w:adjustRightInd w:val="0"/>
        <w:spacing w:after="200"/>
        <w:ind w:firstLine="567"/>
        <w:jc w:val="both"/>
        <w:rPr>
          <w:rStyle w:val="Hipervnculo"/>
          <w:color w:val="auto"/>
        </w:rPr>
      </w:pPr>
      <w:r w:rsidRPr="000713B9">
        <w:rPr>
          <w:rStyle w:val="Hipervnculo"/>
          <w:bCs/>
        </w:rPr>
        <w:t xml:space="preserve">Art. 10 </w:t>
      </w:r>
      <w:r w:rsidR="00BC67E1" w:rsidRPr="000713B9">
        <w:rPr>
          <w:rStyle w:val="Hipervnculo"/>
          <w:bCs/>
        </w:rPr>
        <w:t xml:space="preserve">O interessado deve solicitar a habilitação em, pelo menos, um escopo mínimo. </w:t>
      </w:r>
    </w:p>
    <w:p w:rsidR="00BC67E1" w:rsidRPr="000713B9" w:rsidRDefault="002806E3" w:rsidP="000713B9">
      <w:pPr>
        <w:spacing w:after="200"/>
        <w:ind w:firstLine="567"/>
        <w:jc w:val="both"/>
        <w:rPr>
          <w:rStyle w:val="Hipervnculo"/>
          <w:color w:val="auto"/>
        </w:rPr>
      </w:pPr>
      <w:r w:rsidRPr="000713B9">
        <w:rPr>
          <w:rStyle w:val="Hipervnculo"/>
          <w:bCs/>
        </w:rPr>
        <w:t xml:space="preserve">§1° </w:t>
      </w:r>
      <w:r w:rsidR="00BC67E1" w:rsidRPr="000713B9">
        <w:rPr>
          <w:rStyle w:val="Hipervnculo"/>
          <w:bCs/>
        </w:rPr>
        <w:t>A lista de ensaios incluídos no escopo mínimo das formas farmacêuticas sólidas, semissólidas e líquidas encontra-se disponível no portal eletrônico da Anvisa.</w:t>
      </w:r>
    </w:p>
    <w:p w:rsidR="00AA700A" w:rsidRPr="000713B9" w:rsidRDefault="002806E3" w:rsidP="000713B9">
      <w:pPr>
        <w:spacing w:after="200"/>
        <w:ind w:firstLine="567"/>
        <w:jc w:val="both"/>
        <w:rPr>
          <w:rStyle w:val="Hipervnculo"/>
          <w:color w:val="auto"/>
        </w:rPr>
      </w:pPr>
      <w:r w:rsidRPr="000713B9">
        <w:t xml:space="preserve">§2° </w:t>
      </w:r>
      <w:r w:rsidR="00AA700A" w:rsidRPr="000713B9">
        <w:t>Não é permitida a solicitação de habilitação de ensaio isolado do escopo mínimo ou, ainda, somente de ensaios microbiológicos ou biológicos</w:t>
      </w:r>
      <w:r w:rsidR="00AA700A" w:rsidRPr="000713B9">
        <w:rPr>
          <w:rStyle w:val="Hipervnculo"/>
          <w:color w:val="auto"/>
        </w:rPr>
        <w:t>.</w:t>
      </w:r>
    </w:p>
    <w:p w:rsidR="00B710A1" w:rsidRPr="000713B9" w:rsidRDefault="009C6CD9" w:rsidP="000713B9">
      <w:pPr>
        <w:tabs>
          <w:tab w:val="left" w:pos="426"/>
        </w:tabs>
        <w:autoSpaceDE w:val="0"/>
        <w:autoSpaceDN w:val="0"/>
        <w:adjustRightInd w:val="0"/>
        <w:spacing w:after="200"/>
        <w:ind w:firstLine="567"/>
        <w:jc w:val="both"/>
      </w:pPr>
      <w:r w:rsidRPr="000713B9">
        <w:t xml:space="preserve">Art. 11 </w:t>
      </w:r>
      <w:r w:rsidR="00B710A1" w:rsidRPr="000713B9">
        <w:t xml:space="preserve">O interessado deve possuir infraestrutura adequada e capacidade técnica e operacional para realizar todos os ensaios do </w:t>
      </w:r>
      <w:r w:rsidR="00B710A1" w:rsidRPr="000713B9">
        <w:rPr>
          <w:color w:val="000000"/>
        </w:rPr>
        <w:t xml:space="preserve">escopo </w:t>
      </w:r>
      <w:r w:rsidR="00B710A1" w:rsidRPr="000713B9">
        <w:t>para o qual deseja ser habilitado.</w:t>
      </w:r>
    </w:p>
    <w:p w:rsidR="00B710A1" w:rsidRPr="000713B9" w:rsidRDefault="009C6CD9" w:rsidP="000713B9">
      <w:pPr>
        <w:autoSpaceDE w:val="0"/>
        <w:autoSpaceDN w:val="0"/>
        <w:adjustRightInd w:val="0"/>
        <w:spacing w:after="200"/>
        <w:ind w:firstLine="567"/>
        <w:jc w:val="both"/>
      </w:pPr>
      <w:r w:rsidRPr="000713B9">
        <w:lastRenderedPageBreak/>
        <w:t xml:space="preserve">Art. 12 </w:t>
      </w:r>
      <w:r w:rsidR="00B710A1" w:rsidRPr="000713B9">
        <w:t>O interessado deve protocolar formalmente na Anvisa a petição de “Habilitação de Centro de Equivalência Farmacêutica” juntamente com os seguintes documentos, além daqueles listados no artigo 4º desta Resolução:</w:t>
      </w:r>
    </w:p>
    <w:p w:rsidR="00B710A1" w:rsidRPr="000713B9" w:rsidRDefault="0095520F" w:rsidP="000713B9">
      <w:pPr>
        <w:tabs>
          <w:tab w:val="num" w:pos="360"/>
        </w:tabs>
        <w:spacing w:after="200"/>
        <w:ind w:firstLine="567"/>
        <w:jc w:val="both"/>
      </w:pPr>
      <w:r w:rsidRPr="000713B9">
        <w:t xml:space="preserve">I. </w:t>
      </w:r>
      <w:r w:rsidR="00735C21" w:rsidRPr="000713B9">
        <w:t>c</w:t>
      </w:r>
      <w:r w:rsidR="00FA2892" w:rsidRPr="000713B9">
        <w:t>ópia do Contrato Social, da Ata de Constituição registrada na Junta Comercial ou do Ato Constitutivo (Lei, Decreto ou Portaria de criação) atualizados</w:t>
      </w:r>
      <w:r w:rsidR="00B710A1" w:rsidRPr="000713B9">
        <w:t>;</w:t>
      </w:r>
    </w:p>
    <w:p w:rsidR="00B710A1" w:rsidRPr="000713B9" w:rsidRDefault="0095520F" w:rsidP="000713B9">
      <w:pPr>
        <w:tabs>
          <w:tab w:val="num" w:pos="360"/>
        </w:tabs>
        <w:spacing w:after="200"/>
        <w:ind w:firstLine="567"/>
        <w:jc w:val="both"/>
      </w:pPr>
      <w:r w:rsidRPr="000713B9">
        <w:t xml:space="preserve">II. </w:t>
      </w:r>
      <w:r w:rsidR="00735C21" w:rsidRPr="000713B9">
        <w:t>c</w:t>
      </w:r>
      <w:r w:rsidR="00B710A1" w:rsidRPr="000713B9">
        <w:t xml:space="preserve">ópia do comprovante de inscrição e de situação cadastral </w:t>
      </w:r>
      <w:r w:rsidR="008F6CB2" w:rsidRPr="000713B9">
        <w:t>n</w:t>
      </w:r>
      <w:r w:rsidR="00B710A1" w:rsidRPr="000713B9">
        <w:t>o CNPJ atualizadas;</w:t>
      </w:r>
    </w:p>
    <w:p w:rsidR="00B710A1" w:rsidRPr="000713B9" w:rsidRDefault="0095520F" w:rsidP="000713B9">
      <w:pPr>
        <w:tabs>
          <w:tab w:val="num" w:pos="567"/>
        </w:tabs>
        <w:spacing w:after="200"/>
        <w:ind w:firstLine="567"/>
        <w:jc w:val="both"/>
      </w:pPr>
      <w:r w:rsidRPr="000713B9">
        <w:t xml:space="preserve">III. </w:t>
      </w:r>
      <w:r w:rsidR="00735C21" w:rsidRPr="000713B9">
        <w:t>c</w:t>
      </w:r>
      <w:r w:rsidR="00B710A1" w:rsidRPr="000713B9">
        <w:t>ópia do Alvará Sanitário</w:t>
      </w:r>
      <w:r w:rsidR="00B710A1" w:rsidRPr="000713B9">
        <w:rPr>
          <w:bCs/>
        </w:rPr>
        <w:t xml:space="preserve"> atualizado</w:t>
      </w:r>
      <w:r w:rsidR="00FA2892" w:rsidRPr="000713B9">
        <w:rPr>
          <w:bCs/>
        </w:rPr>
        <w:t>, expedido pela Vigilância Sanitária local</w:t>
      </w:r>
      <w:r w:rsidR="00B710A1" w:rsidRPr="000713B9">
        <w:t>;</w:t>
      </w:r>
    </w:p>
    <w:p w:rsidR="00B710A1" w:rsidRPr="000713B9" w:rsidRDefault="0095520F" w:rsidP="000713B9">
      <w:pPr>
        <w:tabs>
          <w:tab w:val="num" w:pos="540"/>
        </w:tabs>
        <w:spacing w:after="200"/>
        <w:ind w:firstLine="567"/>
        <w:jc w:val="both"/>
      </w:pPr>
      <w:r w:rsidRPr="000713B9">
        <w:t xml:space="preserve">IV. </w:t>
      </w:r>
      <w:r w:rsidR="00735C21" w:rsidRPr="000713B9">
        <w:t>c</w:t>
      </w:r>
      <w:r w:rsidR="00B710A1" w:rsidRPr="000713B9">
        <w:t>ópia da Licença Ambiental atualizada;</w:t>
      </w:r>
    </w:p>
    <w:p w:rsidR="00B710A1" w:rsidRPr="000713B9" w:rsidRDefault="0095520F" w:rsidP="000713B9">
      <w:pPr>
        <w:tabs>
          <w:tab w:val="num" w:pos="426"/>
        </w:tabs>
        <w:spacing w:after="200"/>
        <w:ind w:firstLine="567"/>
        <w:jc w:val="both"/>
      </w:pPr>
      <w:r w:rsidRPr="000713B9">
        <w:t xml:space="preserve">V. </w:t>
      </w:r>
      <w:r w:rsidR="00735C21" w:rsidRPr="000713B9">
        <w:t>c</w:t>
      </w:r>
      <w:r w:rsidR="00B710A1" w:rsidRPr="000713B9">
        <w:t>ópia da Licença do Corpo de Bombeiros atualizada;</w:t>
      </w:r>
    </w:p>
    <w:p w:rsidR="00B710A1" w:rsidRPr="000713B9" w:rsidRDefault="0095520F" w:rsidP="000713B9">
      <w:pPr>
        <w:tabs>
          <w:tab w:val="num" w:pos="540"/>
        </w:tabs>
        <w:spacing w:after="200"/>
        <w:ind w:firstLine="567"/>
        <w:jc w:val="both"/>
      </w:pPr>
      <w:r w:rsidRPr="000713B9">
        <w:t xml:space="preserve">VI. </w:t>
      </w:r>
      <w:r w:rsidR="00735C21" w:rsidRPr="000713B9">
        <w:t>c</w:t>
      </w:r>
      <w:r w:rsidR="00B710A1" w:rsidRPr="000713B9">
        <w:t>ópia do Certificado de Regularidade ou Termo de Responsabilidade atualizados, emitidos pelo Conselho Regional de Farmácia da jurisdição onde se localiza o Centro a ser habilitado;</w:t>
      </w:r>
    </w:p>
    <w:p w:rsidR="00B710A1" w:rsidRPr="000713B9" w:rsidRDefault="0095520F" w:rsidP="000713B9">
      <w:pPr>
        <w:tabs>
          <w:tab w:val="num" w:pos="567"/>
        </w:tabs>
        <w:spacing w:after="200"/>
        <w:ind w:firstLine="567"/>
        <w:jc w:val="both"/>
      </w:pPr>
      <w:r w:rsidRPr="000713B9">
        <w:t xml:space="preserve">VII. </w:t>
      </w:r>
      <w:r w:rsidR="00735C21" w:rsidRPr="000713B9">
        <w:t>c</w:t>
      </w:r>
      <w:r w:rsidR="00B710A1" w:rsidRPr="000713B9">
        <w:t>ópia do contrato atualizado com empresa responsável pelo controle de pragas;</w:t>
      </w:r>
    </w:p>
    <w:p w:rsidR="00B710A1" w:rsidRPr="000713B9" w:rsidRDefault="0095520F" w:rsidP="000713B9">
      <w:pPr>
        <w:tabs>
          <w:tab w:val="num" w:pos="709"/>
        </w:tabs>
        <w:spacing w:after="200"/>
        <w:ind w:firstLine="567"/>
        <w:jc w:val="both"/>
      </w:pPr>
      <w:r w:rsidRPr="000713B9">
        <w:t xml:space="preserve">VIII. </w:t>
      </w:r>
      <w:r w:rsidR="00735C21" w:rsidRPr="000713B9">
        <w:t>c</w:t>
      </w:r>
      <w:r w:rsidR="00B710A1" w:rsidRPr="000713B9">
        <w:t>ópia do contrato atualizado com empresa responsável pelo gerenciamento de resíduos (transporte, coleta, descarte e destinação final de resíduos);</w:t>
      </w:r>
    </w:p>
    <w:p w:rsidR="00B710A1" w:rsidRPr="000713B9" w:rsidRDefault="0095520F" w:rsidP="000713B9">
      <w:pPr>
        <w:tabs>
          <w:tab w:val="num" w:pos="540"/>
        </w:tabs>
        <w:spacing w:after="200"/>
        <w:ind w:firstLine="567"/>
        <w:jc w:val="both"/>
      </w:pPr>
      <w:r w:rsidRPr="000713B9">
        <w:t xml:space="preserve">IX. </w:t>
      </w:r>
      <w:r w:rsidR="00735C21" w:rsidRPr="000713B9">
        <w:t>c</w:t>
      </w:r>
      <w:r w:rsidR="00B710A1" w:rsidRPr="000713B9">
        <w:t>ópia do Manual da Qualidade;</w:t>
      </w:r>
    </w:p>
    <w:p w:rsidR="00B710A1" w:rsidRPr="000713B9" w:rsidRDefault="0095520F" w:rsidP="000713B9">
      <w:pPr>
        <w:tabs>
          <w:tab w:val="num" w:pos="426"/>
        </w:tabs>
        <w:spacing w:after="200"/>
        <w:ind w:firstLine="567"/>
        <w:jc w:val="both"/>
        <w:rPr>
          <w:lang w:val="pt-PT"/>
        </w:rPr>
      </w:pPr>
      <w:r w:rsidRPr="000713B9">
        <w:t xml:space="preserve">X. </w:t>
      </w:r>
      <w:r w:rsidR="00735C21" w:rsidRPr="000713B9">
        <w:t>o</w:t>
      </w:r>
      <w:r w:rsidR="00B710A1" w:rsidRPr="000713B9">
        <w:t>rganograma completo do Centro a ser habilitado, mos</w:t>
      </w:r>
      <w:r w:rsidR="00B710A1" w:rsidRPr="000713B9">
        <w:rPr>
          <w:lang w:val="pt-PT"/>
        </w:rPr>
        <w:t>trando como estão dispostas as unidades funcionais e as relações hierárquicas entre elas;</w:t>
      </w:r>
    </w:p>
    <w:p w:rsidR="00B710A1" w:rsidRPr="000713B9" w:rsidRDefault="0095520F" w:rsidP="000713B9">
      <w:pPr>
        <w:tabs>
          <w:tab w:val="num" w:pos="540"/>
        </w:tabs>
        <w:spacing w:after="200"/>
        <w:ind w:firstLine="567"/>
        <w:jc w:val="both"/>
        <w:rPr>
          <w:bCs/>
        </w:rPr>
      </w:pPr>
      <w:r w:rsidRPr="000713B9">
        <w:t xml:space="preserve">XI. </w:t>
      </w:r>
      <w:r w:rsidR="0019173A" w:rsidRPr="000713B9">
        <w:t>L</w:t>
      </w:r>
      <w:r w:rsidR="00B710A1" w:rsidRPr="000713B9">
        <w:t xml:space="preserve">ista </w:t>
      </w:r>
      <w:r w:rsidR="0019173A" w:rsidRPr="000713B9">
        <w:t>M</w:t>
      </w:r>
      <w:r w:rsidR="00B710A1" w:rsidRPr="000713B9">
        <w:t xml:space="preserve">estra de equipamentos/instrumentos, </w:t>
      </w:r>
      <w:r w:rsidR="00B710A1" w:rsidRPr="000713B9">
        <w:rPr>
          <w:bCs/>
        </w:rPr>
        <w:t xml:space="preserve">informando: </w:t>
      </w:r>
    </w:p>
    <w:p w:rsidR="00B710A1" w:rsidRPr="000713B9" w:rsidRDefault="00545C06" w:rsidP="000713B9">
      <w:pPr>
        <w:spacing w:after="200"/>
        <w:ind w:firstLine="567"/>
        <w:jc w:val="both"/>
      </w:pPr>
      <w:r w:rsidRPr="000713B9">
        <w:t xml:space="preserve">a) </w:t>
      </w:r>
      <w:r w:rsidR="00EB5541" w:rsidRPr="000713B9">
        <w:t>m</w:t>
      </w:r>
      <w:r w:rsidR="00B710A1" w:rsidRPr="000713B9">
        <w:t>arca/modelo;</w:t>
      </w:r>
    </w:p>
    <w:p w:rsidR="00B710A1" w:rsidRPr="000713B9" w:rsidRDefault="00545C06" w:rsidP="000713B9">
      <w:pPr>
        <w:spacing w:after="200"/>
        <w:ind w:firstLine="567"/>
        <w:jc w:val="both"/>
      </w:pPr>
      <w:r w:rsidRPr="000713B9">
        <w:t xml:space="preserve">b) </w:t>
      </w:r>
      <w:r w:rsidR="00EB5541" w:rsidRPr="000713B9">
        <w:t>n</w:t>
      </w:r>
      <w:r w:rsidR="00B710A1" w:rsidRPr="000713B9">
        <w:t>úmero ou código de identificação (</w:t>
      </w:r>
      <w:r w:rsidR="00EF2DA2" w:rsidRPr="000713B9">
        <w:t>etiqueta</w:t>
      </w:r>
      <w:r w:rsidR="00B710A1" w:rsidRPr="000713B9">
        <w:t xml:space="preserve">); e </w:t>
      </w:r>
    </w:p>
    <w:p w:rsidR="00B710A1" w:rsidRPr="000713B9" w:rsidRDefault="00545C06" w:rsidP="000713B9">
      <w:pPr>
        <w:spacing w:after="200"/>
        <w:ind w:firstLine="567"/>
        <w:jc w:val="both"/>
      </w:pPr>
      <w:r w:rsidRPr="000713B9">
        <w:t xml:space="preserve">c) </w:t>
      </w:r>
      <w:r w:rsidR="00EB5541" w:rsidRPr="000713B9">
        <w:t>v</w:t>
      </w:r>
      <w:r w:rsidR="00B710A1" w:rsidRPr="000713B9">
        <w:t>alidade da calibração/qualificação</w:t>
      </w:r>
      <w:r w:rsidR="00EB5541" w:rsidRPr="000713B9">
        <w:t>.</w:t>
      </w:r>
    </w:p>
    <w:p w:rsidR="00B710A1" w:rsidRPr="000713B9" w:rsidRDefault="0095520F" w:rsidP="000713B9">
      <w:pPr>
        <w:tabs>
          <w:tab w:val="num" w:pos="360"/>
        </w:tabs>
        <w:spacing w:after="200"/>
        <w:ind w:firstLine="567"/>
        <w:jc w:val="both"/>
      </w:pPr>
      <w:r w:rsidRPr="000713B9">
        <w:t xml:space="preserve">XII. </w:t>
      </w:r>
      <w:r w:rsidR="0019173A" w:rsidRPr="000713B9">
        <w:t>L</w:t>
      </w:r>
      <w:r w:rsidR="00B710A1" w:rsidRPr="000713B9">
        <w:t xml:space="preserve">ista </w:t>
      </w:r>
      <w:r w:rsidR="0019173A" w:rsidRPr="000713B9">
        <w:t>M</w:t>
      </w:r>
      <w:r w:rsidR="00B710A1" w:rsidRPr="000713B9">
        <w:t xml:space="preserve">estra de procedimentos operacionais padrão (POP’s) relacionados aos seguintes aspectos: </w:t>
      </w:r>
    </w:p>
    <w:p w:rsidR="00B710A1" w:rsidRPr="000713B9" w:rsidRDefault="00545C06" w:rsidP="000713B9">
      <w:pPr>
        <w:spacing w:after="200"/>
        <w:ind w:firstLine="567"/>
        <w:jc w:val="both"/>
      </w:pPr>
      <w:r w:rsidRPr="000713B9">
        <w:t xml:space="preserve">a) </w:t>
      </w:r>
      <w:r w:rsidR="00EB5541" w:rsidRPr="000713B9">
        <w:t>s</w:t>
      </w:r>
      <w:r w:rsidR="00B710A1" w:rsidRPr="000713B9">
        <w:t>istema da qualidade;</w:t>
      </w:r>
      <w:r w:rsidR="00B710A1" w:rsidRPr="000713B9">
        <w:rPr>
          <w:bCs/>
        </w:rPr>
        <w:t xml:space="preserve"> </w:t>
      </w:r>
    </w:p>
    <w:p w:rsidR="00B710A1" w:rsidRPr="000713B9" w:rsidRDefault="00545C06" w:rsidP="000713B9">
      <w:pPr>
        <w:spacing w:after="200"/>
        <w:ind w:firstLine="567"/>
        <w:jc w:val="both"/>
      </w:pPr>
      <w:r w:rsidRPr="000713B9">
        <w:rPr>
          <w:bCs/>
        </w:rPr>
        <w:t xml:space="preserve">b) </w:t>
      </w:r>
      <w:r w:rsidR="00EB5541" w:rsidRPr="000713B9">
        <w:rPr>
          <w:bCs/>
        </w:rPr>
        <w:t>l</w:t>
      </w:r>
      <w:r w:rsidR="00EF2DA2" w:rsidRPr="000713B9">
        <w:rPr>
          <w:bCs/>
        </w:rPr>
        <w:t>e</w:t>
      </w:r>
      <w:r w:rsidR="00B710A1" w:rsidRPr="000713B9">
        <w:rPr>
          <w:bCs/>
        </w:rPr>
        <w:t xml:space="preserve">gislação vigente </w:t>
      </w:r>
      <w:r w:rsidR="00B710A1" w:rsidRPr="000713B9">
        <w:rPr>
          <w:color w:val="000000"/>
        </w:rPr>
        <w:t>para a condução de estudos de equivalência farmacêutica e de perfil de dissolução comparativo</w:t>
      </w:r>
      <w:r w:rsidR="00B710A1" w:rsidRPr="000713B9">
        <w:rPr>
          <w:bCs/>
        </w:rPr>
        <w:t xml:space="preserve">; </w:t>
      </w:r>
    </w:p>
    <w:p w:rsidR="00B710A1" w:rsidRPr="000713B9" w:rsidRDefault="00545C06" w:rsidP="000713B9">
      <w:pPr>
        <w:spacing w:after="200"/>
        <w:ind w:firstLine="567"/>
        <w:jc w:val="both"/>
      </w:pPr>
      <w:r w:rsidRPr="000713B9">
        <w:rPr>
          <w:bCs/>
        </w:rPr>
        <w:t xml:space="preserve">c) </w:t>
      </w:r>
      <w:r w:rsidR="00EB5541" w:rsidRPr="000713B9">
        <w:rPr>
          <w:bCs/>
        </w:rPr>
        <w:t>n</w:t>
      </w:r>
      <w:r w:rsidR="00B710A1" w:rsidRPr="000713B9">
        <w:rPr>
          <w:bCs/>
        </w:rPr>
        <w:t>otas técnicas e informes disponibilizados no Portal eletrônico da Anvisa;</w:t>
      </w:r>
    </w:p>
    <w:p w:rsidR="00B710A1" w:rsidRPr="000713B9" w:rsidRDefault="00545C06" w:rsidP="000713B9">
      <w:pPr>
        <w:spacing w:after="200"/>
        <w:ind w:firstLine="567"/>
        <w:jc w:val="both"/>
      </w:pPr>
      <w:r w:rsidRPr="000713B9">
        <w:rPr>
          <w:bCs/>
        </w:rPr>
        <w:t xml:space="preserve">d) </w:t>
      </w:r>
      <w:r w:rsidR="00EB5541" w:rsidRPr="000713B9">
        <w:rPr>
          <w:bCs/>
        </w:rPr>
        <w:t>b</w:t>
      </w:r>
      <w:r w:rsidR="00B710A1" w:rsidRPr="000713B9">
        <w:rPr>
          <w:bCs/>
        </w:rPr>
        <w:t>iossegurança;</w:t>
      </w:r>
    </w:p>
    <w:p w:rsidR="00B710A1" w:rsidRPr="000713B9" w:rsidRDefault="00545C06" w:rsidP="000713B9">
      <w:pPr>
        <w:spacing w:after="200"/>
        <w:ind w:firstLine="567"/>
        <w:jc w:val="both"/>
      </w:pPr>
      <w:r w:rsidRPr="000713B9">
        <w:rPr>
          <w:bCs/>
        </w:rPr>
        <w:lastRenderedPageBreak/>
        <w:t xml:space="preserve">e) </w:t>
      </w:r>
      <w:r w:rsidR="00EB5541" w:rsidRPr="000713B9">
        <w:rPr>
          <w:bCs/>
        </w:rPr>
        <w:t>a</w:t>
      </w:r>
      <w:r w:rsidR="00B710A1" w:rsidRPr="000713B9">
        <w:rPr>
          <w:bCs/>
        </w:rPr>
        <w:t>ssuntos relativos aos laboratórios físico-químico, microbiológico ou biológico;</w:t>
      </w:r>
    </w:p>
    <w:p w:rsidR="00B710A1" w:rsidRPr="000713B9" w:rsidRDefault="00545C06" w:rsidP="000713B9">
      <w:pPr>
        <w:spacing w:after="200"/>
        <w:ind w:firstLine="567"/>
        <w:jc w:val="both"/>
      </w:pPr>
      <w:r w:rsidRPr="000713B9">
        <w:rPr>
          <w:bCs/>
        </w:rPr>
        <w:t xml:space="preserve">f) </w:t>
      </w:r>
      <w:r w:rsidR="00EB5541" w:rsidRPr="000713B9">
        <w:rPr>
          <w:bCs/>
        </w:rPr>
        <w:t>e</w:t>
      </w:r>
      <w:r w:rsidR="00B710A1" w:rsidRPr="000713B9">
        <w:rPr>
          <w:bCs/>
        </w:rPr>
        <w:t xml:space="preserve">nsaios </w:t>
      </w:r>
      <w:r w:rsidR="00386139" w:rsidRPr="000713B9">
        <w:rPr>
          <w:bCs/>
        </w:rPr>
        <w:t>do escopo</w:t>
      </w:r>
      <w:r w:rsidR="00B710A1" w:rsidRPr="000713B9">
        <w:rPr>
          <w:bCs/>
        </w:rPr>
        <w:t xml:space="preserve"> requerido; </w:t>
      </w:r>
    </w:p>
    <w:p w:rsidR="00B710A1" w:rsidRPr="000713B9" w:rsidRDefault="00545C06" w:rsidP="000713B9">
      <w:pPr>
        <w:spacing w:after="200"/>
        <w:ind w:firstLine="567"/>
        <w:jc w:val="both"/>
      </w:pPr>
      <w:r w:rsidRPr="000713B9">
        <w:rPr>
          <w:bCs/>
        </w:rPr>
        <w:t xml:space="preserve">g) </w:t>
      </w:r>
      <w:r w:rsidR="00EB5541" w:rsidRPr="000713B9">
        <w:rPr>
          <w:bCs/>
        </w:rPr>
        <w:t>u</w:t>
      </w:r>
      <w:r w:rsidR="00B710A1" w:rsidRPr="000713B9">
        <w:rPr>
          <w:bCs/>
        </w:rPr>
        <w:t>so, limpeza, manutenção, calibração, qualificação e verificação dos equipamentos/instrumentos; e</w:t>
      </w:r>
    </w:p>
    <w:p w:rsidR="00B710A1" w:rsidRPr="000713B9" w:rsidRDefault="00545C06" w:rsidP="000713B9">
      <w:pPr>
        <w:spacing w:after="200"/>
        <w:ind w:firstLine="567"/>
        <w:jc w:val="both"/>
      </w:pPr>
      <w:r w:rsidRPr="000713B9">
        <w:rPr>
          <w:color w:val="000000"/>
        </w:rPr>
        <w:t xml:space="preserve">h) </w:t>
      </w:r>
      <w:r w:rsidR="00EB5541" w:rsidRPr="000713B9">
        <w:rPr>
          <w:color w:val="000000"/>
        </w:rPr>
        <w:t>c</w:t>
      </w:r>
      <w:r w:rsidR="00B710A1" w:rsidRPr="000713B9">
        <w:rPr>
          <w:color w:val="000000"/>
        </w:rPr>
        <w:t>ódigo de identificação, título, versão, data de aprovação/vigência e data de treinamento dos funcionários e analistas envolvidos</w:t>
      </w:r>
      <w:r w:rsidR="00EB5541" w:rsidRPr="000713B9">
        <w:rPr>
          <w:bCs/>
        </w:rPr>
        <w:t>.</w:t>
      </w:r>
    </w:p>
    <w:p w:rsidR="00B710A1" w:rsidRPr="000713B9" w:rsidRDefault="0095520F" w:rsidP="000713B9">
      <w:pPr>
        <w:tabs>
          <w:tab w:val="num" w:pos="360"/>
        </w:tabs>
        <w:spacing w:after="200"/>
        <w:ind w:firstLine="567"/>
        <w:jc w:val="both"/>
      </w:pPr>
      <w:r w:rsidRPr="000713B9">
        <w:t xml:space="preserve">XIII. </w:t>
      </w:r>
      <w:r w:rsidR="00EB5541" w:rsidRPr="000713B9">
        <w:t>p</w:t>
      </w:r>
      <w:r w:rsidR="00B710A1" w:rsidRPr="000713B9">
        <w:t xml:space="preserve">lanta baixa do laboratório a ser habilitado, indicando: </w:t>
      </w:r>
    </w:p>
    <w:p w:rsidR="00B710A1" w:rsidRPr="000713B9" w:rsidRDefault="00545C06" w:rsidP="000713B9">
      <w:pPr>
        <w:spacing w:after="200"/>
        <w:ind w:firstLine="567"/>
        <w:jc w:val="both"/>
      </w:pPr>
      <w:r w:rsidRPr="000713B9">
        <w:t xml:space="preserve">a) </w:t>
      </w:r>
      <w:r w:rsidR="00EB5541" w:rsidRPr="000713B9">
        <w:t>n</w:t>
      </w:r>
      <w:r w:rsidR="00B710A1" w:rsidRPr="000713B9">
        <w:t xml:space="preserve">omenclatura e localização das salas e laboratórios; </w:t>
      </w:r>
    </w:p>
    <w:p w:rsidR="00B710A1" w:rsidRPr="000713B9" w:rsidRDefault="00545C06" w:rsidP="000713B9">
      <w:pPr>
        <w:spacing w:after="200"/>
        <w:ind w:firstLine="567"/>
        <w:jc w:val="both"/>
      </w:pPr>
      <w:r w:rsidRPr="000713B9">
        <w:t xml:space="preserve">b) </w:t>
      </w:r>
      <w:r w:rsidR="00EB5541" w:rsidRPr="000713B9">
        <w:t>e</w:t>
      </w:r>
      <w:r w:rsidR="00B710A1" w:rsidRPr="000713B9">
        <w:t xml:space="preserve">quipamentos nele instalados; e </w:t>
      </w:r>
    </w:p>
    <w:p w:rsidR="00B710A1" w:rsidRPr="000713B9" w:rsidRDefault="00545C06" w:rsidP="000713B9">
      <w:pPr>
        <w:spacing w:after="200"/>
        <w:ind w:firstLine="567"/>
        <w:jc w:val="both"/>
      </w:pPr>
      <w:r w:rsidRPr="000713B9">
        <w:t xml:space="preserve">c) </w:t>
      </w:r>
      <w:r w:rsidR="00EB5541" w:rsidRPr="000713B9">
        <w:t>f</w:t>
      </w:r>
      <w:r w:rsidR="00B710A1" w:rsidRPr="000713B9">
        <w:t>luxo de pessoas, materiais e amostras</w:t>
      </w:r>
      <w:r w:rsidR="00EB5541" w:rsidRPr="000713B9">
        <w:t>.</w:t>
      </w:r>
    </w:p>
    <w:p w:rsidR="00B710A1" w:rsidRPr="000713B9" w:rsidRDefault="0095520F" w:rsidP="000713B9">
      <w:pPr>
        <w:tabs>
          <w:tab w:val="num" w:pos="360"/>
        </w:tabs>
        <w:spacing w:after="200"/>
        <w:ind w:firstLine="567"/>
        <w:jc w:val="both"/>
      </w:pPr>
      <w:r w:rsidRPr="000713B9">
        <w:t xml:space="preserve">XIV. </w:t>
      </w:r>
      <w:r w:rsidR="00EB5541" w:rsidRPr="000713B9">
        <w:t>c</w:t>
      </w:r>
      <w:r w:rsidR="00B710A1" w:rsidRPr="000713B9">
        <w:t xml:space="preserve">ópia do </w:t>
      </w:r>
      <w:r w:rsidR="00B710A1" w:rsidRPr="000713B9">
        <w:rPr>
          <w:i/>
        </w:rPr>
        <w:t>curriculum vitae</w:t>
      </w:r>
      <w:r w:rsidR="00B710A1" w:rsidRPr="000713B9">
        <w:t xml:space="preserve"> do responsável técnico e responsável técnico substituto;</w:t>
      </w:r>
    </w:p>
    <w:p w:rsidR="00B710A1" w:rsidRPr="000713B9" w:rsidRDefault="0095520F" w:rsidP="000713B9">
      <w:pPr>
        <w:tabs>
          <w:tab w:val="num" w:pos="567"/>
        </w:tabs>
        <w:spacing w:after="200"/>
        <w:ind w:firstLine="567"/>
        <w:jc w:val="both"/>
      </w:pPr>
      <w:r w:rsidRPr="000713B9">
        <w:t xml:space="preserve">XV. </w:t>
      </w:r>
      <w:r w:rsidR="00EB5541" w:rsidRPr="000713B9">
        <w:t>c</w:t>
      </w:r>
      <w:r w:rsidR="00B710A1" w:rsidRPr="000713B9">
        <w:t xml:space="preserve">ópia do </w:t>
      </w:r>
      <w:r w:rsidR="00B710A1" w:rsidRPr="000713B9">
        <w:rPr>
          <w:i/>
        </w:rPr>
        <w:t>curriculum vitae</w:t>
      </w:r>
      <w:r w:rsidR="00B710A1" w:rsidRPr="000713B9">
        <w:t xml:space="preserve"> do responsável da qualidade</w:t>
      </w:r>
      <w:r w:rsidR="008F3006" w:rsidRPr="000713B9">
        <w:t xml:space="preserve"> e responsável da qualidade substituto</w:t>
      </w:r>
      <w:r w:rsidR="00B710A1" w:rsidRPr="000713B9">
        <w:t xml:space="preserve">; </w:t>
      </w:r>
    </w:p>
    <w:p w:rsidR="00B710A1" w:rsidRPr="000713B9" w:rsidRDefault="0095520F" w:rsidP="000713B9">
      <w:pPr>
        <w:tabs>
          <w:tab w:val="num" w:pos="360"/>
        </w:tabs>
        <w:spacing w:after="200"/>
        <w:ind w:firstLine="567"/>
        <w:jc w:val="both"/>
      </w:pPr>
      <w:r w:rsidRPr="000713B9">
        <w:t xml:space="preserve">XVI. </w:t>
      </w:r>
      <w:r w:rsidR="00EB5541" w:rsidRPr="000713B9">
        <w:t>c</w:t>
      </w:r>
      <w:r w:rsidR="00B710A1" w:rsidRPr="000713B9">
        <w:t xml:space="preserve">ronograma de capacitação dos funcionários envolvidos com as atividades do Centro para o ano vigente; e </w:t>
      </w:r>
    </w:p>
    <w:p w:rsidR="00B710A1" w:rsidRPr="000713B9" w:rsidRDefault="0095520F" w:rsidP="000713B9">
      <w:pPr>
        <w:tabs>
          <w:tab w:val="num" w:pos="360"/>
        </w:tabs>
        <w:spacing w:after="200"/>
        <w:ind w:firstLine="567"/>
        <w:jc w:val="both"/>
      </w:pPr>
      <w:r w:rsidRPr="000713B9">
        <w:t xml:space="preserve">XVII. </w:t>
      </w:r>
      <w:r w:rsidR="00F6602F" w:rsidRPr="000713B9">
        <w:t>T</w:t>
      </w:r>
      <w:r w:rsidR="00B710A1" w:rsidRPr="000713B9">
        <w:t>ermos de responsabilidade dispostos nos Anexos I, II desta Resolução, devidamente preenchidos e assinados pelo responsável técnico do Centro.</w:t>
      </w:r>
    </w:p>
    <w:p w:rsidR="00B710A1" w:rsidRPr="000713B9" w:rsidRDefault="009C6CD9" w:rsidP="000713B9">
      <w:pPr>
        <w:autoSpaceDE w:val="0"/>
        <w:autoSpaceDN w:val="0"/>
        <w:adjustRightInd w:val="0"/>
        <w:spacing w:after="200"/>
        <w:ind w:firstLine="567"/>
        <w:jc w:val="both"/>
      </w:pPr>
      <w:r w:rsidRPr="000713B9">
        <w:t xml:space="preserve">Art. 13 </w:t>
      </w:r>
      <w:r w:rsidR="00B710A1" w:rsidRPr="000713B9">
        <w:t>A habilitação de Centro de Equivalência Farmacêutica</w:t>
      </w:r>
      <w:r w:rsidR="00B710A1" w:rsidRPr="000713B9">
        <w:rPr>
          <w:color w:val="000000"/>
        </w:rPr>
        <w:t xml:space="preserve"> </w:t>
      </w:r>
      <w:r w:rsidR="00001E10" w:rsidRPr="000713B9">
        <w:rPr>
          <w:color w:val="000000"/>
        </w:rPr>
        <w:t xml:space="preserve">será </w:t>
      </w:r>
      <w:r w:rsidR="00B710A1" w:rsidRPr="000713B9">
        <w:rPr>
          <w:color w:val="000000"/>
        </w:rPr>
        <w:t xml:space="preserve">objeto de publicação </w:t>
      </w:r>
      <w:r w:rsidR="00B710A1" w:rsidRPr="000713B9">
        <w:t>no Diário Oficial da União (DOU), e terá vigência de dois anos a partir de sua publicação.</w:t>
      </w:r>
    </w:p>
    <w:p w:rsidR="00B710A1" w:rsidRPr="000713B9" w:rsidRDefault="00B710A1" w:rsidP="000713B9">
      <w:pPr>
        <w:autoSpaceDE w:val="0"/>
        <w:autoSpaceDN w:val="0"/>
        <w:adjustRightInd w:val="0"/>
        <w:spacing w:after="200"/>
        <w:jc w:val="center"/>
        <w:rPr>
          <w:b/>
          <w:smallCaps/>
        </w:rPr>
      </w:pPr>
      <w:r w:rsidRPr="000713B9">
        <w:rPr>
          <w:b/>
          <w:smallCaps/>
        </w:rPr>
        <w:t>Capítulo II</w:t>
      </w:r>
    </w:p>
    <w:p w:rsidR="00B710A1" w:rsidRPr="000713B9" w:rsidRDefault="00B710A1" w:rsidP="000713B9">
      <w:pPr>
        <w:keepNext/>
        <w:spacing w:after="200"/>
        <w:jc w:val="center"/>
        <w:outlineLvl w:val="1"/>
        <w:rPr>
          <w:b/>
          <w:bCs/>
          <w:iCs/>
          <w:smallCaps/>
        </w:rPr>
      </w:pPr>
      <w:bookmarkStart w:id="10" w:name="_Toc330564192"/>
      <w:bookmarkStart w:id="11" w:name="_Toc397347938"/>
      <w:r w:rsidRPr="000713B9">
        <w:rPr>
          <w:b/>
          <w:bCs/>
          <w:iCs/>
          <w:smallCaps/>
        </w:rPr>
        <w:t>Da Renovação da Habilitação de Centro</w:t>
      </w:r>
      <w:bookmarkEnd w:id="10"/>
      <w:r w:rsidRPr="000713B9">
        <w:rPr>
          <w:b/>
          <w:bCs/>
          <w:iCs/>
          <w:smallCaps/>
        </w:rPr>
        <w:t xml:space="preserve"> de Equivalência Farmacêutica</w:t>
      </w:r>
      <w:bookmarkEnd w:id="11"/>
    </w:p>
    <w:p w:rsidR="00B710A1" w:rsidRPr="000713B9" w:rsidRDefault="009C6CD9" w:rsidP="000713B9">
      <w:pPr>
        <w:autoSpaceDE w:val="0"/>
        <w:autoSpaceDN w:val="0"/>
        <w:adjustRightInd w:val="0"/>
        <w:spacing w:after="200"/>
        <w:ind w:firstLine="567"/>
        <w:jc w:val="both"/>
        <w:rPr>
          <w:color w:val="000000"/>
        </w:rPr>
      </w:pPr>
      <w:r w:rsidRPr="000713B9">
        <w:t xml:space="preserve">Art. 14 </w:t>
      </w:r>
      <w:r w:rsidR="005E2C58" w:rsidRPr="000713B9">
        <w:t>Os Centros de Equivalência Farmacêutica interessados em renovar sua habilitação devem protocolar na Anvisa a petição de “Renovação da Habilitação de Centro de Equivalência Farmacêutica” juntamente com os seguintes documentos, além daqueles listados no artigo 4º desta Resolução, no lapso temporal compreendido entre 270 (duzentos e setenta) e 180 (cento e oitenta) dias antes do vencimento do certificado</w:t>
      </w:r>
      <w:r w:rsidR="00B710A1" w:rsidRPr="000713B9">
        <w:t>:</w:t>
      </w:r>
    </w:p>
    <w:p w:rsidR="00386139" w:rsidRPr="000713B9" w:rsidRDefault="00261EF7" w:rsidP="000713B9">
      <w:pPr>
        <w:tabs>
          <w:tab w:val="num" w:pos="1675"/>
          <w:tab w:val="num" w:pos="1872"/>
        </w:tabs>
        <w:spacing w:after="200"/>
        <w:ind w:firstLine="567"/>
        <w:jc w:val="both"/>
      </w:pPr>
      <w:r w:rsidRPr="000713B9">
        <w:t xml:space="preserve">I. </w:t>
      </w:r>
      <w:r w:rsidR="00EB5541" w:rsidRPr="000713B9">
        <w:t>c</w:t>
      </w:r>
      <w:r w:rsidR="006E4035" w:rsidRPr="000713B9">
        <w:t>ópia do Contrato Social, da Ata de Constituição registrada na Junta Comercial ou do Ato Constitutivo (Lei, Decreto ou Portaria de criação) atualizados</w:t>
      </w:r>
      <w:r w:rsidR="00B710A1" w:rsidRPr="000713B9">
        <w:t>;</w:t>
      </w:r>
    </w:p>
    <w:p w:rsidR="00386139" w:rsidRPr="000713B9" w:rsidRDefault="00261EF7" w:rsidP="000713B9">
      <w:pPr>
        <w:tabs>
          <w:tab w:val="num" w:pos="360"/>
          <w:tab w:val="num" w:pos="1277"/>
          <w:tab w:val="num" w:pos="1872"/>
        </w:tabs>
        <w:spacing w:after="200"/>
        <w:ind w:firstLine="567"/>
        <w:jc w:val="both"/>
      </w:pPr>
      <w:r w:rsidRPr="000713B9">
        <w:t xml:space="preserve">II. </w:t>
      </w:r>
      <w:r w:rsidR="00EB5541" w:rsidRPr="000713B9">
        <w:t>c</w:t>
      </w:r>
      <w:r w:rsidR="00B710A1" w:rsidRPr="000713B9">
        <w:t xml:space="preserve">ópia do comprovante de inscrição e de situação cadastral </w:t>
      </w:r>
      <w:r w:rsidR="008F6CB2" w:rsidRPr="000713B9">
        <w:t>n</w:t>
      </w:r>
      <w:r w:rsidR="00B710A1" w:rsidRPr="000713B9">
        <w:t>o CNPJ atualizadas;</w:t>
      </w:r>
    </w:p>
    <w:p w:rsidR="00386139" w:rsidRPr="000713B9" w:rsidRDefault="00261EF7" w:rsidP="000713B9">
      <w:pPr>
        <w:tabs>
          <w:tab w:val="num" w:pos="1277"/>
          <w:tab w:val="num" w:pos="1675"/>
          <w:tab w:val="num" w:pos="1872"/>
        </w:tabs>
        <w:spacing w:after="200"/>
        <w:ind w:firstLine="567"/>
        <w:jc w:val="both"/>
      </w:pPr>
      <w:r w:rsidRPr="000713B9">
        <w:t xml:space="preserve">III. </w:t>
      </w:r>
      <w:r w:rsidR="00EB5541" w:rsidRPr="000713B9">
        <w:t>c</w:t>
      </w:r>
      <w:r w:rsidR="00B710A1" w:rsidRPr="000713B9">
        <w:t>ópia do Alvará Sanitário atualizado</w:t>
      </w:r>
      <w:r w:rsidR="005E2C58" w:rsidRPr="000713B9">
        <w:t>, expedido pela Vigilância Sanitária local</w:t>
      </w:r>
      <w:r w:rsidR="00B710A1" w:rsidRPr="000713B9">
        <w:t>;</w:t>
      </w:r>
    </w:p>
    <w:p w:rsidR="00386139" w:rsidRPr="000713B9" w:rsidRDefault="00261EF7" w:rsidP="000713B9">
      <w:pPr>
        <w:tabs>
          <w:tab w:val="num" w:pos="1872"/>
        </w:tabs>
        <w:spacing w:after="200"/>
        <w:ind w:firstLine="567"/>
        <w:jc w:val="both"/>
      </w:pPr>
      <w:r w:rsidRPr="000713B9">
        <w:t xml:space="preserve">IV. </w:t>
      </w:r>
      <w:r w:rsidR="00EB5541" w:rsidRPr="000713B9">
        <w:t>c</w:t>
      </w:r>
      <w:r w:rsidR="00B710A1" w:rsidRPr="000713B9">
        <w:t>ópia da Licença Ambiental atualizada;</w:t>
      </w:r>
    </w:p>
    <w:p w:rsidR="00386139" w:rsidRPr="000713B9" w:rsidRDefault="00261EF7" w:rsidP="000713B9">
      <w:pPr>
        <w:tabs>
          <w:tab w:val="num" w:pos="1872"/>
        </w:tabs>
        <w:spacing w:after="200"/>
        <w:ind w:firstLine="567"/>
        <w:jc w:val="both"/>
      </w:pPr>
      <w:r w:rsidRPr="000713B9">
        <w:t xml:space="preserve">V. </w:t>
      </w:r>
      <w:r w:rsidR="00EB5541" w:rsidRPr="000713B9">
        <w:t>c</w:t>
      </w:r>
      <w:r w:rsidR="00B710A1" w:rsidRPr="000713B9">
        <w:t>ópia da Licença do Corpo de Bombeiros atualizada;</w:t>
      </w:r>
    </w:p>
    <w:p w:rsidR="00B710A1" w:rsidRPr="000713B9" w:rsidRDefault="00261EF7" w:rsidP="000713B9">
      <w:pPr>
        <w:tabs>
          <w:tab w:val="num" w:pos="1872"/>
        </w:tabs>
        <w:spacing w:after="200"/>
        <w:ind w:firstLine="567"/>
        <w:jc w:val="both"/>
      </w:pPr>
      <w:r w:rsidRPr="000713B9">
        <w:t xml:space="preserve">VI. </w:t>
      </w:r>
      <w:r w:rsidR="00EB5541" w:rsidRPr="000713B9">
        <w:t>c</w:t>
      </w:r>
      <w:r w:rsidR="00B710A1" w:rsidRPr="000713B9">
        <w:t>ópia do Certificado de Regularidade ou Termo de Responsabilidade atualizados, emitidos pelo Conselho Regional de Farmácia da jurisdição onde se localiza o Centro;</w:t>
      </w:r>
    </w:p>
    <w:p w:rsidR="00B710A1" w:rsidRPr="000713B9" w:rsidRDefault="00261EF7" w:rsidP="000713B9">
      <w:pPr>
        <w:tabs>
          <w:tab w:val="num" w:pos="1872"/>
        </w:tabs>
        <w:spacing w:after="200"/>
        <w:ind w:firstLine="567"/>
        <w:jc w:val="both"/>
      </w:pPr>
      <w:r w:rsidRPr="000713B9">
        <w:t xml:space="preserve">VII. </w:t>
      </w:r>
      <w:r w:rsidR="00EB5541" w:rsidRPr="000713B9">
        <w:t>c</w:t>
      </w:r>
      <w:r w:rsidR="00B710A1" w:rsidRPr="000713B9">
        <w:t>ópia do contrato atualizado com empresa responsável</w:t>
      </w:r>
      <w:r w:rsidR="00E7635B" w:rsidRPr="000713B9">
        <w:t xml:space="preserve"> </w:t>
      </w:r>
      <w:r w:rsidR="00B710A1" w:rsidRPr="000713B9">
        <w:t>pelo controle de pragas;</w:t>
      </w:r>
    </w:p>
    <w:p w:rsidR="00B710A1" w:rsidRPr="000713B9" w:rsidRDefault="00261EF7" w:rsidP="000713B9">
      <w:pPr>
        <w:tabs>
          <w:tab w:val="num" w:pos="1872"/>
        </w:tabs>
        <w:spacing w:after="200"/>
        <w:ind w:firstLine="567"/>
        <w:jc w:val="both"/>
      </w:pPr>
      <w:r w:rsidRPr="000713B9">
        <w:t xml:space="preserve">VIII. </w:t>
      </w:r>
      <w:r w:rsidR="00EB5541" w:rsidRPr="000713B9">
        <w:t>c</w:t>
      </w:r>
      <w:r w:rsidR="00B710A1" w:rsidRPr="000713B9">
        <w:t>ópia do contrato atualizado com empresa</w:t>
      </w:r>
      <w:r w:rsidR="00E7635B" w:rsidRPr="000713B9">
        <w:t xml:space="preserve"> </w:t>
      </w:r>
      <w:r w:rsidR="00B710A1" w:rsidRPr="000713B9">
        <w:t>responsável</w:t>
      </w:r>
      <w:r w:rsidR="00E7635B" w:rsidRPr="000713B9">
        <w:t xml:space="preserve"> </w:t>
      </w:r>
      <w:r w:rsidR="00B710A1" w:rsidRPr="000713B9">
        <w:t>pelo gerenciamento de resíduos (transporte, coleta, descarte e destinação final de resíduos);</w:t>
      </w:r>
    </w:p>
    <w:p w:rsidR="00B710A1" w:rsidRPr="000713B9" w:rsidRDefault="00261EF7" w:rsidP="000713B9">
      <w:pPr>
        <w:tabs>
          <w:tab w:val="num" w:pos="1872"/>
        </w:tabs>
        <w:spacing w:after="200"/>
        <w:ind w:firstLine="567"/>
        <w:jc w:val="both"/>
      </w:pPr>
      <w:r w:rsidRPr="000713B9">
        <w:t xml:space="preserve">IX. </w:t>
      </w:r>
      <w:r w:rsidR="0019173A" w:rsidRPr="000713B9">
        <w:t>L</w:t>
      </w:r>
      <w:r w:rsidR="00B710A1" w:rsidRPr="000713B9">
        <w:t>ista Mestra de equipamentos/instrumentos, informando:</w:t>
      </w:r>
    </w:p>
    <w:p w:rsidR="00B710A1" w:rsidRPr="000713B9" w:rsidRDefault="00261EF7" w:rsidP="000713B9">
      <w:pPr>
        <w:spacing w:after="200"/>
        <w:ind w:firstLine="567"/>
        <w:jc w:val="both"/>
      </w:pPr>
      <w:r w:rsidRPr="000713B9">
        <w:t xml:space="preserve">a) </w:t>
      </w:r>
      <w:r w:rsidR="00EB5541" w:rsidRPr="000713B9">
        <w:t>m</w:t>
      </w:r>
      <w:r w:rsidR="00B710A1" w:rsidRPr="000713B9">
        <w:t>arca/modelo;</w:t>
      </w:r>
    </w:p>
    <w:p w:rsidR="00B710A1" w:rsidRPr="000713B9" w:rsidRDefault="00261EF7" w:rsidP="000713B9">
      <w:pPr>
        <w:spacing w:after="200"/>
        <w:ind w:firstLine="567"/>
        <w:jc w:val="both"/>
      </w:pPr>
      <w:r w:rsidRPr="000713B9">
        <w:t>b)</w:t>
      </w:r>
      <w:r w:rsidR="00B710A1" w:rsidRPr="000713B9">
        <w:t xml:space="preserve"> </w:t>
      </w:r>
      <w:r w:rsidR="00EB5541" w:rsidRPr="000713B9">
        <w:t>n</w:t>
      </w:r>
      <w:r w:rsidR="00B710A1" w:rsidRPr="000713B9">
        <w:t>úmero ou código de identificação (</w:t>
      </w:r>
      <w:r w:rsidR="00F46592" w:rsidRPr="000713B9">
        <w:t>etiqueta</w:t>
      </w:r>
      <w:r w:rsidR="00B710A1" w:rsidRPr="000713B9">
        <w:t xml:space="preserve">); e </w:t>
      </w:r>
    </w:p>
    <w:p w:rsidR="00B710A1" w:rsidRPr="000713B9" w:rsidRDefault="00261EF7" w:rsidP="000713B9">
      <w:pPr>
        <w:spacing w:after="200"/>
        <w:ind w:firstLine="567"/>
        <w:jc w:val="both"/>
      </w:pPr>
      <w:r w:rsidRPr="000713B9">
        <w:t xml:space="preserve">c) </w:t>
      </w:r>
      <w:r w:rsidR="00EB5541" w:rsidRPr="000713B9">
        <w:t>v</w:t>
      </w:r>
      <w:r w:rsidR="00B710A1" w:rsidRPr="000713B9">
        <w:t>alidade</w:t>
      </w:r>
      <w:r w:rsidR="00B710A1" w:rsidRPr="000713B9">
        <w:rPr>
          <w:bCs/>
        </w:rPr>
        <w:t xml:space="preserve"> da calibração/qualificação</w:t>
      </w:r>
      <w:r w:rsidR="00EB5541" w:rsidRPr="000713B9">
        <w:t>.</w:t>
      </w:r>
    </w:p>
    <w:p w:rsidR="00B710A1" w:rsidRPr="000713B9" w:rsidRDefault="00261EF7" w:rsidP="000713B9">
      <w:pPr>
        <w:tabs>
          <w:tab w:val="num" w:pos="1675"/>
          <w:tab w:val="num" w:pos="1872"/>
        </w:tabs>
        <w:spacing w:after="200"/>
        <w:ind w:firstLine="567"/>
        <w:jc w:val="both"/>
      </w:pPr>
      <w:r w:rsidRPr="000713B9">
        <w:t xml:space="preserve">X. </w:t>
      </w:r>
      <w:r w:rsidR="00EB5541" w:rsidRPr="000713B9">
        <w:t>l</w:t>
      </w:r>
      <w:r w:rsidR="00B710A1" w:rsidRPr="000713B9">
        <w:t>ista de estudos de equivalência farmacêutica e de perfil de dissolução comparativo realizados no último ano;</w:t>
      </w:r>
    </w:p>
    <w:p w:rsidR="00B710A1" w:rsidRPr="000713B9" w:rsidRDefault="00261EF7" w:rsidP="000713B9">
      <w:pPr>
        <w:tabs>
          <w:tab w:val="num" w:pos="1872"/>
        </w:tabs>
        <w:spacing w:after="200"/>
        <w:ind w:firstLine="567"/>
        <w:jc w:val="both"/>
      </w:pPr>
      <w:r w:rsidRPr="000713B9">
        <w:t xml:space="preserve">XI. </w:t>
      </w:r>
      <w:r w:rsidR="00EB5541" w:rsidRPr="000713B9">
        <w:t>c</w:t>
      </w:r>
      <w:r w:rsidR="00B710A1" w:rsidRPr="000713B9">
        <w:t xml:space="preserve">ópia do relatório da última autoinspeção; </w:t>
      </w:r>
    </w:p>
    <w:p w:rsidR="00B710A1" w:rsidRPr="000713B9" w:rsidRDefault="00261EF7" w:rsidP="000713B9">
      <w:pPr>
        <w:tabs>
          <w:tab w:val="num" w:pos="1872"/>
        </w:tabs>
        <w:spacing w:after="200"/>
        <w:ind w:firstLine="567"/>
        <w:jc w:val="both"/>
      </w:pPr>
      <w:r w:rsidRPr="000713B9">
        <w:t xml:space="preserve">XII. </w:t>
      </w:r>
      <w:r w:rsidR="00EB5541" w:rsidRPr="000713B9">
        <w:t>c</w:t>
      </w:r>
      <w:r w:rsidR="00B710A1" w:rsidRPr="000713B9">
        <w:t xml:space="preserve">ronograma de capacitação dos funcionários envolvidos com as </w:t>
      </w:r>
      <w:r w:rsidR="00B710A1" w:rsidRPr="000713B9">
        <w:rPr>
          <w:color w:val="000000"/>
        </w:rPr>
        <w:t>atividades</w:t>
      </w:r>
      <w:r w:rsidR="00B710A1" w:rsidRPr="000713B9">
        <w:t xml:space="preserve"> do </w:t>
      </w:r>
      <w:r w:rsidR="00B710A1" w:rsidRPr="000713B9">
        <w:rPr>
          <w:bCs/>
        </w:rPr>
        <w:t xml:space="preserve">Centro </w:t>
      </w:r>
      <w:r w:rsidR="007269FB" w:rsidRPr="000713B9">
        <w:rPr>
          <w:bCs/>
        </w:rPr>
        <w:t xml:space="preserve">de Equivalência Farmacêutica </w:t>
      </w:r>
      <w:r w:rsidR="00B710A1" w:rsidRPr="000713B9">
        <w:rPr>
          <w:bCs/>
        </w:rPr>
        <w:t>para o ano vigente</w:t>
      </w:r>
      <w:r w:rsidR="00B710A1" w:rsidRPr="000713B9">
        <w:rPr>
          <w:color w:val="000000"/>
        </w:rPr>
        <w:t>; e</w:t>
      </w:r>
    </w:p>
    <w:p w:rsidR="00B710A1" w:rsidRPr="000713B9" w:rsidRDefault="00261EF7" w:rsidP="000713B9">
      <w:pPr>
        <w:tabs>
          <w:tab w:val="num" w:pos="1872"/>
        </w:tabs>
        <w:spacing w:after="200"/>
        <w:ind w:firstLine="567"/>
        <w:jc w:val="both"/>
      </w:pPr>
      <w:r w:rsidRPr="000713B9">
        <w:t xml:space="preserve">XIII. </w:t>
      </w:r>
      <w:r w:rsidR="00F6602F" w:rsidRPr="000713B9">
        <w:t>T</w:t>
      </w:r>
      <w:r w:rsidR="00B710A1" w:rsidRPr="000713B9">
        <w:t xml:space="preserve">ermos de </w:t>
      </w:r>
      <w:r w:rsidR="007A07A5" w:rsidRPr="000713B9">
        <w:t>R</w:t>
      </w:r>
      <w:r w:rsidR="00B710A1" w:rsidRPr="000713B9">
        <w:t>esponsabilidade dispostos nos Anexo I, II desta Resolução, devidamente preenchidos e assinados pelo Responsável Técnico do Centro.</w:t>
      </w:r>
    </w:p>
    <w:p w:rsidR="00B710A1" w:rsidRPr="000713B9" w:rsidRDefault="00384704" w:rsidP="000713B9">
      <w:pPr>
        <w:pStyle w:val="Corpodetexto"/>
        <w:spacing w:after="200"/>
        <w:ind w:firstLine="567"/>
        <w:jc w:val="both"/>
        <w:rPr>
          <w:sz w:val="24"/>
          <w:szCs w:val="24"/>
        </w:rPr>
      </w:pPr>
      <w:r w:rsidRPr="000713B9">
        <w:rPr>
          <w:sz w:val="24"/>
          <w:szCs w:val="24"/>
        </w:rPr>
        <w:t xml:space="preserve">§1° </w:t>
      </w:r>
      <w:r w:rsidR="00B710A1" w:rsidRPr="000713B9">
        <w:rPr>
          <w:sz w:val="24"/>
          <w:szCs w:val="24"/>
        </w:rPr>
        <w:t>O não protocolo da petição de “Renovação da Habilitação de Centro de Equivalência Farmacêutica” dentro do prazo estabelecido no caput gera o cancelamento da habilitação do Centro de Equivalência Farmacêutica.</w:t>
      </w:r>
    </w:p>
    <w:p w:rsidR="00B710A1" w:rsidRPr="000713B9" w:rsidRDefault="00384704" w:rsidP="000713B9">
      <w:pPr>
        <w:pStyle w:val="Corpodetexto"/>
        <w:spacing w:after="200"/>
        <w:ind w:firstLine="567"/>
        <w:jc w:val="both"/>
        <w:rPr>
          <w:sz w:val="24"/>
          <w:szCs w:val="24"/>
        </w:rPr>
      </w:pPr>
      <w:r w:rsidRPr="000713B9">
        <w:rPr>
          <w:sz w:val="24"/>
          <w:szCs w:val="24"/>
        </w:rPr>
        <w:t xml:space="preserve">§2° </w:t>
      </w:r>
      <w:r w:rsidR="00B710A1" w:rsidRPr="000713B9">
        <w:rPr>
          <w:sz w:val="24"/>
          <w:szCs w:val="24"/>
        </w:rPr>
        <w:t>É vedado o início ou a continuação de estudos de equivalência farmacêutica ou de perfil de dissolução comparativo após o vencimento da habilitação do Centro.</w:t>
      </w:r>
    </w:p>
    <w:p w:rsidR="00B710A1" w:rsidRPr="000713B9" w:rsidRDefault="009C6CD9" w:rsidP="000713B9">
      <w:pPr>
        <w:autoSpaceDE w:val="0"/>
        <w:autoSpaceDN w:val="0"/>
        <w:adjustRightInd w:val="0"/>
        <w:spacing w:after="200"/>
        <w:ind w:firstLine="567"/>
        <w:jc w:val="both"/>
      </w:pPr>
      <w:r w:rsidRPr="000713B9">
        <w:t xml:space="preserve">Art. 15 </w:t>
      </w:r>
      <w:r w:rsidR="00B710A1" w:rsidRPr="000713B9">
        <w:t xml:space="preserve">A renovação da habilitação de Centro de Equivalência Farmacêutica </w:t>
      </w:r>
      <w:r w:rsidR="00001E10" w:rsidRPr="000713B9">
        <w:t xml:space="preserve">será </w:t>
      </w:r>
      <w:r w:rsidR="00B710A1" w:rsidRPr="000713B9">
        <w:rPr>
          <w:color w:val="000000"/>
        </w:rPr>
        <w:t xml:space="preserve">objeto de publicação no </w:t>
      </w:r>
      <w:r w:rsidR="00B710A1" w:rsidRPr="000713B9">
        <w:t>DOU, e terá vigência de dois anos a partir de sua publicação.</w:t>
      </w:r>
    </w:p>
    <w:p w:rsidR="000713B9" w:rsidRDefault="000713B9" w:rsidP="000713B9">
      <w:pPr>
        <w:autoSpaceDE w:val="0"/>
        <w:autoSpaceDN w:val="0"/>
        <w:adjustRightInd w:val="0"/>
        <w:spacing w:after="200"/>
        <w:jc w:val="center"/>
        <w:rPr>
          <w:b/>
          <w:smallCaps/>
        </w:rPr>
      </w:pPr>
      <w:bookmarkStart w:id="12" w:name="_Toc330564194"/>
    </w:p>
    <w:p w:rsidR="000713B9" w:rsidRDefault="000713B9" w:rsidP="000713B9">
      <w:pPr>
        <w:autoSpaceDE w:val="0"/>
        <w:autoSpaceDN w:val="0"/>
        <w:adjustRightInd w:val="0"/>
        <w:spacing w:after="200"/>
        <w:jc w:val="center"/>
        <w:rPr>
          <w:b/>
          <w:smallCaps/>
        </w:rPr>
      </w:pPr>
    </w:p>
    <w:p w:rsidR="000713B9" w:rsidRDefault="000713B9" w:rsidP="000713B9">
      <w:pPr>
        <w:autoSpaceDE w:val="0"/>
        <w:autoSpaceDN w:val="0"/>
        <w:adjustRightInd w:val="0"/>
        <w:spacing w:after="200"/>
        <w:jc w:val="center"/>
        <w:rPr>
          <w:b/>
          <w:smallCaps/>
        </w:rPr>
      </w:pPr>
    </w:p>
    <w:p w:rsidR="00B710A1" w:rsidRPr="000713B9" w:rsidRDefault="000713B9" w:rsidP="000713B9">
      <w:pPr>
        <w:autoSpaceDE w:val="0"/>
        <w:autoSpaceDN w:val="0"/>
        <w:adjustRightInd w:val="0"/>
        <w:spacing w:after="200"/>
        <w:jc w:val="center"/>
        <w:rPr>
          <w:b/>
          <w:smallCaps/>
        </w:rPr>
      </w:pPr>
      <w:r>
        <w:rPr>
          <w:b/>
          <w:smallCaps/>
        </w:rPr>
        <w:t>C</w:t>
      </w:r>
      <w:r w:rsidR="00B710A1" w:rsidRPr="000713B9">
        <w:rPr>
          <w:b/>
          <w:smallCaps/>
        </w:rPr>
        <w:t>apítulo III</w:t>
      </w:r>
    </w:p>
    <w:p w:rsidR="00B710A1" w:rsidRPr="000713B9" w:rsidRDefault="00B710A1" w:rsidP="000713B9">
      <w:pPr>
        <w:keepNext/>
        <w:spacing w:after="200"/>
        <w:jc w:val="center"/>
        <w:outlineLvl w:val="1"/>
        <w:rPr>
          <w:b/>
          <w:bCs/>
          <w:iCs/>
          <w:smallCaps/>
        </w:rPr>
      </w:pPr>
      <w:bookmarkStart w:id="13" w:name="_Toc397347939"/>
      <w:r w:rsidRPr="000713B9">
        <w:rPr>
          <w:b/>
          <w:bCs/>
          <w:iCs/>
          <w:smallCaps/>
        </w:rPr>
        <w:t>Das Modificações Pós-Habilitação de Centro</w:t>
      </w:r>
      <w:bookmarkEnd w:id="12"/>
      <w:r w:rsidRPr="000713B9">
        <w:rPr>
          <w:b/>
          <w:bCs/>
          <w:iCs/>
          <w:smallCaps/>
        </w:rPr>
        <w:t xml:space="preserve"> de Equivalência Farmacêutica</w:t>
      </w:r>
      <w:bookmarkEnd w:id="13"/>
    </w:p>
    <w:p w:rsidR="00B710A1" w:rsidRPr="000713B9" w:rsidRDefault="009C6CD9" w:rsidP="000713B9">
      <w:pPr>
        <w:spacing w:after="200"/>
        <w:ind w:firstLine="567"/>
        <w:jc w:val="both"/>
      </w:pPr>
      <w:r w:rsidRPr="000713B9">
        <w:t xml:space="preserve">Art. 16 </w:t>
      </w:r>
      <w:r w:rsidR="00B710A1" w:rsidRPr="000713B9">
        <w:t>As modificações pós-habilitação referem-se a qualquer</w:t>
      </w:r>
      <w:r w:rsidR="00B710A1" w:rsidRPr="000713B9">
        <w:rPr>
          <w:color w:val="000000"/>
        </w:rPr>
        <w:t xml:space="preserve"> modificação das informações, atividades</w:t>
      </w:r>
      <w:r w:rsidR="00E7635B" w:rsidRPr="000713B9">
        <w:rPr>
          <w:color w:val="000000"/>
        </w:rPr>
        <w:t xml:space="preserve"> </w:t>
      </w:r>
      <w:r w:rsidR="00B710A1" w:rsidRPr="000713B9">
        <w:rPr>
          <w:color w:val="000000"/>
        </w:rPr>
        <w:t xml:space="preserve">ou responsabilidades do Centro de Equivalência Farmacêutica, </w:t>
      </w:r>
      <w:r w:rsidR="00B710A1" w:rsidRPr="000713B9">
        <w:t>após sua habilitação.</w:t>
      </w:r>
    </w:p>
    <w:p w:rsidR="00B710A1" w:rsidRPr="000713B9" w:rsidRDefault="009C6CD9" w:rsidP="000713B9">
      <w:pPr>
        <w:autoSpaceDE w:val="0"/>
        <w:autoSpaceDN w:val="0"/>
        <w:adjustRightInd w:val="0"/>
        <w:spacing w:after="200"/>
        <w:ind w:firstLine="567"/>
        <w:jc w:val="both"/>
      </w:pPr>
      <w:r w:rsidRPr="000713B9">
        <w:rPr>
          <w:color w:val="000000"/>
        </w:rPr>
        <w:t xml:space="preserve">Art. 17 </w:t>
      </w:r>
      <w:r w:rsidR="00B710A1" w:rsidRPr="000713B9">
        <w:rPr>
          <w:color w:val="000000"/>
        </w:rPr>
        <w:t>Constituem</w:t>
      </w:r>
      <w:r w:rsidR="00B710A1" w:rsidRPr="000713B9">
        <w:t xml:space="preserve"> modificações pós-habilitação:</w:t>
      </w:r>
    </w:p>
    <w:p w:rsidR="00B710A1" w:rsidRPr="000713B9" w:rsidRDefault="0037496B" w:rsidP="000713B9">
      <w:pPr>
        <w:tabs>
          <w:tab w:val="num" w:pos="360"/>
        </w:tabs>
        <w:spacing w:after="200"/>
        <w:ind w:firstLine="567"/>
        <w:jc w:val="both"/>
      </w:pPr>
      <w:r w:rsidRPr="000713B9">
        <w:t xml:space="preserve">I. </w:t>
      </w:r>
      <w:r w:rsidR="00EB5541" w:rsidRPr="000713B9">
        <w:t>a</w:t>
      </w:r>
      <w:r w:rsidR="00B710A1" w:rsidRPr="000713B9">
        <w:t>s seguintes alterações:</w:t>
      </w:r>
    </w:p>
    <w:p w:rsidR="00B710A1" w:rsidRPr="000713B9" w:rsidRDefault="00C97B65" w:rsidP="000713B9">
      <w:pPr>
        <w:spacing w:after="200"/>
        <w:ind w:firstLine="567"/>
        <w:jc w:val="both"/>
      </w:pPr>
      <w:r w:rsidRPr="000713B9">
        <w:t xml:space="preserve">a) </w:t>
      </w:r>
      <w:r w:rsidR="00EB5541" w:rsidRPr="000713B9">
        <w:t>a</w:t>
      </w:r>
      <w:r w:rsidR="00B710A1" w:rsidRPr="000713B9">
        <w:t>lteração de razão social ou do número de inscrição no Cadastro Nacional de Pessoa Jurídica (CNPJ);</w:t>
      </w:r>
    </w:p>
    <w:p w:rsidR="00B710A1" w:rsidRPr="000713B9" w:rsidRDefault="00C97B65" w:rsidP="000713B9">
      <w:pPr>
        <w:spacing w:after="200"/>
        <w:ind w:firstLine="567"/>
        <w:jc w:val="both"/>
      </w:pPr>
      <w:r w:rsidRPr="000713B9">
        <w:t xml:space="preserve">b) </w:t>
      </w:r>
      <w:r w:rsidR="00EB5541" w:rsidRPr="000713B9">
        <w:t>a</w:t>
      </w:r>
      <w:r w:rsidR="00B710A1" w:rsidRPr="000713B9">
        <w:t xml:space="preserve">lteração de local; </w:t>
      </w:r>
    </w:p>
    <w:p w:rsidR="00B710A1" w:rsidRPr="000713B9" w:rsidRDefault="00C97B65" w:rsidP="000713B9">
      <w:pPr>
        <w:spacing w:after="200"/>
        <w:ind w:firstLine="567"/>
        <w:jc w:val="both"/>
      </w:pPr>
      <w:r w:rsidRPr="000713B9">
        <w:t xml:space="preserve">c) </w:t>
      </w:r>
      <w:r w:rsidR="00EB5541" w:rsidRPr="000713B9">
        <w:t>a</w:t>
      </w:r>
      <w:r w:rsidR="00B710A1" w:rsidRPr="000713B9">
        <w:t>lteração de dados cadastrais;</w:t>
      </w:r>
    </w:p>
    <w:p w:rsidR="00B710A1" w:rsidRPr="000713B9" w:rsidRDefault="00C97B65" w:rsidP="000713B9">
      <w:pPr>
        <w:spacing w:after="200"/>
        <w:ind w:firstLine="567"/>
        <w:jc w:val="both"/>
      </w:pPr>
      <w:r w:rsidRPr="000713B9">
        <w:t xml:space="preserve">d) </w:t>
      </w:r>
      <w:r w:rsidR="00EB5541" w:rsidRPr="000713B9">
        <w:t>a</w:t>
      </w:r>
      <w:r w:rsidR="00B710A1" w:rsidRPr="000713B9">
        <w:t>lteração de responsável técnico ou de responsável técnico substituto; e</w:t>
      </w:r>
    </w:p>
    <w:p w:rsidR="00B710A1" w:rsidRPr="000713B9" w:rsidRDefault="00C97B65" w:rsidP="000713B9">
      <w:pPr>
        <w:spacing w:after="200"/>
        <w:ind w:firstLine="567"/>
        <w:jc w:val="both"/>
      </w:pPr>
      <w:r w:rsidRPr="000713B9">
        <w:t xml:space="preserve">e) </w:t>
      </w:r>
      <w:r w:rsidR="00EB5541" w:rsidRPr="000713B9">
        <w:t>a</w:t>
      </w:r>
      <w:r w:rsidR="00B710A1" w:rsidRPr="000713B9">
        <w:t>lteração de responsável da qualidade ou de responsável da qualidade substituto.</w:t>
      </w:r>
    </w:p>
    <w:p w:rsidR="00B710A1" w:rsidRPr="000713B9" w:rsidRDefault="0037496B" w:rsidP="000713B9">
      <w:pPr>
        <w:tabs>
          <w:tab w:val="num" w:pos="360"/>
        </w:tabs>
        <w:spacing w:after="200"/>
        <w:ind w:firstLine="567"/>
        <w:jc w:val="both"/>
      </w:pPr>
      <w:r w:rsidRPr="000713B9">
        <w:t>II.</w:t>
      </w:r>
      <w:r w:rsidR="00B710A1" w:rsidRPr="000713B9">
        <w:t xml:space="preserve"> </w:t>
      </w:r>
      <w:r w:rsidR="00EB5541" w:rsidRPr="000713B9">
        <w:t>a</w:t>
      </w:r>
      <w:r w:rsidR="00B710A1" w:rsidRPr="000713B9">
        <w:t>s seguintes inclusões:</w:t>
      </w:r>
    </w:p>
    <w:p w:rsidR="00B710A1" w:rsidRPr="000713B9" w:rsidRDefault="00C97B65" w:rsidP="000713B9">
      <w:pPr>
        <w:spacing w:after="200"/>
        <w:ind w:firstLine="567"/>
        <w:jc w:val="both"/>
      </w:pPr>
      <w:r w:rsidRPr="000713B9">
        <w:t xml:space="preserve">a) </w:t>
      </w:r>
      <w:r w:rsidR="00EB5541" w:rsidRPr="000713B9">
        <w:t>i</w:t>
      </w:r>
      <w:r w:rsidR="00551F89" w:rsidRPr="000713B9">
        <w:t xml:space="preserve">nclusão de escopo; </w:t>
      </w:r>
      <w:r w:rsidR="004D6FA2" w:rsidRPr="000713B9">
        <w:t>e</w:t>
      </w:r>
    </w:p>
    <w:p w:rsidR="002F0D8E" w:rsidRPr="000713B9" w:rsidRDefault="00C97B65" w:rsidP="000713B9">
      <w:pPr>
        <w:spacing w:after="200"/>
        <w:ind w:firstLine="567"/>
        <w:jc w:val="both"/>
      </w:pPr>
      <w:r w:rsidRPr="000713B9">
        <w:t xml:space="preserve">b) </w:t>
      </w:r>
      <w:r w:rsidR="00EB5541" w:rsidRPr="000713B9">
        <w:t>i</w:t>
      </w:r>
      <w:r w:rsidR="002F0D8E" w:rsidRPr="000713B9">
        <w:t>nclusão de ensaio.</w:t>
      </w:r>
    </w:p>
    <w:p w:rsidR="00B710A1" w:rsidRPr="000713B9" w:rsidRDefault="0037496B" w:rsidP="000713B9">
      <w:pPr>
        <w:tabs>
          <w:tab w:val="num" w:pos="540"/>
        </w:tabs>
        <w:spacing w:after="200"/>
        <w:ind w:firstLine="567"/>
        <w:jc w:val="both"/>
      </w:pPr>
      <w:r w:rsidRPr="000713B9">
        <w:t xml:space="preserve">III. </w:t>
      </w:r>
      <w:r w:rsidR="00EB5541" w:rsidRPr="000713B9">
        <w:t>a</w:t>
      </w:r>
      <w:r w:rsidR="00B710A1" w:rsidRPr="000713B9">
        <w:t>s seguintes exclusões:</w:t>
      </w:r>
    </w:p>
    <w:p w:rsidR="002F0D8E" w:rsidRPr="000713B9" w:rsidRDefault="00C97B65" w:rsidP="000713B9">
      <w:pPr>
        <w:spacing w:after="200"/>
        <w:ind w:firstLine="567"/>
        <w:jc w:val="both"/>
      </w:pPr>
      <w:r w:rsidRPr="000713B9">
        <w:t xml:space="preserve">a) </w:t>
      </w:r>
      <w:r w:rsidR="00EB5541" w:rsidRPr="000713B9">
        <w:t>e</w:t>
      </w:r>
      <w:r w:rsidR="00551F89" w:rsidRPr="000713B9">
        <w:t>xclusão de escopo</w:t>
      </w:r>
      <w:r w:rsidR="002F0D8E" w:rsidRPr="000713B9">
        <w:t>;</w:t>
      </w:r>
      <w:r w:rsidR="004D6FA2" w:rsidRPr="000713B9">
        <w:t xml:space="preserve"> e</w:t>
      </w:r>
    </w:p>
    <w:p w:rsidR="00B710A1" w:rsidRPr="000713B9" w:rsidRDefault="00C97B65" w:rsidP="000713B9">
      <w:pPr>
        <w:spacing w:after="200"/>
        <w:ind w:firstLine="567"/>
        <w:jc w:val="both"/>
      </w:pPr>
      <w:r w:rsidRPr="000713B9">
        <w:t xml:space="preserve">b) </w:t>
      </w:r>
      <w:r w:rsidR="00EB5541" w:rsidRPr="000713B9">
        <w:t>e</w:t>
      </w:r>
      <w:r w:rsidR="002F0D8E" w:rsidRPr="000713B9">
        <w:t>xclusão de ensaio</w:t>
      </w:r>
      <w:r w:rsidR="00551F89" w:rsidRPr="000713B9">
        <w:t xml:space="preserve">. </w:t>
      </w:r>
    </w:p>
    <w:p w:rsidR="00B710A1" w:rsidRPr="000713B9" w:rsidRDefault="00B710A1" w:rsidP="000713B9">
      <w:pPr>
        <w:autoSpaceDE w:val="0"/>
        <w:autoSpaceDN w:val="0"/>
        <w:adjustRightInd w:val="0"/>
        <w:spacing w:after="200"/>
        <w:jc w:val="center"/>
        <w:rPr>
          <w:b/>
        </w:rPr>
      </w:pPr>
      <w:r w:rsidRPr="000713B9">
        <w:rPr>
          <w:b/>
        </w:rPr>
        <w:t>Seção I</w:t>
      </w:r>
    </w:p>
    <w:p w:rsidR="00B710A1" w:rsidRPr="000713B9" w:rsidRDefault="00B710A1" w:rsidP="000713B9">
      <w:pPr>
        <w:keepNext/>
        <w:spacing w:after="200"/>
        <w:jc w:val="center"/>
        <w:outlineLvl w:val="2"/>
        <w:rPr>
          <w:b/>
          <w:bCs/>
        </w:rPr>
      </w:pPr>
      <w:bookmarkStart w:id="14" w:name="_Toc330564195"/>
      <w:bookmarkStart w:id="15" w:name="_Toc397347940"/>
      <w:r w:rsidRPr="000713B9">
        <w:rPr>
          <w:b/>
          <w:bCs/>
        </w:rPr>
        <w:t>Das Alterações</w:t>
      </w:r>
      <w:bookmarkEnd w:id="14"/>
      <w:bookmarkEnd w:id="15"/>
    </w:p>
    <w:p w:rsidR="00B710A1" w:rsidRPr="000713B9" w:rsidRDefault="00B710A1" w:rsidP="000713B9">
      <w:pPr>
        <w:autoSpaceDE w:val="0"/>
        <w:autoSpaceDN w:val="0"/>
        <w:adjustRightInd w:val="0"/>
        <w:spacing w:after="200"/>
        <w:jc w:val="center"/>
        <w:rPr>
          <w:b/>
        </w:rPr>
      </w:pPr>
      <w:r w:rsidRPr="000713B9">
        <w:rPr>
          <w:b/>
        </w:rPr>
        <w:t>Subseção I</w:t>
      </w:r>
    </w:p>
    <w:p w:rsidR="00B710A1" w:rsidRPr="000713B9" w:rsidRDefault="00B710A1" w:rsidP="000713B9">
      <w:pPr>
        <w:keepNext/>
        <w:spacing w:after="200"/>
        <w:ind w:left="180"/>
        <w:jc w:val="center"/>
        <w:outlineLvl w:val="3"/>
        <w:rPr>
          <w:b/>
          <w:bCs/>
        </w:rPr>
      </w:pPr>
      <w:bookmarkStart w:id="16" w:name="_Toc330564196"/>
      <w:bookmarkStart w:id="17" w:name="_Toc397347941"/>
      <w:r w:rsidRPr="000713B9">
        <w:rPr>
          <w:b/>
          <w:bCs/>
        </w:rPr>
        <w:t>Da Alteração de Razão Social</w:t>
      </w:r>
      <w:bookmarkEnd w:id="16"/>
      <w:r w:rsidRPr="000713B9">
        <w:rPr>
          <w:b/>
          <w:bCs/>
        </w:rPr>
        <w:t xml:space="preserve"> ou do Número de Inscrição no Cadastro Nacional de Pessoa Jurídica (CNPJ)</w:t>
      </w:r>
      <w:bookmarkEnd w:id="17"/>
    </w:p>
    <w:p w:rsidR="00B710A1" w:rsidRPr="000713B9" w:rsidRDefault="00993DFE" w:rsidP="000713B9">
      <w:pPr>
        <w:autoSpaceDE w:val="0"/>
        <w:autoSpaceDN w:val="0"/>
        <w:adjustRightInd w:val="0"/>
        <w:spacing w:after="200"/>
        <w:ind w:firstLine="567"/>
        <w:jc w:val="both"/>
      </w:pPr>
      <w:r w:rsidRPr="000713B9">
        <w:t xml:space="preserve">Art. 18 </w:t>
      </w:r>
      <w:r w:rsidR="00B710A1" w:rsidRPr="000713B9">
        <w:t>O disposto nesta Subseção refere-se à modificação do nome devidamente registrado (razão social), do nome fantasia ou do número de inscrição no CNPJ do Centro de Equivalência Farmacêutica, sem que haja qualquer outra modificação pós-habilitação.</w:t>
      </w:r>
    </w:p>
    <w:p w:rsidR="00B710A1" w:rsidRPr="000713B9" w:rsidRDefault="00993DFE" w:rsidP="000713B9">
      <w:pPr>
        <w:autoSpaceDE w:val="0"/>
        <w:autoSpaceDN w:val="0"/>
        <w:adjustRightInd w:val="0"/>
        <w:spacing w:after="200"/>
        <w:ind w:firstLine="567"/>
        <w:jc w:val="both"/>
      </w:pPr>
      <w:r w:rsidRPr="000713B9">
        <w:t xml:space="preserve">Art. 19 </w:t>
      </w:r>
      <w:r w:rsidR="00B710A1" w:rsidRPr="000713B9">
        <w:t>O Centro deve protocolar a petição de “Alteração de Razão Social ou do CNPJ” juntamente com os seguintes documentos, além daqueles listados no artigo 4º desta Resolução:</w:t>
      </w:r>
    </w:p>
    <w:p w:rsidR="00B710A1" w:rsidRPr="000713B9" w:rsidRDefault="00B31122" w:rsidP="000713B9">
      <w:pPr>
        <w:tabs>
          <w:tab w:val="num" w:pos="360"/>
        </w:tabs>
        <w:spacing w:after="200"/>
        <w:ind w:firstLine="567"/>
        <w:jc w:val="both"/>
      </w:pPr>
      <w:r w:rsidRPr="000713B9">
        <w:t xml:space="preserve">I. </w:t>
      </w:r>
      <w:r w:rsidR="00EB5541" w:rsidRPr="000713B9">
        <w:t>c</w:t>
      </w:r>
      <w:r w:rsidR="00B710A1" w:rsidRPr="000713B9">
        <w:t>ópia do contrato social</w:t>
      </w:r>
      <w:r w:rsidR="00E80708" w:rsidRPr="000713B9">
        <w:t>,</w:t>
      </w:r>
      <w:r w:rsidR="00B710A1" w:rsidRPr="000713B9">
        <w:t xml:space="preserve"> da </w:t>
      </w:r>
      <w:r w:rsidR="00E80708" w:rsidRPr="000713B9">
        <w:t>A</w:t>
      </w:r>
      <w:r w:rsidR="00B710A1" w:rsidRPr="000713B9">
        <w:t xml:space="preserve">ta de </w:t>
      </w:r>
      <w:r w:rsidR="00E80708" w:rsidRPr="000713B9">
        <w:t>C</w:t>
      </w:r>
      <w:r w:rsidR="00B710A1" w:rsidRPr="000713B9">
        <w:t xml:space="preserve">onstituição registrada na </w:t>
      </w:r>
      <w:r w:rsidR="00E80708" w:rsidRPr="000713B9">
        <w:t>J</w:t>
      </w:r>
      <w:r w:rsidR="00B710A1" w:rsidRPr="000713B9">
        <w:t xml:space="preserve">unta </w:t>
      </w:r>
      <w:r w:rsidR="00E80708" w:rsidRPr="000713B9">
        <w:t>C</w:t>
      </w:r>
      <w:r w:rsidR="00B710A1" w:rsidRPr="000713B9">
        <w:t>omercial</w:t>
      </w:r>
      <w:r w:rsidR="00E80708" w:rsidRPr="000713B9">
        <w:t xml:space="preserve"> ou do Ato Constitutivo (Lei, Decreto ou Portaria de criação)</w:t>
      </w:r>
      <w:r w:rsidR="00B710A1" w:rsidRPr="000713B9">
        <w:t xml:space="preserve"> atualizados;</w:t>
      </w:r>
    </w:p>
    <w:p w:rsidR="00B710A1" w:rsidRPr="000713B9" w:rsidRDefault="00B31122" w:rsidP="000713B9">
      <w:pPr>
        <w:tabs>
          <w:tab w:val="num" w:pos="360"/>
        </w:tabs>
        <w:spacing w:after="200"/>
        <w:ind w:firstLine="567"/>
        <w:jc w:val="both"/>
      </w:pPr>
      <w:r w:rsidRPr="000713B9">
        <w:t xml:space="preserve">II. </w:t>
      </w:r>
      <w:r w:rsidR="00EB5541" w:rsidRPr="000713B9">
        <w:t>c</w:t>
      </w:r>
      <w:r w:rsidR="00B710A1" w:rsidRPr="000713B9">
        <w:t>ópia do comprovante de inscrição e de situação cadastral no CNPJ atualizadas;</w:t>
      </w:r>
    </w:p>
    <w:p w:rsidR="00B710A1" w:rsidRPr="000713B9" w:rsidRDefault="00B31122" w:rsidP="000713B9">
      <w:pPr>
        <w:tabs>
          <w:tab w:val="num" w:pos="540"/>
        </w:tabs>
        <w:spacing w:after="200"/>
        <w:ind w:firstLine="567"/>
        <w:jc w:val="both"/>
      </w:pPr>
      <w:r w:rsidRPr="000713B9">
        <w:t xml:space="preserve">III. </w:t>
      </w:r>
      <w:r w:rsidR="00EB5541" w:rsidRPr="000713B9">
        <w:t>c</w:t>
      </w:r>
      <w:r w:rsidR="00B710A1" w:rsidRPr="000713B9">
        <w:t>ópia do alvará sanitário</w:t>
      </w:r>
      <w:r w:rsidR="00B710A1" w:rsidRPr="000713B9">
        <w:rPr>
          <w:bCs/>
        </w:rPr>
        <w:t xml:space="preserve"> atualizado</w:t>
      </w:r>
      <w:r w:rsidR="00FF6E07" w:rsidRPr="000713B9">
        <w:rPr>
          <w:bCs/>
        </w:rPr>
        <w:t>, expedido pela Vigilância Sanitária local</w:t>
      </w:r>
      <w:r w:rsidR="00B710A1" w:rsidRPr="000713B9">
        <w:t>; e</w:t>
      </w:r>
    </w:p>
    <w:p w:rsidR="00B710A1" w:rsidRPr="000713B9" w:rsidRDefault="00B31122" w:rsidP="000713B9">
      <w:pPr>
        <w:tabs>
          <w:tab w:val="num" w:pos="567"/>
        </w:tabs>
        <w:spacing w:after="200"/>
        <w:ind w:firstLine="567"/>
        <w:jc w:val="both"/>
      </w:pPr>
      <w:r w:rsidRPr="000713B9">
        <w:t xml:space="preserve">IV. </w:t>
      </w:r>
      <w:r w:rsidR="00EB5541" w:rsidRPr="000713B9">
        <w:t>c</w:t>
      </w:r>
      <w:r w:rsidR="00B710A1" w:rsidRPr="000713B9">
        <w:t>ópia do Certificado de Regularidade ou Termo de Responsabilidade atualizados, emitidos pelo Conselho Regional de Farmácia da jurisdição onde se localiza o Centro.</w:t>
      </w:r>
    </w:p>
    <w:p w:rsidR="00B710A1" w:rsidRPr="000713B9" w:rsidRDefault="00993DFE" w:rsidP="000713B9">
      <w:pPr>
        <w:autoSpaceDE w:val="0"/>
        <w:autoSpaceDN w:val="0"/>
        <w:adjustRightInd w:val="0"/>
        <w:spacing w:after="200"/>
        <w:ind w:firstLine="567"/>
        <w:jc w:val="both"/>
      </w:pPr>
      <w:r w:rsidRPr="000713B9">
        <w:t xml:space="preserve">Art. 20 </w:t>
      </w:r>
      <w:r w:rsidR="00B710A1" w:rsidRPr="000713B9">
        <w:t xml:space="preserve">A alteração de razão social ou do número de inscrição no CNPJ do Centro de Equivalência Farmacêutica </w:t>
      </w:r>
      <w:r w:rsidR="00001E10" w:rsidRPr="000713B9">
        <w:t xml:space="preserve">será </w:t>
      </w:r>
      <w:r w:rsidR="00B710A1" w:rsidRPr="000713B9">
        <w:t>objeto de publicação no DOU.</w:t>
      </w:r>
    </w:p>
    <w:p w:rsidR="00B710A1" w:rsidRPr="000713B9" w:rsidRDefault="00B710A1" w:rsidP="000713B9">
      <w:pPr>
        <w:autoSpaceDE w:val="0"/>
        <w:autoSpaceDN w:val="0"/>
        <w:adjustRightInd w:val="0"/>
        <w:spacing w:after="200"/>
        <w:jc w:val="center"/>
      </w:pPr>
      <w:bookmarkStart w:id="18" w:name="_Toc330564197"/>
      <w:r w:rsidRPr="000713B9">
        <w:rPr>
          <w:b/>
        </w:rPr>
        <w:t>Subseção II</w:t>
      </w:r>
    </w:p>
    <w:p w:rsidR="00B710A1" w:rsidRPr="000713B9" w:rsidRDefault="00B710A1" w:rsidP="000713B9">
      <w:pPr>
        <w:keepNext/>
        <w:spacing w:after="200"/>
        <w:ind w:left="180"/>
        <w:jc w:val="center"/>
        <w:outlineLvl w:val="3"/>
        <w:rPr>
          <w:b/>
          <w:bCs/>
        </w:rPr>
      </w:pPr>
      <w:bookmarkStart w:id="19" w:name="_Toc397347942"/>
      <w:r w:rsidRPr="000713B9">
        <w:rPr>
          <w:b/>
          <w:bCs/>
        </w:rPr>
        <w:t xml:space="preserve">Da Alteração de </w:t>
      </w:r>
      <w:bookmarkEnd w:id="18"/>
      <w:r w:rsidRPr="000713B9">
        <w:rPr>
          <w:b/>
          <w:bCs/>
        </w:rPr>
        <w:t>Local</w:t>
      </w:r>
      <w:bookmarkEnd w:id="19"/>
    </w:p>
    <w:p w:rsidR="00B710A1" w:rsidRPr="000713B9" w:rsidRDefault="00993DFE" w:rsidP="000713B9">
      <w:pPr>
        <w:autoSpaceDE w:val="0"/>
        <w:autoSpaceDN w:val="0"/>
        <w:adjustRightInd w:val="0"/>
        <w:spacing w:after="200"/>
        <w:ind w:firstLine="567"/>
        <w:jc w:val="both"/>
        <w:rPr>
          <w:color w:val="000000"/>
        </w:rPr>
      </w:pPr>
      <w:r w:rsidRPr="000713B9">
        <w:rPr>
          <w:color w:val="000000"/>
        </w:rPr>
        <w:t xml:space="preserve">Art. 21 </w:t>
      </w:r>
      <w:r w:rsidR="00B710A1" w:rsidRPr="000713B9">
        <w:rPr>
          <w:color w:val="000000"/>
        </w:rPr>
        <w:t>O disposto nesta Subseção refere-se à modificação de endereço e, consequentemente, de área física do Centro de Equivalência Farmacêutica, sem qualquer outra modificação pós-habilitação.</w:t>
      </w:r>
    </w:p>
    <w:p w:rsidR="00B710A1" w:rsidRPr="000713B9" w:rsidRDefault="00993DFE" w:rsidP="000713B9">
      <w:pPr>
        <w:autoSpaceDE w:val="0"/>
        <w:autoSpaceDN w:val="0"/>
        <w:adjustRightInd w:val="0"/>
        <w:spacing w:after="200"/>
        <w:ind w:firstLine="567"/>
        <w:jc w:val="both"/>
        <w:rPr>
          <w:color w:val="000000"/>
        </w:rPr>
      </w:pPr>
      <w:r w:rsidRPr="000713B9">
        <w:t xml:space="preserve">Art. 22 </w:t>
      </w:r>
      <w:r w:rsidR="00B710A1" w:rsidRPr="000713B9">
        <w:t>O Centro deve protocolar a petição de “Alteração de Local” juntamente com os seguintes documentos, além daqueles listados no artigo 4º desta Resolução:</w:t>
      </w:r>
    </w:p>
    <w:p w:rsidR="00B710A1" w:rsidRPr="000713B9" w:rsidRDefault="001E7DD0" w:rsidP="000713B9">
      <w:pPr>
        <w:tabs>
          <w:tab w:val="num" w:pos="1817"/>
        </w:tabs>
        <w:spacing w:after="200"/>
        <w:ind w:firstLine="567"/>
        <w:jc w:val="both"/>
      </w:pPr>
      <w:r w:rsidRPr="000713B9">
        <w:t xml:space="preserve">I. </w:t>
      </w:r>
      <w:r w:rsidR="00EB5541" w:rsidRPr="000713B9">
        <w:t>c</w:t>
      </w:r>
      <w:r w:rsidR="008F6CB2" w:rsidRPr="000713B9">
        <w:t>ópia do contrato social, da Ata de Constituição registrada na Junta Comercial ou do Ato Constitutivo (Lei, Decreto ou Portaria de criação) atualizados</w:t>
      </w:r>
      <w:r w:rsidR="00B710A1" w:rsidRPr="000713B9">
        <w:t>;</w:t>
      </w:r>
    </w:p>
    <w:p w:rsidR="00B710A1" w:rsidRPr="000713B9" w:rsidRDefault="001E7DD0" w:rsidP="000713B9">
      <w:pPr>
        <w:tabs>
          <w:tab w:val="num" w:pos="1817"/>
        </w:tabs>
        <w:spacing w:after="200"/>
        <w:ind w:firstLine="567"/>
        <w:jc w:val="both"/>
      </w:pPr>
      <w:r w:rsidRPr="000713B9">
        <w:t xml:space="preserve">II. </w:t>
      </w:r>
      <w:r w:rsidR="00EB5541" w:rsidRPr="000713B9">
        <w:t>c</w:t>
      </w:r>
      <w:r w:rsidR="00B710A1" w:rsidRPr="000713B9">
        <w:t xml:space="preserve">ópia do comprovante de inscrição e de situação cadastral </w:t>
      </w:r>
      <w:r w:rsidR="008F6CB2" w:rsidRPr="000713B9">
        <w:t>n</w:t>
      </w:r>
      <w:r w:rsidR="00B710A1" w:rsidRPr="000713B9">
        <w:t>o CNPJ atualizadas;</w:t>
      </w:r>
    </w:p>
    <w:p w:rsidR="00B710A1" w:rsidRPr="000713B9" w:rsidRDefault="001E7DD0" w:rsidP="000713B9">
      <w:pPr>
        <w:tabs>
          <w:tab w:val="num" w:pos="1817"/>
        </w:tabs>
        <w:spacing w:after="200"/>
        <w:ind w:firstLine="567"/>
        <w:jc w:val="both"/>
      </w:pPr>
      <w:r w:rsidRPr="000713B9">
        <w:t xml:space="preserve">III. </w:t>
      </w:r>
      <w:r w:rsidR="00EB5541" w:rsidRPr="000713B9">
        <w:t>c</w:t>
      </w:r>
      <w:r w:rsidR="00B710A1" w:rsidRPr="000713B9">
        <w:t>ópia do Alvará Sanitário</w:t>
      </w:r>
      <w:r w:rsidR="00B710A1" w:rsidRPr="000713B9">
        <w:rPr>
          <w:bCs/>
        </w:rPr>
        <w:t xml:space="preserve"> atualizado</w:t>
      </w:r>
      <w:r w:rsidR="00C62D4C" w:rsidRPr="000713B9">
        <w:rPr>
          <w:bCs/>
        </w:rPr>
        <w:t>, expedido pela Vigilância Sanitária local</w:t>
      </w:r>
      <w:r w:rsidR="00B710A1" w:rsidRPr="000713B9">
        <w:t>;</w:t>
      </w:r>
    </w:p>
    <w:p w:rsidR="00B710A1" w:rsidRPr="000713B9" w:rsidRDefault="001E7DD0" w:rsidP="000713B9">
      <w:pPr>
        <w:tabs>
          <w:tab w:val="num" w:pos="1817"/>
        </w:tabs>
        <w:spacing w:after="200"/>
        <w:ind w:firstLine="567"/>
        <w:jc w:val="both"/>
      </w:pPr>
      <w:r w:rsidRPr="000713B9">
        <w:t xml:space="preserve">IV. </w:t>
      </w:r>
      <w:r w:rsidR="00EB5541" w:rsidRPr="000713B9">
        <w:t>c</w:t>
      </w:r>
      <w:r w:rsidR="00B710A1" w:rsidRPr="000713B9">
        <w:t>ópia da Licença do Corpo de Bombeiros atualizada;</w:t>
      </w:r>
    </w:p>
    <w:p w:rsidR="00B710A1" w:rsidRPr="000713B9" w:rsidRDefault="001E7DD0" w:rsidP="000713B9">
      <w:pPr>
        <w:tabs>
          <w:tab w:val="num" w:pos="1817"/>
        </w:tabs>
        <w:spacing w:after="200"/>
        <w:ind w:firstLine="567"/>
        <w:jc w:val="both"/>
      </w:pPr>
      <w:r w:rsidRPr="000713B9">
        <w:t xml:space="preserve">V. </w:t>
      </w:r>
      <w:r w:rsidR="00EB5541" w:rsidRPr="000713B9">
        <w:t>c</w:t>
      </w:r>
      <w:r w:rsidR="00B710A1" w:rsidRPr="000713B9">
        <w:t>ópia da Licença Ambiental atualizada;</w:t>
      </w:r>
    </w:p>
    <w:p w:rsidR="00B710A1" w:rsidRPr="000713B9" w:rsidRDefault="001E7DD0" w:rsidP="000713B9">
      <w:pPr>
        <w:tabs>
          <w:tab w:val="num" w:pos="1817"/>
        </w:tabs>
        <w:spacing w:after="200"/>
        <w:ind w:firstLine="567"/>
        <w:jc w:val="both"/>
      </w:pPr>
      <w:r w:rsidRPr="000713B9">
        <w:t xml:space="preserve">VI. </w:t>
      </w:r>
      <w:r w:rsidR="00EB5541" w:rsidRPr="000713B9">
        <w:t>c</w:t>
      </w:r>
      <w:r w:rsidR="00B710A1" w:rsidRPr="000713B9">
        <w:t>ópia do Certificado de Regularidade ou Termo de Responsabilidade atualizados, emitidos pelo Conselho Regional de Farmácia da jurisdição onde se localiza o Centro;</w:t>
      </w:r>
    </w:p>
    <w:p w:rsidR="00B710A1" w:rsidRPr="000713B9" w:rsidRDefault="001E7DD0" w:rsidP="000713B9">
      <w:pPr>
        <w:tabs>
          <w:tab w:val="num" w:pos="1817"/>
        </w:tabs>
        <w:spacing w:after="200"/>
        <w:ind w:firstLine="567"/>
        <w:jc w:val="both"/>
      </w:pPr>
      <w:r w:rsidRPr="000713B9">
        <w:t xml:space="preserve">VII. </w:t>
      </w:r>
      <w:r w:rsidR="00EB5541" w:rsidRPr="000713B9">
        <w:t>c</w:t>
      </w:r>
      <w:r w:rsidR="00B710A1" w:rsidRPr="000713B9">
        <w:t>ópia do contrato atualizado com empresa responsáve</w:t>
      </w:r>
      <w:r w:rsidR="003A525D" w:rsidRPr="000713B9">
        <w:t>l</w:t>
      </w:r>
      <w:r w:rsidR="00B710A1" w:rsidRPr="000713B9">
        <w:t xml:space="preserve"> pelo controle de pragas;</w:t>
      </w:r>
    </w:p>
    <w:p w:rsidR="00B710A1" w:rsidRPr="000713B9" w:rsidRDefault="001E7DD0" w:rsidP="000713B9">
      <w:pPr>
        <w:tabs>
          <w:tab w:val="num" w:pos="737"/>
        </w:tabs>
        <w:spacing w:after="200"/>
        <w:ind w:firstLine="567"/>
        <w:jc w:val="both"/>
      </w:pPr>
      <w:r w:rsidRPr="000713B9">
        <w:t xml:space="preserve">VIII. </w:t>
      </w:r>
      <w:r w:rsidR="00EB5541" w:rsidRPr="000713B9">
        <w:t>c</w:t>
      </w:r>
      <w:r w:rsidR="00B710A1" w:rsidRPr="000713B9">
        <w:t>ópia do contrato atualizado com empresa responsáve</w:t>
      </w:r>
      <w:r w:rsidR="003A525D" w:rsidRPr="000713B9">
        <w:t>l</w:t>
      </w:r>
      <w:r w:rsidR="00B710A1" w:rsidRPr="000713B9">
        <w:t xml:space="preserve"> pelo gerenciamento de resíduos (transporte, coleta, descarte e destinação final de resíduos); e</w:t>
      </w:r>
    </w:p>
    <w:p w:rsidR="00B710A1" w:rsidRPr="000713B9" w:rsidRDefault="001E7DD0" w:rsidP="000713B9">
      <w:pPr>
        <w:tabs>
          <w:tab w:val="num" w:pos="737"/>
        </w:tabs>
        <w:spacing w:after="200"/>
        <w:ind w:firstLine="567"/>
        <w:jc w:val="both"/>
      </w:pPr>
      <w:r w:rsidRPr="000713B9">
        <w:t xml:space="preserve">IX. </w:t>
      </w:r>
      <w:r w:rsidR="00EB5541" w:rsidRPr="000713B9">
        <w:t>p</w:t>
      </w:r>
      <w:r w:rsidR="0086705B" w:rsidRPr="000713B9">
        <w:t>lanta baixa atualizada, indicando:</w:t>
      </w:r>
    </w:p>
    <w:p w:rsidR="00B710A1" w:rsidRPr="000713B9" w:rsidRDefault="001E7DD0" w:rsidP="000713B9">
      <w:pPr>
        <w:spacing w:after="200"/>
        <w:ind w:firstLine="567"/>
        <w:jc w:val="both"/>
      </w:pPr>
      <w:r w:rsidRPr="000713B9">
        <w:t xml:space="preserve">a) </w:t>
      </w:r>
      <w:r w:rsidR="00EB5541" w:rsidRPr="000713B9">
        <w:t>n</w:t>
      </w:r>
      <w:r w:rsidR="00B710A1" w:rsidRPr="000713B9">
        <w:t>omenclatura e localização das salas;</w:t>
      </w:r>
    </w:p>
    <w:p w:rsidR="00B710A1" w:rsidRPr="000713B9" w:rsidRDefault="001E7DD0" w:rsidP="000713B9">
      <w:pPr>
        <w:spacing w:after="200"/>
        <w:ind w:firstLine="567"/>
        <w:jc w:val="both"/>
      </w:pPr>
      <w:r w:rsidRPr="000713B9">
        <w:t>b)</w:t>
      </w:r>
      <w:r w:rsidR="00B710A1" w:rsidRPr="000713B9">
        <w:t xml:space="preserve"> </w:t>
      </w:r>
      <w:r w:rsidR="00EB5541" w:rsidRPr="000713B9">
        <w:t>i</w:t>
      </w:r>
      <w:r w:rsidR="00B710A1" w:rsidRPr="000713B9">
        <w:t xml:space="preserve">dentificação dos equipamento/instrumentos nelas instalados; </w:t>
      </w:r>
      <w:r w:rsidR="004D6FA2" w:rsidRPr="000713B9">
        <w:t>e</w:t>
      </w:r>
    </w:p>
    <w:p w:rsidR="00B710A1" w:rsidRPr="000713B9" w:rsidRDefault="001E7DD0" w:rsidP="000713B9">
      <w:pPr>
        <w:spacing w:after="200"/>
        <w:ind w:firstLine="567"/>
        <w:jc w:val="both"/>
      </w:pPr>
      <w:r w:rsidRPr="000713B9">
        <w:t xml:space="preserve">c) </w:t>
      </w:r>
      <w:r w:rsidR="00EB5541" w:rsidRPr="000713B9">
        <w:t>f</w:t>
      </w:r>
      <w:r w:rsidR="00B710A1" w:rsidRPr="000713B9">
        <w:t>luxo de pessoas, materiais e amostras.</w:t>
      </w:r>
    </w:p>
    <w:p w:rsidR="00B710A1" w:rsidRPr="000713B9" w:rsidRDefault="00993DFE" w:rsidP="000713B9">
      <w:pPr>
        <w:autoSpaceDE w:val="0"/>
        <w:autoSpaceDN w:val="0"/>
        <w:adjustRightInd w:val="0"/>
        <w:spacing w:after="200"/>
        <w:ind w:firstLine="567"/>
        <w:jc w:val="both"/>
      </w:pPr>
      <w:r w:rsidRPr="000713B9">
        <w:t xml:space="preserve">Art. 23 </w:t>
      </w:r>
      <w:r w:rsidR="00B710A1" w:rsidRPr="000713B9">
        <w:t xml:space="preserve">A alteração de local do Centro de Equivalência Farmacêutica </w:t>
      </w:r>
      <w:r w:rsidR="00001E10" w:rsidRPr="000713B9">
        <w:rPr>
          <w:color w:val="000000"/>
        </w:rPr>
        <w:t xml:space="preserve">será </w:t>
      </w:r>
      <w:r w:rsidR="00B710A1" w:rsidRPr="000713B9">
        <w:rPr>
          <w:color w:val="000000"/>
        </w:rPr>
        <w:t xml:space="preserve">objeto de publicação </w:t>
      </w:r>
      <w:r w:rsidR="00B710A1" w:rsidRPr="000713B9">
        <w:t>no DOU.</w:t>
      </w:r>
    </w:p>
    <w:p w:rsidR="00B710A1" w:rsidRPr="000713B9" w:rsidRDefault="000713B9" w:rsidP="000713B9">
      <w:pPr>
        <w:autoSpaceDE w:val="0"/>
        <w:autoSpaceDN w:val="0"/>
        <w:adjustRightInd w:val="0"/>
        <w:spacing w:after="200"/>
        <w:jc w:val="center"/>
        <w:rPr>
          <w:b/>
        </w:rPr>
      </w:pPr>
      <w:r>
        <w:rPr>
          <w:b/>
        </w:rPr>
        <w:t>S</w:t>
      </w:r>
      <w:r w:rsidR="00B710A1" w:rsidRPr="000713B9">
        <w:rPr>
          <w:b/>
        </w:rPr>
        <w:t>ubseção III</w:t>
      </w:r>
    </w:p>
    <w:p w:rsidR="00B710A1" w:rsidRPr="000713B9" w:rsidRDefault="00B710A1" w:rsidP="000713B9">
      <w:pPr>
        <w:keepNext/>
        <w:spacing w:after="200"/>
        <w:jc w:val="center"/>
        <w:outlineLvl w:val="3"/>
        <w:rPr>
          <w:b/>
          <w:bCs/>
        </w:rPr>
      </w:pPr>
      <w:bookmarkStart w:id="20" w:name="_Toc330564213"/>
      <w:bookmarkStart w:id="21" w:name="_Toc397347944"/>
      <w:r w:rsidRPr="000713B9">
        <w:rPr>
          <w:b/>
          <w:bCs/>
        </w:rPr>
        <w:t>Da Alteração de Dados Cadastrais</w:t>
      </w:r>
      <w:bookmarkEnd w:id="20"/>
      <w:bookmarkEnd w:id="21"/>
    </w:p>
    <w:p w:rsidR="00B710A1" w:rsidRPr="000713B9" w:rsidRDefault="00993DFE" w:rsidP="000713B9">
      <w:pPr>
        <w:autoSpaceDE w:val="0"/>
        <w:autoSpaceDN w:val="0"/>
        <w:adjustRightInd w:val="0"/>
        <w:spacing w:after="200"/>
        <w:ind w:firstLine="567"/>
        <w:jc w:val="both"/>
      </w:pPr>
      <w:r w:rsidRPr="000713B9">
        <w:t xml:space="preserve">Art. 24 </w:t>
      </w:r>
      <w:r w:rsidR="00B710A1" w:rsidRPr="000713B9">
        <w:t>O disposto nesta Subseção refere-se à alteração, atualização ou correção da base de dados do Centro, publicados no portal eletrônico da Anvisa, que não impliquem qualquer outra modificação pós-habilitação.</w:t>
      </w:r>
    </w:p>
    <w:p w:rsidR="00B710A1" w:rsidRPr="000713B9" w:rsidRDefault="00993DFE" w:rsidP="000713B9">
      <w:pPr>
        <w:tabs>
          <w:tab w:val="num" w:pos="1872"/>
        </w:tabs>
        <w:autoSpaceDE w:val="0"/>
        <w:autoSpaceDN w:val="0"/>
        <w:adjustRightInd w:val="0"/>
        <w:spacing w:after="200"/>
        <w:ind w:firstLine="567"/>
        <w:jc w:val="both"/>
      </w:pPr>
      <w:r w:rsidRPr="000713B9">
        <w:t xml:space="preserve">Art. 25 </w:t>
      </w:r>
      <w:r w:rsidR="00B710A1" w:rsidRPr="000713B9">
        <w:t>O Centro deve protocolar a petição de “Alteração de Dados Cadastrais”, juntamente com os documentos listados no artigo 4º desta Resolução.</w:t>
      </w:r>
    </w:p>
    <w:p w:rsidR="00B710A1" w:rsidRPr="000713B9" w:rsidRDefault="00993DFE" w:rsidP="000713B9">
      <w:pPr>
        <w:tabs>
          <w:tab w:val="num" w:pos="1872"/>
        </w:tabs>
        <w:autoSpaceDE w:val="0"/>
        <w:autoSpaceDN w:val="0"/>
        <w:adjustRightInd w:val="0"/>
        <w:spacing w:after="200"/>
        <w:ind w:firstLine="567"/>
        <w:jc w:val="both"/>
      </w:pPr>
      <w:r w:rsidRPr="000713B9">
        <w:t xml:space="preserve">Art. 26 </w:t>
      </w:r>
      <w:r w:rsidR="00B710A1" w:rsidRPr="000713B9">
        <w:t>A alteração dos dados cadastrais do Centro de Equivalência Farmacêutica será objeto de publicação no portal eletrônico da Anvisa.</w:t>
      </w:r>
    </w:p>
    <w:p w:rsidR="00B710A1" w:rsidRPr="000713B9" w:rsidRDefault="00B710A1" w:rsidP="000713B9">
      <w:pPr>
        <w:autoSpaceDE w:val="0"/>
        <w:autoSpaceDN w:val="0"/>
        <w:adjustRightInd w:val="0"/>
        <w:spacing w:after="200"/>
        <w:jc w:val="center"/>
        <w:rPr>
          <w:b/>
        </w:rPr>
      </w:pPr>
      <w:r w:rsidRPr="000713B9">
        <w:rPr>
          <w:b/>
        </w:rPr>
        <w:t xml:space="preserve">Subseção </w:t>
      </w:r>
      <w:r w:rsidR="004F67F8" w:rsidRPr="000713B9">
        <w:rPr>
          <w:b/>
        </w:rPr>
        <w:t>I</w:t>
      </w:r>
      <w:r w:rsidRPr="000713B9">
        <w:rPr>
          <w:b/>
        </w:rPr>
        <w:t>V</w:t>
      </w:r>
    </w:p>
    <w:p w:rsidR="00B710A1" w:rsidRPr="000713B9" w:rsidRDefault="00B710A1" w:rsidP="000713B9">
      <w:pPr>
        <w:keepNext/>
        <w:spacing w:after="200"/>
        <w:jc w:val="center"/>
        <w:outlineLvl w:val="3"/>
        <w:rPr>
          <w:b/>
          <w:bCs/>
        </w:rPr>
      </w:pPr>
      <w:bookmarkStart w:id="22" w:name="_Toc330564211"/>
      <w:bookmarkStart w:id="23" w:name="_Toc397347945"/>
      <w:r w:rsidRPr="000713B9">
        <w:rPr>
          <w:b/>
          <w:bCs/>
        </w:rPr>
        <w:t>Da Alteração de Responsável Técnico ou de Responsável Técnico Substituto</w:t>
      </w:r>
      <w:bookmarkEnd w:id="22"/>
      <w:bookmarkEnd w:id="23"/>
    </w:p>
    <w:p w:rsidR="00B710A1" w:rsidRPr="000713B9" w:rsidRDefault="00993DFE" w:rsidP="000713B9">
      <w:pPr>
        <w:tabs>
          <w:tab w:val="num" w:pos="1872"/>
        </w:tabs>
        <w:autoSpaceDE w:val="0"/>
        <w:autoSpaceDN w:val="0"/>
        <w:adjustRightInd w:val="0"/>
        <w:spacing w:after="200"/>
        <w:ind w:firstLine="567"/>
        <w:jc w:val="both"/>
      </w:pPr>
      <w:r w:rsidRPr="000713B9">
        <w:t xml:space="preserve">Art. 27 </w:t>
      </w:r>
      <w:r w:rsidR="00B710A1" w:rsidRPr="000713B9">
        <w:t>O disposto nesta Subseção refere-se à modificação dos farmacêuticos Responsável Técnico ou Responsável Técnico Substituto pelo Centro de Equivalência Farmacêutica sem qualquer outra modificação pós-habilitação.</w:t>
      </w:r>
    </w:p>
    <w:p w:rsidR="00B710A1" w:rsidRPr="000713B9" w:rsidRDefault="00993DFE" w:rsidP="000713B9">
      <w:pPr>
        <w:tabs>
          <w:tab w:val="num" w:pos="1872"/>
        </w:tabs>
        <w:autoSpaceDE w:val="0"/>
        <w:autoSpaceDN w:val="0"/>
        <w:adjustRightInd w:val="0"/>
        <w:spacing w:after="200"/>
        <w:ind w:firstLine="567"/>
        <w:jc w:val="both"/>
      </w:pPr>
      <w:r w:rsidRPr="000713B9">
        <w:t xml:space="preserve">Art. 28 </w:t>
      </w:r>
      <w:r w:rsidR="00B710A1" w:rsidRPr="000713B9">
        <w:t>O Centro deve protocolar a petição de “Alteração de Responsável Técnico ou de Responsável Técnico Substituto” juntamente com os seguintes documentos, além daqueles listados no artigo 4º desta Resolução:</w:t>
      </w:r>
    </w:p>
    <w:p w:rsidR="00B710A1" w:rsidRPr="000713B9" w:rsidRDefault="00B41597" w:rsidP="000713B9">
      <w:pPr>
        <w:spacing w:after="200"/>
        <w:ind w:firstLine="567"/>
        <w:jc w:val="both"/>
      </w:pPr>
      <w:r w:rsidRPr="000713B9">
        <w:t xml:space="preserve">I. </w:t>
      </w:r>
      <w:r w:rsidR="00EB5541" w:rsidRPr="000713B9">
        <w:t>d</w:t>
      </w:r>
      <w:r w:rsidR="00B710A1" w:rsidRPr="000713B9">
        <w:t>eclaração, assinada pelo Responsável Técnico ou Responsável Técnico Substituto destituído, informando a data do afastamento de suas funções e responsabilidades no Centro;</w:t>
      </w:r>
    </w:p>
    <w:p w:rsidR="00B710A1" w:rsidRPr="000713B9" w:rsidRDefault="00B41597" w:rsidP="000713B9">
      <w:pPr>
        <w:spacing w:after="200"/>
        <w:ind w:firstLine="567"/>
        <w:jc w:val="both"/>
      </w:pPr>
      <w:r w:rsidRPr="000713B9">
        <w:t xml:space="preserve">II. </w:t>
      </w:r>
      <w:r w:rsidR="00EB5541" w:rsidRPr="000713B9">
        <w:t>d</w:t>
      </w:r>
      <w:r w:rsidR="00B710A1" w:rsidRPr="000713B9">
        <w:t>eclaração, assinada pelo Responsável Técnico ou Responsável Técnico Substituto empossado, informando a data do início de suas funções e responsabilidades no Centro;</w:t>
      </w:r>
    </w:p>
    <w:p w:rsidR="0077454E" w:rsidRPr="000713B9" w:rsidRDefault="00B41597" w:rsidP="000713B9">
      <w:pPr>
        <w:spacing w:after="200"/>
        <w:ind w:firstLine="567"/>
        <w:jc w:val="both"/>
      </w:pPr>
      <w:r w:rsidRPr="000713B9">
        <w:t xml:space="preserve">III. </w:t>
      </w:r>
      <w:r w:rsidR="00EB5541" w:rsidRPr="000713B9">
        <w:t>c</w:t>
      </w:r>
      <w:r w:rsidR="00B710A1" w:rsidRPr="000713B9">
        <w:t>ópia do curriculum vitae do Responsável Técnico ou Responsável Técnico Substituto empossado, comprovando a sua experiência técnica e operacional, além de descrição de sua capacitação profissional; e</w:t>
      </w:r>
    </w:p>
    <w:p w:rsidR="00B710A1" w:rsidRPr="000713B9" w:rsidRDefault="00B41597" w:rsidP="000713B9">
      <w:pPr>
        <w:spacing w:after="200"/>
        <w:ind w:firstLine="567"/>
        <w:jc w:val="both"/>
      </w:pPr>
      <w:r w:rsidRPr="000713B9">
        <w:t xml:space="preserve">IV. </w:t>
      </w:r>
      <w:r w:rsidR="00EB5541" w:rsidRPr="000713B9">
        <w:t>c</w:t>
      </w:r>
      <w:r w:rsidR="00B710A1" w:rsidRPr="000713B9">
        <w:t>ópia do Certificado de Regularidade ou Termo de Responsabilidade atualizados, emitidos pelo Conselho Regional de Farmácia da jurisdição onde se localiza o Centro.</w:t>
      </w:r>
    </w:p>
    <w:p w:rsidR="00B710A1" w:rsidRPr="000713B9" w:rsidRDefault="00993DFE" w:rsidP="000713B9">
      <w:pPr>
        <w:tabs>
          <w:tab w:val="num" w:pos="1872"/>
        </w:tabs>
        <w:autoSpaceDE w:val="0"/>
        <w:autoSpaceDN w:val="0"/>
        <w:adjustRightInd w:val="0"/>
        <w:spacing w:after="200"/>
        <w:ind w:firstLine="567"/>
        <w:jc w:val="both"/>
      </w:pPr>
      <w:r w:rsidRPr="000713B9">
        <w:t xml:space="preserve">Art. 29 </w:t>
      </w:r>
      <w:r w:rsidR="00B710A1" w:rsidRPr="000713B9">
        <w:t>A alteração de Responsável Técnico ou Responsável Técnico Substituto do Centro de Equivalência Farmacêutica será objeto de publicação no portal eletrônico da Anvisa.</w:t>
      </w:r>
    </w:p>
    <w:p w:rsidR="004F67F8" w:rsidRPr="000713B9" w:rsidRDefault="004F67F8" w:rsidP="000713B9">
      <w:pPr>
        <w:autoSpaceDE w:val="0"/>
        <w:autoSpaceDN w:val="0"/>
        <w:adjustRightInd w:val="0"/>
        <w:spacing w:after="200"/>
        <w:jc w:val="center"/>
        <w:rPr>
          <w:b/>
        </w:rPr>
      </w:pPr>
      <w:r w:rsidRPr="000713B9">
        <w:rPr>
          <w:b/>
        </w:rPr>
        <w:t>Subseção V</w:t>
      </w:r>
    </w:p>
    <w:p w:rsidR="004F67F8" w:rsidRPr="000713B9" w:rsidRDefault="004F67F8" w:rsidP="000713B9">
      <w:pPr>
        <w:autoSpaceDE w:val="0"/>
        <w:autoSpaceDN w:val="0"/>
        <w:adjustRightInd w:val="0"/>
        <w:spacing w:after="200"/>
        <w:jc w:val="center"/>
        <w:rPr>
          <w:b/>
        </w:rPr>
      </w:pPr>
      <w:r w:rsidRPr="000713B9">
        <w:rPr>
          <w:b/>
        </w:rPr>
        <w:t>Da Alteração de Responsável da Qualidade ou de Responsável da Qualidade Substituto</w:t>
      </w:r>
    </w:p>
    <w:p w:rsidR="004F67F8" w:rsidRPr="000713B9" w:rsidRDefault="00993DFE" w:rsidP="000713B9">
      <w:pPr>
        <w:tabs>
          <w:tab w:val="num" w:pos="1872"/>
        </w:tabs>
        <w:autoSpaceDE w:val="0"/>
        <w:autoSpaceDN w:val="0"/>
        <w:adjustRightInd w:val="0"/>
        <w:spacing w:after="200"/>
        <w:ind w:firstLine="567"/>
        <w:jc w:val="both"/>
      </w:pPr>
      <w:r w:rsidRPr="000713B9">
        <w:t xml:space="preserve">Art. 30 </w:t>
      </w:r>
      <w:r w:rsidR="004F67F8" w:rsidRPr="000713B9">
        <w:t>O disposto nesta Subseção refere-se à modificação do Responsável da Qualidade ou do Responsável da Qualidade Substituto do Centro de Equivalência Farmacêutica sem qualquer outra modificação pós-habilitação</w:t>
      </w:r>
    </w:p>
    <w:p w:rsidR="00B710A1" w:rsidRPr="000713B9" w:rsidRDefault="00993DFE" w:rsidP="000713B9">
      <w:pPr>
        <w:tabs>
          <w:tab w:val="num" w:pos="1872"/>
        </w:tabs>
        <w:autoSpaceDE w:val="0"/>
        <w:autoSpaceDN w:val="0"/>
        <w:adjustRightInd w:val="0"/>
        <w:spacing w:after="200"/>
        <w:ind w:firstLine="567"/>
        <w:jc w:val="both"/>
      </w:pPr>
      <w:r w:rsidRPr="000713B9">
        <w:t xml:space="preserve">Art. 31 </w:t>
      </w:r>
      <w:r w:rsidR="00B710A1" w:rsidRPr="000713B9">
        <w:t>O Centro deve protocolar a petição de “Alteração de Responsável da Qualidade ou de Responsável da Qualidade Substituto” juntamente com os seguintes documentos, além daqueles listados no artigo 4º desta Resolução:</w:t>
      </w:r>
    </w:p>
    <w:p w:rsidR="00B710A1" w:rsidRPr="000713B9" w:rsidRDefault="0013726F" w:rsidP="000713B9">
      <w:pPr>
        <w:spacing w:after="200"/>
        <w:ind w:firstLine="567"/>
        <w:jc w:val="both"/>
      </w:pPr>
      <w:r w:rsidRPr="000713B9">
        <w:t xml:space="preserve">I. </w:t>
      </w:r>
      <w:r w:rsidR="00EB5541" w:rsidRPr="000713B9">
        <w:t>d</w:t>
      </w:r>
      <w:r w:rsidR="00B710A1" w:rsidRPr="000713B9">
        <w:t>eclaração, assinada pelo Responsável da Qualidade ou Responsável da Qualidade Substituto destituído, informando a data do afastamento de suas funções e responsabilidades no Centro;</w:t>
      </w:r>
    </w:p>
    <w:p w:rsidR="00B710A1" w:rsidRPr="000713B9" w:rsidRDefault="0013726F" w:rsidP="000713B9">
      <w:pPr>
        <w:spacing w:after="200"/>
        <w:ind w:firstLine="567"/>
        <w:jc w:val="both"/>
      </w:pPr>
      <w:r w:rsidRPr="000713B9">
        <w:t xml:space="preserve">II. </w:t>
      </w:r>
      <w:r w:rsidR="00EB5541" w:rsidRPr="000713B9">
        <w:t>d</w:t>
      </w:r>
      <w:r w:rsidR="00B710A1" w:rsidRPr="000713B9">
        <w:t>eclaração, assinada pelo Responsável da Qualidade ou Responsável da Qualidade Substituto empossado, informando a data do início de suas funções e responsabilidades no Centro; e</w:t>
      </w:r>
    </w:p>
    <w:p w:rsidR="00B710A1" w:rsidRPr="000713B9" w:rsidRDefault="0013726F" w:rsidP="000713B9">
      <w:pPr>
        <w:spacing w:after="200"/>
        <w:ind w:firstLine="567"/>
        <w:jc w:val="both"/>
      </w:pPr>
      <w:r w:rsidRPr="000713B9">
        <w:t xml:space="preserve">III. </w:t>
      </w:r>
      <w:r w:rsidR="00EB5541" w:rsidRPr="000713B9">
        <w:t>c</w:t>
      </w:r>
      <w:r w:rsidR="00B710A1" w:rsidRPr="000713B9">
        <w:t xml:space="preserve">ópia do </w:t>
      </w:r>
      <w:r w:rsidR="00B710A1" w:rsidRPr="000713B9">
        <w:rPr>
          <w:i/>
        </w:rPr>
        <w:t>curriculum vitae</w:t>
      </w:r>
      <w:r w:rsidR="00B710A1" w:rsidRPr="000713B9">
        <w:t xml:space="preserve"> do Responsável da Qualidade ou substituto empossado, comprovando sua experiência técnica e operacional, além de descrição de sua capacitação profissional. </w:t>
      </w:r>
    </w:p>
    <w:p w:rsidR="00B710A1" w:rsidRPr="000713B9" w:rsidRDefault="00993DFE" w:rsidP="000713B9">
      <w:pPr>
        <w:tabs>
          <w:tab w:val="num" w:pos="1872"/>
        </w:tabs>
        <w:autoSpaceDE w:val="0"/>
        <w:autoSpaceDN w:val="0"/>
        <w:adjustRightInd w:val="0"/>
        <w:spacing w:after="200"/>
        <w:ind w:firstLine="567"/>
        <w:jc w:val="both"/>
      </w:pPr>
      <w:r w:rsidRPr="000713B9">
        <w:t xml:space="preserve">Art. 32 </w:t>
      </w:r>
      <w:r w:rsidR="00B710A1" w:rsidRPr="000713B9">
        <w:t>A alteração de Responsável da Qualidade ou</w:t>
      </w:r>
      <w:r w:rsidR="00B710A1" w:rsidRPr="000713B9">
        <w:rPr>
          <w:color w:val="000000"/>
        </w:rPr>
        <w:t xml:space="preserve"> de Responsável da Qualidade Substituto </w:t>
      </w:r>
      <w:r w:rsidR="00B710A1" w:rsidRPr="000713B9">
        <w:t>do Centro de Equivalência Farmacêutica será objeto de publicação no portal eletrônico da Anvisa.</w:t>
      </w:r>
    </w:p>
    <w:p w:rsidR="000713B9" w:rsidRDefault="000713B9" w:rsidP="000713B9">
      <w:pPr>
        <w:autoSpaceDE w:val="0"/>
        <w:autoSpaceDN w:val="0"/>
        <w:adjustRightInd w:val="0"/>
        <w:spacing w:after="200"/>
        <w:jc w:val="center"/>
        <w:rPr>
          <w:b/>
        </w:rPr>
      </w:pPr>
    </w:p>
    <w:p w:rsidR="000713B9" w:rsidRDefault="000713B9" w:rsidP="000713B9">
      <w:pPr>
        <w:autoSpaceDE w:val="0"/>
        <w:autoSpaceDN w:val="0"/>
        <w:adjustRightInd w:val="0"/>
        <w:spacing w:after="200"/>
        <w:jc w:val="center"/>
        <w:rPr>
          <w:b/>
        </w:rPr>
      </w:pPr>
    </w:p>
    <w:p w:rsidR="000713B9" w:rsidRDefault="000713B9" w:rsidP="000713B9">
      <w:pPr>
        <w:autoSpaceDE w:val="0"/>
        <w:autoSpaceDN w:val="0"/>
        <w:adjustRightInd w:val="0"/>
        <w:spacing w:after="200"/>
        <w:jc w:val="center"/>
        <w:rPr>
          <w:b/>
        </w:rPr>
      </w:pPr>
    </w:p>
    <w:p w:rsidR="000713B9" w:rsidRDefault="000713B9" w:rsidP="000713B9">
      <w:pPr>
        <w:autoSpaceDE w:val="0"/>
        <w:autoSpaceDN w:val="0"/>
        <w:adjustRightInd w:val="0"/>
        <w:spacing w:after="200"/>
        <w:jc w:val="center"/>
        <w:rPr>
          <w:b/>
        </w:rPr>
      </w:pPr>
    </w:p>
    <w:p w:rsidR="00B710A1" w:rsidRPr="000713B9" w:rsidRDefault="00B710A1" w:rsidP="000713B9">
      <w:pPr>
        <w:autoSpaceDE w:val="0"/>
        <w:autoSpaceDN w:val="0"/>
        <w:adjustRightInd w:val="0"/>
        <w:spacing w:after="200"/>
        <w:jc w:val="center"/>
        <w:rPr>
          <w:b/>
        </w:rPr>
      </w:pPr>
      <w:r w:rsidRPr="000713B9">
        <w:rPr>
          <w:b/>
        </w:rPr>
        <w:t>Seção II</w:t>
      </w:r>
    </w:p>
    <w:p w:rsidR="00B710A1" w:rsidRPr="000713B9" w:rsidRDefault="00B710A1" w:rsidP="000713B9">
      <w:pPr>
        <w:keepNext/>
        <w:spacing w:after="200"/>
        <w:jc w:val="center"/>
        <w:outlineLvl w:val="2"/>
        <w:rPr>
          <w:b/>
          <w:bCs/>
        </w:rPr>
      </w:pPr>
      <w:bookmarkStart w:id="24" w:name="_Toc330564199"/>
      <w:bookmarkStart w:id="25" w:name="_Toc397347947"/>
      <w:r w:rsidRPr="000713B9">
        <w:rPr>
          <w:b/>
          <w:bCs/>
        </w:rPr>
        <w:t>Das Inclusões</w:t>
      </w:r>
      <w:bookmarkEnd w:id="24"/>
      <w:bookmarkEnd w:id="25"/>
    </w:p>
    <w:p w:rsidR="00B710A1" w:rsidRPr="000713B9" w:rsidRDefault="00B710A1" w:rsidP="000713B9">
      <w:pPr>
        <w:autoSpaceDE w:val="0"/>
        <w:autoSpaceDN w:val="0"/>
        <w:adjustRightInd w:val="0"/>
        <w:spacing w:after="200"/>
        <w:jc w:val="center"/>
        <w:rPr>
          <w:b/>
        </w:rPr>
      </w:pPr>
      <w:r w:rsidRPr="000713B9">
        <w:rPr>
          <w:b/>
        </w:rPr>
        <w:t>Subseção I</w:t>
      </w:r>
    </w:p>
    <w:p w:rsidR="00B710A1" w:rsidRPr="000713B9" w:rsidRDefault="00B710A1" w:rsidP="000713B9">
      <w:pPr>
        <w:keepNext/>
        <w:spacing w:after="200"/>
        <w:jc w:val="center"/>
        <w:outlineLvl w:val="3"/>
        <w:rPr>
          <w:b/>
          <w:bCs/>
        </w:rPr>
      </w:pPr>
      <w:bookmarkStart w:id="26" w:name="_Toc330564201"/>
      <w:bookmarkStart w:id="27" w:name="_Toc397347950"/>
      <w:r w:rsidRPr="000713B9">
        <w:rPr>
          <w:b/>
          <w:bCs/>
        </w:rPr>
        <w:t xml:space="preserve">Da Inclusão de </w:t>
      </w:r>
      <w:bookmarkEnd w:id="26"/>
      <w:r w:rsidRPr="000713B9">
        <w:rPr>
          <w:b/>
          <w:bCs/>
        </w:rPr>
        <w:t>Escopo</w:t>
      </w:r>
      <w:bookmarkEnd w:id="27"/>
    </w:p>
    <w:p w:rsidR="00B710A1" w:rsidRPr="000713B9" w:rsidRDefault="00993DFE" w:rsidP="000713B9">
      <w:pPr>
        <w:tabs>
          <w:tab w:val="num" w:pos="1872"/>
        </w:tabs>
        <w:autoSpaceDE w:val="0"/>
        <w:autoSpaceDN w:val="0"/>
        <w:adjustRightInd w:val="0"/>
        <w:spacing w:after="200"/>
        <w:ind w:firstLine="567"/>
        <w:jc w:val="both"/>
      </w:pPr>
      <w:r w:rsidRPr="000713B9">
        <w:t xml:space="preserve">Art. 33 </w:t>
      </w:r>
      <w:r w:rsidR="00B710A1" w:rsidRPr="000713B9">
        <w:t>O disposto nesta Subseção refere-se à inclusão de um novo escopo à habilitação do Cent</w:t>
      </w:r>
      <w:r w:rsidR="00BB2190" w:rsidRPr="000713B9">
        <w:t>ro de Equivalência Farmacêutica</w:t>
      </w:r>
      <w:r w:rsidR="00B710A1" w:rsidRPr="000713B9">
        <w:t xml:space="preserve">, </w:t>
      </w:r>
      <w:r w:rsidR="00AE056E" w:rsidRPr="000713B9">
        <w:t xml:space="preserve">com inclusão de ensaios, </w:t>
      </w:r>
      <w:r w:rsidR="00B710A1" w:rsidRPr="000713B9">
        <w:t>sem implicar qualquer outra modificação pós-habilitação.</w:t>
      </w:r>
    </w:p>
    <w:p w:rsidR="00B710A1" w:rsidRPr="000713B9" w:rsidRDefault="00B710A1" w:rsidP="000713B9">
      <w:pPr>
        <w:spacing w:after="200"/>
        <w:ind w:firstLine="567"/>
        <w:jc w:val="both"/>
      </w:pPr>
      <w:r w:rsidRPr="000713B9">
        <w:t xml:space="preserve">Parágrafo único. O Centro deve ter infraestrutura adequada e capacidade técnica e operacional para realizar todos os ensaios do </w:t>
      </w:r>
      <w:r w:rsidRPr="000713B9">
        <w:rPr>
          <w:color w:val="000000"/>
        </w:rPr>
        <w:t>escopo, objeto da petição,</w:t>
      </w:r>
      <w:r w:rsidRPr="000713B9">
        <w:t xml:space="preserve"> conforme disposto na lista de escopos mínimos disponibilizada no portal eletrônico da Anvisa.</w:t>
      </w:r>
    </w:p>
    <w:p w:rsidR="00B710A1" w:rsidRPr="000713B9" w:rsidRDefault="00993DFE" w:rsidP="000713B9">
      <w:pPr>
        <w:tabs>
          <w:tab w:val="num" w:pos="1872"/>
        </w:tabs>
        <w:autoSpaceDE w:val="0"/>
        <w:autoSpaceDN w:val="0"/>
        <w:adjustRightInd w:val="0"/>
        <w:spacing w:after="200"/>
        <w:ind w:firstLine="567"/>
        <w:jc w:val="both"/>
      </w:pPr>
      <w:r w:rsidRPr="000713B9">
        <w:t xml:space="preserve">Art. 34 </w:t>
      </w:r>
      <w:r w:rsidR="00B710A1" w:rsidRPr="000713B9">
        <w:t>O Centro de Equivalência Farmacêutica deve protocolar a petição de “Inclusão de Escopo”, juntamente com os seguintes documentos, além daqueles listados no artigo 4º desta Resolução:</w:t>
      </w:r>
    </w:p>
    <w:p w:rsidR="00B710A1" w:rsidRPr="000713B9" w:rsidRDefault="008E0B84" w:rsidP="000713B9">
      <w:pPr>
        <w:spacing w:after="200"/>
        <w:ind w:firstLine="567"/>
        <w:jc w:val="both"/>
      </w:pPr>
      <w:r w:rsidRPr="000713B9">
        <w:t xml:space="preserve">I. </w:t>
      </w:r>
      <w:r w:rsidR="00EB5541" w:rsidRPr="000713B9">
        <w:t>l</w:t>
      </w:r>
      <w:r w:rsidR="00B710A1" w:rsidRPr="000713B9">
        <w:t xml:space="preserve">ista de POPs relacionados ao escopo </w:t>
      </w:r>
      <w:r w:rsidR="00B710A1" w:rsidRPr="000713B9">
        <w:rPr>
          <w:color w:val="000000"/>
        </w:rPr>
        <w:t>objeto da petição</w:t>
      </w:r>
      <w:r w:rsidR="00B710A1" w:rsidRPr="000713B9">
        <w:t>, e respectivo comprovante</w:t>
      </w:r>
      <w:r w:rsidR="0077454E" w:rsidRPr="000713B9">
        <w:t xml:space="preserve"> </w:t>
      </w:r>
      <w:r w:rsidR="00B710A1" w:rsidRPr="000713B9">
        <w:t>de treinamento dos funcionários e analistas envolvidos, informando ainda o código de identificação, título, versão, data de aprovação/vigência dos POPs;</w:t>
      </w:r>
    </w:p>
    <w:p w:rsidR="00B710A1" w:rsidRPr="000713B9" w:rsidRDefault="008E0B84" w:rsidP="000713B9">
      <w:pPr>
        <w:tabs>
          <w:tab w:val="num" w:pos="737"/>
        </w:tabs>
        <w:spacing w:after="200"/>
        <w:ind w:firstLine="567"/>
        <w:jc w:val="both"/>
      </w:pPr>
      <w:r w:rsidRPr="000713B9">
        <w:t xml:space="preserve">II. </w:t>
      </w:r>
      <w:r w:rsidR="00EB5541" w:rsidRPr="000713B9">
        <w:t>l</w:t>
      </w:r>
      <w:r w:rsidR="00B710A1" w:rsidRPr="000713B9">
        <w:t xml:space="preserve">ista de equipamentos/instrumentos relacionados ao escopo, </w:t>
      </w:r>
      <w:r w:rsidR="00B710A1" w:rsidRPr="000713B9">
        <w:rPr>
          <w:color w:val="000000"/>
        </w:rPr>
        <w:t>objeto da petição</w:t>
      </w:r>
      <w:r w:rsidR="00B710A1" w:rsidRPr="000713B9">
        <w:t>, informando a marca/modelo, o número ou código de identificação (</w:t>
      </w:r>
      <w:r w:rsidR="002323F4" w:rsidRPr="000713B9">
        <w:t>etiqueta</w:t>
      </w:r>
      <w:r w:rsidR="00B710A1" w:rsidRPr="000713B9">
        <w:t>), o número do certificado, a data e validade da calibração/qualificação;</w:t>
      </w:r>
    </w:p>
    <w:p w:rsidR="00B710A1" w:rsidRPr="000713B9" w:rsidRDefault="008E0B84" w:rsidP="000713B9">
      <w:pPr>
        <w:spacing w:after="200"/>
        <w:ind w:firstLine="567"/>
        <w:jc w:val="both"/>
      </w:pPr>
      <w:r w:rsidRPr="000713B9">
        <w:t xml:space="preserve">III. </w:t>
      </w:r>
      <w:r w:rsidR="00EB5541" w:rsidRPr="000713B9">
        <w:t>l</w:t>
      </w:r>
      <w:r w:rsidR="00B710A1" w:rsidRPr="000713B9">
        <w:t xml:space="preserve">ista de POPs relacionados ao </w:t>
      </w:r>
      <w:r w:rsidR="00B710A1" w:rsidRPr="000713B9">
        <w:rPr>
          <w:bCs/>
        </w:rPr>
        <w:t xml:space="preserve">uso, limpeza, manutenção, calibração, qualificação e verificação dos </w:t>
      </w:r>
      <w:r w:rsidR="00B710A1" w:rsidRPr="000713B9">
        <w:t xml:space="preserve">equipamentos/instrumentos relacionados aos escopos, </w:t>
      </w:r>
      <w:r w:rsidR="00B710A1" w:rsidRPr="000713B9">
        <w:rPr>
          <w:color w:val="000000"/>
        </w:rPr>
        <w:t>objeto da petição,</w:t>
      </w:r>
      <w:r w:rsidR="00B710A1" w:rsidRPr="000713B9">
        <w:t xml:space="preserve"> e respectivos comprovantes de treinamento dos funcionários e analistas envolvidos, informando ainda o código de identificação, título, versão, data de aprovação/vigência dos POPs; </w:t>
      </w:r>
    </w:p>
    <w:p w:rsidR="00B710A1" w:rsidRPr="000713B9" w:rsidRDefault="008E0B84" w:rsidP="000713B9">
      <w:pPr>
        <w:spacing w:after="200"/>
        <w:ind w:firstLine="567"/>
        <w:jc w:val="both"/>
      </w:pPr>
      <w:r w:rsidRPr="000713B9">
        <w:t xml:space="preserve">IV. </w:t>
      </w:r>
      <w:r w:rsidR="00EB5541" w:rsidRPr="000713B9">
        <w:t>c</w:t>
      </w:r>
      <w:r w:rsidR="00B710A1" w:rsidRPr="000713B9">
        <w:t xml:space="preserve">omprovação da instalação dos equipamentos/instrumentos relacionados aos escopos </w:t>
      </w:r>
      <w:r w:rsidR="00B710A1" w:rsidRPr="000713B9">
        <w:rPr>
          <w:color w:val="000000"/>
        </w:rPr>
        <w:t>objeto da petição em local apropriado</w:t>
      </w:r>
      <w:r w:rsidR="00B710A1" w:rsidRPr="000713B9">
        <w:t>, como, por exemplo, com a indicação de sua instalação na planta baixa do Centro e fotografias do local de instalação; e</w:t>
      </w:r>
    </w:p>
    <w:p w:rsidR="00B710A1" w:rsidRPr="000713B9" w:rsidRDefault="008E0B84" w:rsidP="000713B9">
      <w:pPr>
        <w:spacing w:after="200"/>
        <w:ind w:firstLine="567"/>
        <w:jc w:val="both"/>
      </w:pPr>
      <w:r w:rsidRPr="000713B9">
        <w:t xml:space="preserve">V. </w:t>
      </w:r>
      <w:r w:rsidR="00F6602F" w:rsidRPr="000713B9">
        <w:t>T</w:t>
      </w:r>
      <w:r w:rsidR="00B710A1" w:rsidRPr="000713B9">
        <w:t>ermos de Responsabilidade dispostos nos Anexos I e II desta Resolução, devidamente preenchidos e assinados pelo Responsável Técnico do Centro.</w:t>
      </w:r>
    </w:p>
    <w:p w:rsidR="0077454E" w:rsidRPr="000713B9" w:rsidRDefault="00993DFE" w:rsidP="000713B9">
      <w:pPr>
        <w:tabs>
          <w:tab w:val="num" w:pos="1872"/>
        </w:tabs>
        <w:autoSpaceDE w:val="0"/>
        <w:autoSpaceDN w:val="0"/>
        <w:adjustRightInd w:val="0"/>
        <w:spacing w:after="200"/>
        <w:ind w:firstLine="567"/>
        <w:jc w:val="both"/>
      </w:pPr>
      <w:r w:rsidRPr="000713B9">
        <w:t xml:space="preserve">Art. 35 </w:t>
      </w:r>
      <w:r w:rsidR="008E4F6D" w:rsidRPr="000713B9">
        <w:t xml:space="preserve">As alterações de equipamentos ou instrumentos em Centros de Equivalência Farmacêutica habilitados que não impliquem em inclusão de escopo não necessitarão de avaliação prévia e deverão ser informadas à Anvisa semestralmente através da submissão </w:t>
      </w:r>
      <w:r w:rsidR="002323F4" w:rsidRPr="000713B9">
        <w:t xml:space="preserve">à </w:t>
      </w:r>
      <w:r w:rsidR="008E4F6D" w:rsidRPr="000713B9">
        <w:t xml:space="preserve">Coordenação de Equivalência Terapêutica (CETER) de mídia eletrônica </w:t>
      </w:r>
      <w:r w:rsidR="002323F4" w:rsidRPr="000713B9">
        <w:t>que tra</w:t>
      </w:r>
      <w:r w:rsidR="00B73D43" w:rsidRPr="000713B9">
        <w:t>g</w:t>
      </w:r>
      <w:r w:rsidR="002323F4" w:rsidRPr="000713B9">
        <w:t>a uma</w:t>
      </w:r>
      <w:r w:rsidR="008E4F6D" w:rsidRPr="000713B9">
        <w:t xml:space="preserve"> tabela de Excel </w:t>
      </w:r>
      <w:r w:rsidR="00226DEF" w:rsidRPr="000713B9">
        <w:t xml:space="preserve">contendo: </w:t>
      </w:r>
    </w:p>
    <w:p w:rsidR="0077454E" w:rsidRPr="000713B9" w:rsidRDefault="00D71F49" w:rsidP="000713B9">
      <w:pPr>
        <w:autoSpaceDE w:val="0"/>
        <w:autoSpaceDN w:val="0"/>
        <w:adjustRightInd w:val="0"/>
        <w:spacing w:after="200"/>
        <w:ind w:firstLine="567"/>
        <w:jc w:val="both"/>
      </w:pPr>
      <w:r w:rsidRPr="000713B9">
        <w:t xml:space="preserve">I. </w:t>
      </w:r>
      <w:r w:rsidR="00EB5541" w:rsidRPr="000713B9">
        <w:t>d</w:t>
      </w:r>
      <w:r w:rsidR="00226DEF" w:rsidRPr="000713B9">
        <w:t xml:space="preserve">escrição do equipamento/instrumento; </w:t>
      </w:r>
    </w:p>
    <w:p w:rsidR="0077454E" w:rsidRPr="000713B9" w:rsidRDefault="00D71F49" w:rsidP="000713B9">
      <w:pPr>
        <w:autoSpaceDE w:val="0"/>
        <w:autoSpaceDN w:val="0"/>
        <w:adjustRightInd w:val="0"/>
        <w:spacing w:after="200"/>
        <w:ind w:firstLine="567"/>
        <w:jc w:val="both"/>
      </w:pPr>
      <w:r w:rsidRPr="000713B9">
        <w:t xml:space="preserve">II. </w:t>
      </w:r>
      <w:r w:rsidR="00EB5541" w:rsidRPr="000713B9">
        <w:t>m</w:t>
      </w:r>
      <w:r w:rsidR="00226DEF" w:rsidRPr="000713B9">
        <w:t xml:space="preserve">odelo; </w:t>
      </w:r>
    </w:p>
    <w:p w:rsidR="0077454E" w:rsidRPr="000713B9" w:rsidRDefault="00D71F49" w:rsidP="000713B9">
      <w:pPr>
        <w:autoSpaceDE w:val="0"/>
        <w:autoSpaceDN w:val="0"/>
        <w:adjustRightInd w:val="0"/>
        <w:spacing w:after="200"/>
        <w:ind w:firstLine="567"/>
        <w:jc w:val="both"/>
      </w:pPr>
      <w:r w:rsidRPr="000713B9">
        <w:t xml:space="preserve">III. </w:t>
      </w:r>
      <w:r w:rsidR="00EB5541" w:rsidRPr="000713B9">
        <w:t>m</w:t>
      </w:r>
      <w:r w:rsidR="00226DEF" w:rsidRPr="000713B9">
        <w:t xml:space="preserve">arca; </w:t>
      </w:r>
    </w:p>
    <w:p w:rsidR="0077454E" w:rsidRPr="000713B9" w:rsidRDefault="00D71F49" w:rsidP="000713B9">
      <w:pPr>
        <w:autoSpaceDE w:val="0"/>
        <w:autoSpaceDN w:val="0"/>
        <w:adjustRightInd w:val="0"/>
        <w:spacing w:after="200"/>
        <w:ind w:firstLine="567"/>
        <w:jc w:val="both"/>
      </w:pPr>
      <w:r w:rsidRPr="000713B9">
        <w:t xml:space="preserve">IV. </w:t>
      </w:r>
      <w:r w:rsidR="00EB5541" w:rsidRPr="000713B9">
        <w:t>e</w:t>
      </w:r>
      <w:r w:rsidR="00226DEF" w:rsidRPr="000713B9">
        <w:t>nsaio a ser realizado com tal equipamento/instr</w:t>
      </w:r>
      <w:r w:rsidR="00E47117" w:rsidRPr="000713B9">
        <w:t>u</w:t>
      </w:r>
      <w:r w:rsidR="00226DEF" w:rsidRPr="000713B9">
        <w:t xml:space="preserve">mento; </w:t>
      </w:r>
      <w:r w:rsidR="00EB5541" w:rsidRPr="000713B9">
        <w:t>e</w:t>
      </w:r>
    </w:p>
    <w:p w:rsidR="008E4F6D" w:rsidRPr="000713B9" w:rsidRDefault="00D71F49" w:rsidP="000713B9">
      <w:pPr>
        <w:autoSpaceDE w:val="0"/>
        <w:autoSpaceDN w:val="0"/>
        <w:adjustRightInd w:val="0"/>
        <w:spacing w:after="200"/>
        <w:ind w:firstLine="567"/>
        <w:jc w:val="both"/>
      </w:pPr>
      <w:r w:rsidRPr="000713B9">
        <w:t xml:space="preserve">V. </w:t>
      </w:r>
      <w:r w:rsidR="00EB5541" w:rsidRPr="000713B9">
        <w:t>d</w:t>
      </w:r>
      <w:r w:rsidR="00226DEF" w:rsidRPr="000713B9">
        <w:t>ata da última calibração do equipamento/instrumento.</w:t>
      </w:r>
    </w:p>
    <w:p w:rsidR="00B710A1" w:rsidRPr="000713B9" w:rsidRDefault="00993DFE" w:rsidP="000713B9">
      <w:pPr>
        <w:tabs>
          <w:tab w:val="num" w:pos="1872"/>
        </w:tabs>
        <w:autoSpaceDE w:val="0"/>
        <w:autoSpaceDN w:val="0"/>
        <w:adjustRightInd w:val="0"/>
        <w:spacing w:after="200"/>
        <w:ind w:firstLine="567"/>
        <w:jc w:val="both"/>
      </w:pPr>
      <w:r w:rsidRPr="000713B9">
        <w:t xml:space="preserve">Art. 36 </w:t>
      </w:r>
      <w:r w:rsidR="00B710A1" w:rsidRPr="000713B9">
        <w:t xml:space="preserve">A inclusão de escopo </w:t>
      </w:r>
      <w:r w:rsidR="00001E10" w:rsidRPr="000713B9">
        <w:t xml:space="preserve">será </w:t>
      </w:r>
      <w:r w:rsidR="00B710A1" w:rsidRPr="000713B9">
        <w:t>objeto de publicação no DOU.</w:t>
      </w:r>
    </w:p>
    <w:p w:rsidR="00AE056E" w:rsidRPr="000713B9" w:rsidRDefault="00AE056E" w:rsidP="000713B9">
      <w:pPr>
        <w:autoSpaceDE w:val="0"/>
        <w:autoSpaceDN w:val="0"/>
        <w:adjustRightInd w:val="0"/>
        <w:spacing w:after="200"/>
        <w:jc w:val="center"/>
        <w:rPr>
          <w:b/>
        </w:rPr>
      </w:pPr>
      <w:r w:rsidRPr="000713B9">
        <w:rPr>
          <w:b/>
        </w:rPr>
        <w:t>Subseção I</w:t>
      </w:r>
      <w:r w:rsidR="00E055DB" w:rsidRPr="000713B9">
        <w:rPr>
          <w:b/>
        </w:rPr>
        <w:t>I</w:t>
      </w:r>
    </w:p>
    <w:p w:rsidR="00AE056E" w:rsidRPr="000713B9" w:rsidRDefault="00AE056E" w:rsidP="000713B9">
      <w:pPr>
        <w:keepNext/>
        <w:spacing w:after="200"/>
        <w:jc w:val="center"/>
        <w:outlineLvl w:val="3"/>
        <w:rPr>
          <w:b/>
          <w:bCs/>
        </w:rPr>
      </w:pPr>
      <w:r w:rsidRPr="000713B9">
        <w:rPr>
          <w:b/>
          <w:bCs/>
        </w:rPr>
        <w:t>Da Inclusão de Ensaio</w:t>
      </w:r>
    </w:p>
    <w:p w:rsidR="00AE056E" w:rsidRPr="000713B9" w:rsidRDefault="00993DFE" w:rsidP="000713B9">
      <w:pPr>
        <w:tabs>
          <w:tab w:val="num" w:pos="1872"/>
        </w:tabs>
        <w:autoSpaceDE w:val="0"/>
        <w:autoSpaceDN w:val="0"/>
        <w:adjustRightInd w:val="0"/>
        <w:spacing w:after="200"/>
        <w:ind w:firstLine="567"/>
        <w:jc w:val="both"/>
      </w:pPr>
      <w:r w:rsidRPr="000713B9">
        <w:rPr>
          <w:color w:val="000000"/>
        </w:rPr>
        <w:t xml:space="preserve">Art. 37 </w:t>
      </w:r>
      <w:r w:rsidR="00AE056E" w:rsidRPr="000713B9">
        <w:rPr>
          <w:color w:val="000000"/>
        </w:rPr>
        <w:t>O disposto nesta Subseção refere-se à inclusão de ensaios a um escopo já habilitado do Centro de Equivalência Farmacêutica, sem implicar qualquer outra modificação pós-habilitação.</w:t>
      </w:r>
    </w:p>
    <w:p w:rsidR="0077454E" w:rsidRPr="000713B9" w:rsidRDefault="00057BCC" w:rsidP="000713B9">
      <w:pPr>
        <w:autoSpaceDE w:val="0"/>
        <w:autoSpaceDN w:val="0"/>
        <w:adjustRightInd w:val="0"/>
        <w:spacing w:after="200"/>
        <w:ind w:firstLine="567"/>
        <w:jc w:val="both"/>
        <w:rPr>
          <w:color w:val="000000"/>
        </w:rPr>
      </w:pPr>
      <w:r w:rsidRPr="000713B9">
        <w:rPr>
          <w:color w:val="000000"/>
        </w:rPr>
        <w:t>Parágrafo único. O Centro deve ter infraestrutura adequada e capacidade técnica e operacional para realizar os ensaios que pretende adicionar aos escopos nos quai</w:t>
      </w:r>
      <w:r w:rsidR="00786184" w:rsidRPr="000713B9">
        <w:rPr>
          <w:color w:val="000000"/>
        </w:rPr>
        <w:t>s</w:t>
      </w:r>
      <w:r w:rsidRPr="000713B9">
        <w:rPr>
          <w:color w:val="000000"/>
        </w:rPr>
        <w:t xml:space="preserve"> já é habilitado.</w:t>
      </w:r>
    </w:p>
    <w:p w:rsidR="006F0692" w:rsidRPr="000713B9" w:rsidRDefault="00993DFE" w:rsidP="000713B9">
      <w:pPr>
        <w:tabs>
          <w:tab w:val="num" w:pos="1872"/>
        </w:tabs>
        <w:autoSpaceDE w:val="0"/>
        <w:autoSpaceDN w:val="0"/>
        <w:adjustRightInd w:val="0"/>
        <w:spacing w:after="200"/>
        <w:ind w:firstLine="567"/>
        <w:jc w:val="both"/>
      </w:pPr>
      <w:r w:rsidRPr="000713B9">
        <w:rPr>
          <w:color w:val="000000"/>
        </w:rPr>
        <w:t xml:space="preserve">Art. 38 </w:t>
      </w:r>
      <w:r w:rsidR="00057BCC" w:rsidRPr="000713B9">
        <w:rPr>
          <w:color w:val="000000"/>
        </w:rPr>
        <w:t>O Centro deve protocolar a petição de “Inclusão de Ensaio” juntamente com os seguintes documentos, além daqueles listados no artigo 4º desta Resolução</w:t>
      </w:r>
      <w:r w:rsidR="00057BCC" w:rsidRPr="000713B9">
        <w:t>:</w:t>
      </w:r>
    </w:p>
    <w:p w:rsidR="00057BCC" w:rsidRPr="000713B9" w:rsidRDefault="005A76E2" w:rsidP="000713B9">
      <w:pPr>
        <w:autoSpaceDE w:val="0"/>
        <w:autoSpaceDN w:val="0"/>
        <w:adjustRightInd w:val="0"/>
        <w:spacing w:after="200"/>
        <w:ind w:firstLine="567"/>
        <w:jc w:val="both"/>
      </w:pPr>
      <w:r w:rsidRPr="000713B9">
        <w:t xml:space="preserve">I. </w:t>
      </w:r>
      <w:r w:rsidR="00EB5541" w:rsidRPr="000713B9">
        <w:t>l</w:t>
      </w:r>
      <w:r w:rsidR="00057BCC" w:rsidRPr="000713B9">
        <w:t>ista de POP</w:t>
      </w:r>
      <w:r w:rsidR="003A5473" w:rsidRPr="000713B9">
        <w:t>s</w:t>
      </w:r>
      <w:r w:rsidR="00057BCC" w:rsidRPr="000713B9">
        <w:t xml:space="preserve"> relacionados ao ensaio objeto da petição, e respectivo comprovante de treinamento dos funcionários e analistas envolvidos, informando ainda código de identificação, título, versão, data de aprovação/vigência dos POPs;</w:t>
      </w:r>
      <w:r w:rsidR="004D6FA2" w:rsidRPr="000713B9">
        <w:t xml:space="preserve"> e</w:t>
      </w:r>
    </w:p>
    <w:p w:rsidR="00057BCC" w:rsidRPr="000713B9" w:rsidRDefault="005A76E2" w:rsidP="000713B9">
      <w:pPr>
        <w:autoSpaceDE w:val="0"/>
        <w:autoSpaceDN w:val="0"/>
        <w:adjustRightInd w:val="0"/>
        <w:spacing w:after="200"/>
        <w:ind w:firstLine="567"/>
        <w:jc w:val="both"/>
      </w:pPr>
      <w:r w:rsidRPr="000713B9">
        <w:t xml:space="preserve">II. </w:t>
      </w:r>
      <w:r w:rsidR="00EB5541" w:rsidRPr="000713B9">
        <w:t>l</w:t>
      </w:r>
      <w:r w:rsidR="00057BCC" w:rsidRPr="000713B9">
        <w:t>ista de equipamentos/instrumentos relacionados aos ensaios objeto da petição, informando marca/modelo, número ou código de identificação (</w:t>
      </w:r>
      <w:r w:rsidR="00183098" w:rsidRPr="000713B9">
        <w:t>etiqueta</w:t>
      </w:r>
      <w:r w:rsidR="00057BCC" w:rsidRPr="000713B9">
        <w:t>) e número do certificado, data e validade da calibração/qualificação.</w:t>
      </w:r>
    </w:p>
    <w:p w:rsidR="00057BCC" w:rsidRPr="000713B9" w:rsidRDefault="00993DFE" w:rsidP="000713B9">
      <w:pPr>
        <w:autoSpaceDE w:val="0"/>
        <w:autoSpaceDN w:val="0"/>
        <w:adjustRightInd w:val="0"/>
        <w:spacing w:after="200"/>
        <w:ind w:firstLine="567"/>
        <w:jc w:val="both"/>
      </w:pPr>
      <w:r w:rsidRPr="000713B9">
        <w:rPr>
          <w:color w:val="000000"/>
        </w:rPr>
        <w:t xml:space="preserve">Art. 39 </w:t>
      </w:r>
      <w:r w:rsidR="00057BCC" w:rsidRPr="000713B9">
        <w:rPr>
          <w:color w:val="000000"/>
        </w:rPr>
        <w:t xml:space="preserve">A inclusão de ensaio do Centro de Equivalência Farmacêutica será objeto de publicação no portal eletrônico da Anvisa. </w:t>
      </w:r>
    </w:p>
    <w:p w:rsidR="00B710A1" w:rsidRPr="000713B9" w:rsidRDefault="00B710A1" w:rsidP="000713B9">
      <w:pPr>
        <w:autoSpaceDE w:val="0"/>
        <w:autoSpaceDN w:val="0"/>
        <w:adjustRightInd w:val="0"/>
        <w:spacing w:after="200"/>
        <w:jc w:val="center"/>
        <w:rPr>
          <w:b/>
        </w:rPr>
      </w:pPr>
      <w:r w:rsidRPr="000713B9">
        <w:rPr>
          <w:b/>
        </w:rPr>
        <w:t>Seção III</w:t>
      </w:r>
    </w:p>
    <w:p w:rsidR="00B710A1" w:rsidRPr="000713B9" w:rsidRDefault="00B710A1" w:rsidP="000713B9">
      <w:pPr>
        <w:keepNext/>
        <w:spacing w:after="200"/>
        <w:jc w:val="center"/>
        <w:outlineLvl w:val="2"/>
        <w:rPr>
          <w:b/>
          <w:bCs/>
        </w:rPr>
      </w:pPr>
      <w:bookmarkStart w:id="28" w:name="_Toc397347952"/>
      <w:r w:rsidRPr="000713B9">
        <w:rPr>
          <w:b/>
          <w:bCs/>
        </w:rPr>
        <w:t>Das Exclusões</w:t>
      </w:r>
      <w:bookmarkEnd w:id="28"/>
    </w:p>
    <w:p w:rsidR="0096713A" w:rsidRPr="000713B9" w:rsidRDefault="00993DFE" w:rsidP="000713B9">
      <w:pPr>
        <w:autoSpaceDE w:val="0"/>
        <w:autoSpaceDN w:val="0"/>
        <w:adjustRightInd w:val="0"/>
        <w:spacing w:after="200"/>
        <w:ind w:firstLine="567"/>
        <w:jc w:val="both"/>
      </w:pPr>
      <w:r w:rsidRPr="000713B9">
        <w:rPr>
          <w:color w:val="000000"/>
        </w:rPr>
        <w:t xml:space="preserve">Art. 40 </w:t>
      </w:r>
      <w:r w:rsidR="00B710A1" w:rsidRPr="000713B9">
        <w:rPr>
          <w:color w:val="000000"/>
        </w:rPr>
        <w:t xml:space="preserve">É vedado o início ou a continuação de estudos de equivalência farmacêutica ou de perfil de dissolução comparativo, cujos escopos </w:t>
      </w:r>
      <w:r w:rsidR="00731347" w:rsidRPr="000713B9">
        <w:rPr>
          <w:color w:val="000000"/>
        </w:rPr>
        <w:t xml:space="preserve">ou ensaios </w:t>
      </w:r>
      <w:r w:rsidR="00B710A1" w:rsidRPr="000713B9">
        <w:rPr>
          <w:color w:val="000000"/>
        </w:rPr>
        <w:t>tiverem sido excluídos.</w:t>
      </w:r>
    </w:p>
    <w:p w:rsidR="000713B9" w:rsidRDefault="000713B9" w:rsidP="000713B9">
      <w:pPr>
        <w:autoSpaceDE w:val="0"/>
        <w:autoSpaceDN w:val="0"/>
        <w:adjustRightInd w:val="0"/>
        <w:spacing w:after="200"/>
        <w:ind w:firstLine="567"/>
        <w:jc w:val="center"/>
        <w:rPr>
          <w:b/>
        </w:rPr>
      </w:pPr>
    </w:p>
    <w:p w:rsidR="000713B9" w:rsidRDefault="000713B9" w:rsidP="000713B9">
      <w:pPr>
        <w:autoSpaceDE w:val="0"/>
        <w:autoSpaceDN w:val="0"/>
        <w:adjustRightInd w:val="0"/>
        <w:spacing w:after="200"/>
        <w:ind w:firstLine="567"/>
        <w:jc w:val="center"/>
        <w:rPr>
          <w:b/>
        </w:rPr>
      </w:pPr>
    </w:p>
    <w:p w:rsidR="000713B9" w:rsidRDefault="000713B9" w:rsidP="000713B9">
      <w:pPr>
        <w:autoSpaceDE w:val="0"/>
        <w:autoSpaceDN w:val="0"/>
        <w:adjustRightInd w:val="0"/>
        <w:spacing w:after="200"/>
        <w:ind w:firstLine="567"/>
        <w:jc w:val="center"/>
        <w:rPr>
          <w:b/>
        </w:rPr>
      </w:pPr>
    </w:p>
    <w:p w:rsidR="00B710A1" w:rsidRPr="000713B9" w:rsidRDefault="00E20F72" w:rsidP="000713B9">
      <w:pPr>
        <w:autoSpaceDE w:val="0"/>
        <w:autoSpaceDN w:val="0"/>
        <w:adjustRightInd w:val="0"/>
        <w:spacing w:after="200"/>
        <w:jc w:val="center"/>
        <w:rPr>
          <w:b/>
        </w:rPr>
      </w:pPr>
      <w:r w:rsidRPr="000713B9">
        <w:rPr>
          <w:b/>
        </w:rPr>
        <w:t>Subseção I</w:t>
      </w:r>
    </w:p>
    <w:p w:rsidR="00B710A1" w:rsidRPr="000713B9" w:rsidRDefault="00B710A1" w:rsidP="000713B9">
      <w:pPr>
        <w:keepNext/>
        <w:spacing w:after="200"/>
        <w:jc w:val="center"/>
        <w:outlineLvl w:val="3"/>
        <w:rPr>
          <w:b/>
          <w:bCs/>
        </w:rPr>
      </w:pPr>
      <w:bookmarkStart w:id="29" w:name="_Toc330564205"/>
      <w:bookmarkStart w:id="30" w:name="_Toc397347954"/>
      <w:r w:rsidRPr="000713B9">
        <w:rPr>
          <w:b/>
          <w:bCs/>
        </w:rPr>
        <w:t>Da Exclusão de Escopo</w:t>
      </w:r>
      <w:bookmarkEnd w:id="29"/>
      <w:bookmarkEnd w:id="30"/>
    </w:p>
    <w:p w:rsidR="00B710A1" w:rsidRPr="000713B9" w:rsidRDefault="004A5A9B" w:rsidP="000713B9">
      <w:pPr>
        <w:tabs>
          <w:tab w:val="num" w:pos="1872"/>
        </w:tabs>
        <w:autoSpaceDE w:val="0"/>
        <w:autoSpaceDN w:val="0"/>
        <w:adjustRightInd w:val="0"/>
        <w:spacing w:after="200"/>
        <w:ind w:firstLine="567"/>
        <w:jc w:val="both"/>
      </w:pPr>
      <w:r w:rsidRPr="000713B9">
        <w:rPr>
          <w:color w:val="000000"/>
        </w:rPr>
        <w:t xml:space="preserve">Art. 41 </w:t>
      </w:r>
      <w:r w:rsidR="00B710A1" w:rsidRPr="000713B9">
        <w:rPr>
          <w:color w:val="000000"/>
        </w:rPr>
        <w:t>O disposto nesta Subseção refere-se à exclusão de escopo da habilitação do Centro de Equivalência Farmacêutica, sem implicar qualquer outra modificação pós-habilitação.</w:t>
      </w:r>
    </w:p>
    <w:p w:rsidR="00B710A1" w:rsidRPr="000713B9" w:rsidRDefault="005A76E2" w:rsidP="000713B9">
      <w:pPr>
        <w:spacing w:after="200"/>
        <w:ind w:firstLine="567"/>
        <w:jc w:val="both"/>
        <w:rPr>
          <w:color w:val="000000"/>
        </w:rPr>
      </w:pPr>
      <w:r w:rsidRPr="000713B9">
        <w:t xml:space="preserve">§1° </w:t>
      </w:r>
      <w:r w:rsidR="00B710A1" w:rsidRPr="000713B9">
        <w:t>A exclusão de todos os escopos habilitados do Centro de Equivalência Farmacêutica gera o cancelamento de sua habilitação.</w:t>
      </w:r>
    </w:p>
    <w:p w:rsidR="00B710A1" w:rsidRPr="000713B9" w:rsidRDefault="005A76E2" w:rsidP="000713B9">
      <w:pPr>
        <w:spacing w:after="200"/>
        <w:ind w:firstLine="567"/>
        <w:jc w:val="both"/>
        <w:rPr>
          <w:color w:val="000000"/>
        </w:rPr>
      </w:pPr>
      <w:r w:rsidRPr="000713B9">
        <w:t xml:space="preserve">§2° </w:t>
      </w:r>
      <w:r w:rsidR="00B710A1" w:rsidRPr="000713B9">
        <w:t>A exclusão de todos os escopos mínimos habilitados do Centro de Equivalência Farmacêutica gera o cancelamento de sua habilitação.</w:t>
      </w:r>
    </w:p>
    <w:p w:rsidR="00B710A1" w:rsidRPr="000713B9" w:rsidRDefault="004A5A9B" w:rsidP="000713B9">
      <w:pPr>
        <w:tabs>
          <w:tab w:val="num" w:pos="1872"/>
        </w:tabs>
        <w:autoSpaceDE w:val="0"/>
        <w:autoSpaceDN w:val="0"/>
        <w:adjustRightInd w:val="0"/>
        <w:spacing w:after="200"/>
        <w:ind w:firstLine="567"/>
        <w:jc w:val="both"/>
        <w:rPr>
          <w:color w:val="000000"/>
        </w:rPr>
      </w:pPr>
      <w:r w:rsidRPr="000713B9">
        <w:t xml:space="preserve">Art. 42 </w:t>
      </w:r>
      <w:r w:rsidR="00B710A1" w:rsidRPr="000713B9">
        <w:t>O Centro deve protocolar a petição de “Exclusão de Escopo”, juntamente com os documentos listados no artigo 4º desta Resolução.</w:t>
      </w:r>
    </w:p>
    <w:p w:rsidR="00B710A1" w:rsidRPr="000713B9" w:rsidRDefault="004A5A9B" w:rsidP="000713B9">
      <w:pPr>
        <w:tabs>
          <w:tab w:val="num" w:pos="1872"/>
        </w:tabs>
        <w:autoSpaceDE w:val="0"/>
        <w:autoSpaceDN w:val="0"/>
        <w:adjustRightInd w:val="0"/>
        <w:spacing w:after="200"/>
        <w:ind w:firstLine="567"/>
        <w:jc w:val="both"/>
        <w:rPr>
          <w:color w:val="000000"/>
        </w:rPr>
      </w:pPr>
      <w:r w:rsidRPr="000713B9">
        <w:rPr>
          <w:color w:val="000000"/>
        </w:rPr>
        <w:t xml:space="preserve">Art. 43 </w:t>
      </w:r>
      <w:r w:rsidR="00B710A1" w:rsidRPr="000713B9">
        <w:rPr>
          <w:color w:val="000000"/>
        </w:rPr>
        <w:t>A exclusão de escopo será objeto de publicação no DOU.</w:t>
      </w:r>
    </w:p>
    <w:p w:rsidR="00E20F72" w:rsidRPr="000713B9" w:rsidRDefault="00E20F72" w:rsidP="000713B9">
      <w:pPr>
        <w:autoSpaceDE w:val="0"/>
        <w:autoSpaceDN w:val="0"/>
        <w:adjustRightInd w:val="0"/>
        <w:spacing w:after="200"/>
        <w:jc w:val="center"/>
        <w:rPr>
          <w:b/>
        </w:rPr>
      </w:pPr>
      <w:r w:rsidRPr="000713B9">
        <w:rPr>
          <w:b/>
        </w:rPr>
        <w:t>Subseção II</w:t>
      </w:r>
    </w:p>
    <w:p w:rsidR="00E20F72" w:rsidRPr="000713B9" w:rsidRDefault="00E20F72" w:rsidP="000713B9">
      <w:pPr>
        <w:autoSpaceDE w:val="0"/>
        <w:autoSpaceDN w:val="0"/>
        <w:adjustRightInd w:val="0"/>
        <w:spacing w:after="200"/>
        <w:jc w:val="center"/>
        <w:rPr>
          <w:b/>
        </w:rPr>
      </w:pPr>
      <w:r w:rsidRPr="000713B9">
        <w:rPr>
          <w:b/>
        </w:rPr>
        <w:t>Da Exclusão de Ensaio</w:t>
      </w:r>
    </w:p>
    <w:p w:rsidR="00E20F72" w:rsidRPr="000713B9" w:rsidRDefault="004A5A9B" w:rsidP="000713B9">
      <w:pPr>
        <w:tabs>
          <w:tab w:val="num" w:pos="1872"/>
        </w:tabs>
        <w:autoSpaceDE w:val="0"/>
        <w:autoSpaceDN w:val="0"/>
        <w:adjustRightInd w:val="0"/>
        <w:spacing w:after="200"/>
        <w:ind w:firstLine="567"/>
        <w:jc w:val="both"/>
        <w:rPr>
          <w:color w:val="000000"/>
        </w:rPr>
      </w:pPr>
      <w:r w:rsidRPr="000713B9">
        <w:rPr>
          <w:color w:val="000000"/>
        </w:rPr>
        <w:t xml:space="preserve">Art. 44 </w:t>
      </w:r>
      <w:r w:rsidR="00046764" w:rsidRPr="000713B9">
        <w:rPr>
          <w:color w:val="000000"/>
        </w:rPr>
        <w:t>O disposto nesta Subseção refere-se à exclusão de ensaio habilitado para um determinado escopo do Centro de Equivalência Farmacêutica, incluindo seus respectivos equipamentos/instrumentos, sem implicar qualquer outra modificação pós-habilitação.</w:t>
      </w:r>
    </w:p>
    <w:p w:rsidR="002B0F67" w:rsidRPr="000713B9" w:rsidRDefault="005A76E2" w:rsidP="000713B9">
      <w:pPr>
        <w:tabs>
          <w:tab w:val="left" w:pos="709"/>
        </w:tabs>
        <w:autoSpaceDE w:val="0"/>
        <w:autoSpaceDN w:val="0"/>
        <w:adjustRightInd w:val="0"/>
        <w:spacing w:after="200"/>
        <w:ind w:firstLine="567"/>
        <w:jc w:val="both"/>
        <w:rPr>
          <w:color w:val="000000"/>
        </w:rPr>
      </w:pPr>
      <w:r w:rsidRPr="000713B9">
        <w:t xml:space="preserve">§1° </w:t>
      </w:r>
      <w:r w:rsidR="002B0F67" w:rsidRPr="000713B9">
        <w:t>A exclusão de todos os ensaios, e seus respectivos equipamentos/instrumentos, habilitados para um determinado escopo do Centro de Equivalência Farmacêutica gera o cancelamento desse escopo.</w:t>
      </w:r>
    </w:p>
    <w:p w:rsidR="002B0F67" w:rsidRPr="000713B9" w:rsidRDefault="005A76E2" w:rsidP="000713B9">
      <w:pPr>
        <w:tabs>
          <w:tab w:val="left" w:pos="709"/>
        </w:tabs>
        <w:autoSpaceDE w:val="0"/>
        <w:autoSpaceDN w:val="0"/>
        <w:adjustRightInd w:val="0"/>
        <w:spacing w:after="200"/>
        <w:ind w:firstLine="567"/>
        <w:jc w:val="both"/>
        <w:rPr>
          <w:color w:val="000000"/>
        </w:rPr>
      </w:pPr>
      <w:r w:rsidRPr="000713B9">
        <w:t xml:space="preserve">§2° </w:t>
      </w:r>
      <w:r w:rsidR="002B0F67" w:rsidRPr="000713B9">
        <w:t xml:space="preserve">A exclusão de qualquer ensaio e </w:t>
      </w:r>
      <w:r w:rsidR="00700F66" w:rsidRPr="000713B9">
        <w:t xml:space="preserve">de </w:t>
      </w:r>
      <w:r w:rsidR="002B0F67" w:rsidRPr="000713B9">
        <w:t>seus respectivos equipamentos/instrumentos habilitados para um determinado escopo mínimo do Centro de Equivalência Farmacêutica gera o cancelamento desse escopo</w:t>
      </w:r>
      <w:r w:rsidR="003A5473" w:rsidRPr="000713B9">
        <w:t>.</w:t>
      </w:r>
    </w:p>
    <w:p w:rsidR="002B0F67" w:rsidRPr="000713B9" w:rsidRDefault="004A5A9B" w:rsidP="000713B9">
      <w:pPr>
        <w:tabs>
          <w:tab w:val="num" w:pos="1872"/>
        </w:tabs>
        <w:autoSpaceDE w:val="0"/>
        <w:autoSpaceDN w:val="0"/>
        <w:adjustRightInd w:val="0"/>
        <w:spacing w:after="200"/>
        <w:ind w:firstLine="567"/>
        <w:jc w:val="both"/>
        <w:rPr>
          <w:color w:val="000000"/>
        </w:rPr>
      </w:pPr>
      <w:r w:rsidRPr="000713B9">
        <w:rPr>
          <w:color w:val="000000"/>
        </w:rPr>
        <w:t xml:space="preserve">Art. 45 </w:t>
      </w:r>
      <w:r w:rsidR="002B0F67" w:rsidRPr="000713B9">
        <w:rPr>
          <w:color w:val="000000"/>
        </w:rPr>
        <w:t>O Centro deve protocolar a petição de “Exclusão de Ensaio”, juntamente com os documentos listados no artigo 4º desta Resolução.</w:t>
      </w:r>
    </w:p>
    <w:p w:rsidR="002B0F67" w:rsidRPr="000713B9" w:rsidRDefault="004A5A9B" w:rsidP="000713B9">
      <w:pPr>
        <w:tabs>
          <w:tab w:val="num" w:pos="1872"/>
        </w:tabs>
        <w:autoSpaceDE w:val="0"/>
        <w:autoSpaceDN w:val="0"/>
        <w:adjustRightInd w:val="0"/>
        <w:spacing w:after="200"/>
        <w:ind w:firstLine="567"/>
        <w:jc w:val="both"/>
        <w:rPr>
          <w:color w:val="000000"/>
        </w:rPr>
      </w:pPr>
      <w:r w:rsidRPr="000713B9">
        <w:rPr>
          <w:color w:val="000000"/>
        </w:rPr>
        <w:t xml:space="preserve">Art. 46 </w:t>
      </w:r>
      <w:r w:rsidR="002B0F67" w:rsidRPr="000713B9">
        <w:rPr>
          <w:color w:val="000000"/>
        </w:rPr>
        <w:t>A exclusão de ensaio do Centro de Equivalência Farmacêutica será objeto de publicação no portal eletrônico da Anvisa.</w:t>
      </w:r>
    </w:p>
    <w:p w:rsidR="000713B9" w:rsidRDefault="000713B9" w:rsidP="000713B9">
      <w:pPr>
        <w:autoSpaceDE w:val="0"/>
        <w:autoSpaceDN w:val="0"/>
        <w:adjustRightInd w:val="0"/>
        <w:spacing w:after="200"/>
        <w:ind w:firstLine="567"/>
        <w:jc w:val="center"/>
        <w:rPr>
          <w:b/>
          <w:smallCaps/>
        </w:rPr>
      </w:pPr>
    </w:p>
    <w:p w:rsidR="000713B9" w:rsidRDefault="000713B9" w:rsidP="000713B9">
      <w:pPr>
        <w:autoSpaceDE w:val="0"/>
        <w:autoSpaceDN w:val="0"/>
        <w:adjustRightInd w:val="0"/>
        <w:spacing w:after="200"/>
        <w:ind w:firstLine="567"/>
        <w:jc w:val="center"/>
        <w:rPr>
          <w:b/>
          <w:smallCaps/>
        </w:rPr>
      </w:pPr>
    </w:p>
    <w:p w:rsidR="000713B9" w:rsidRDefault="000713B9" w:rsidP="000713B9">
      <w:pPr>
        <w:autoSpaceDE w:val="0"/>
        <w:autoSpaceDN w:val="0"/>
        <w:adjustRightInd w:val="0"/>
        <w:spacing w:after="200"/>
        <w:ind w:firstLine="567"/>
        <w:jc w:val="center"/>
        <w:rPr>
          <w:b/>
          <w:smallCaps/>
        </w:rPr>
      </w:pPr>
    </w:p>
    <w:p w:rsidR="000713B9" w:rsidRDefault="000713B9" w:rsidP="000713B9">
      <w:pPr>
        <w:autoSpaceDE w:val="0"/>
        <w:autoSpaceDN w:val="0"/>
        <w:adjustRightInd w:val="0"/>
        <w:spacing w:after="200"/>
        <w:ind w:firstLine="567"/>
        <w:jc w:val="center"/>
        <w:rPr>
          <w:b/>
          <w:smallCaps/>
        </w:rPr>
      </w:pPr>
    </w:p>
    <w:p w:rsidR="00B710A1" w:rsidRPr="000713B9" w:rsidRDefault="00B710A1" w:rsidP="000713B9">
      <w:pPr>
        <w:autoSpaceDE w:val="0"/>
        <w:autoSpaceDN w:val="0"/>
        <w:adjustRightInd w:val="0"/>
        <w:spacing w:after="200"/>
        <w:jc w:val="center"/>
        <w:rPr>
          <w:b/>
        </w:rPr>
      </w:pPr>
      <w:r w:rsidRPr="000713B9">
        <w:rPr>
          <w:b/>
          <w:smallCaps/>
        </w:rPr>
        <w:t>Capítulo</w:t>
      </w:r>
      <w:r w:rsidRPr="000713B9">
        <w:rPr>
          <w:b/>
        </w:rPr>
        <w:t xml:space="preserve"> IV</w:t>
      </w:r>
    </w:p>
    <w:p w:rsidR="00B710A1" w:rsidRPr="000713B9" w:rsidRDefault="00B710A1" w:rsidP="000713B9">
      <w:pPr>
        <w:keepNext/>
        <w:spacing w:after="200"/>
        <w:jc w:val="center"/>
        <w:outlineLvl w:val="1"/>
        <w:rPr>
          <w:b/>
          <w:bCs/>
          <w:iCs/>
          <w:smallCaps/>
        </w:rPr>
      </w:pPr>
      <w:bookmarkStart w:id="31" w:name="_Toc397347956"/>
      <w:r w:rsidRPr="000713B9">
        <w:rPr>
          <w:b/>
          <w:bCs/>
          <w:iCs/>
          <w:smallCaps/>
        </w:rPr>
        <w:t>Da Terceirização de Ensaio de Equivalência Farmacêutica</w:t>
      </w:r>
      <w:bookmarkEnd w:id="31"/>
    </w:p>
    <w:p w:rsidR="00B710A1" w:rsidRPr="000713B9" w:rsidRDefault="004A5A9B" w:rsidP="000713B9">
      <w:pPr>
        <w:tabs>
          <w:tab w:val="num" w:pos="1872"/>
        </w:tabs>
        <w:autoSpaceDE w:val="0"/>
        <w:autoSpaceDN w:val="0"/>
        <w:adjustRightInd w:val="0"/>
        <w:spacing w:after="200"/>
        <w:ind w:firstLine="567"/>
        <w:jc w:val="both"/>
      </w:pPr>
      <w:r w:rsidRPr="000713B9">
        <w:t xml:space="preserve">Art. 47 </w:t>
      </w:r>
      <w:r w:rsidR="007D3D62" w:rsidRPr="000713B9">
        <w:t xml:space="preserve">Para a </w:t>
      </w:r>
      <w:r w:rsidR="00B710A1" w:rsidRPr="000713B9">
        <w:t>terceirização de ensaio de equivalência farmacêutica deve</w:t>
      </w:r>
      <w:r w:rsidR="007D3D62" w:rsidRPr="000713B9">
        <w:t>m</w:t>
      </w:r>
      <w:r w:rsidR="00B710A1" w:rsidRPr="000713B9">
        <w:t xml:space="preserve"> ser </w:t>
      </w:r>
      <w:r w:rsidR="007D3D62" w:rsidRPr="000713B9">
        <w:t xml:space="preserve">bem estabelecidos os deveres e as responsabilidades </w:t>
      </w:r>
      <w:r w:rsidR="00B710A1" w:rsidRPr="000713B9">
        <w:t>entre</w:t>
      </w:r>
      <w:r w:rsidR="007D3D62" w:rsidRPr="000713B9">
        <w:t xml:space="preserve"> a parte contratante</w:t>
      </w:r>
      <w:r w:rsidR="00B710A1" w:rsidRPr="000713B9">
        <w:t xml:space="preserve"> </w:t>
      </w:r>
      <w:r w:rsidR="007D3D62" w:rsidRPr="000713B9">
        <w:t>(</w:t>
      </w:r>
      <w:r w:rsidR="00700F66" w:rsidRPr="000713B9">
        <w:t xml:space="preserve">Centro de Equivalência </w:t>
      </w:r>
      <w:r w:rsidR="00B710A1" w:rsidRPr="000713B9">
        <w:t>responsável pelo estudo</w:t>
      </w:r>
      <w:r w:rsidR="007D3D62" w:rsidRPr="000713B9">
        <w:t>)</w:t>
      </w:r>
      <w:r w:rsidR="00B710A1" w:rsidRPr="000713B9">
        <w:t xml:space="preserve"> e</w:t>
      </w:r>
      <w:r w:rsidR="007D3D62" w:rsidRPr="000713B9">
        <w:t xml:space="preserve"> parte contratada (</w:t>
      </w:r>
      <w:r w:rsidR="00B710A1" w:rsidRPr="000713B9">
        <w:t>outro Centro de Equivalência Farmacêutica</w:t>
      </w:r>
      <w:r w:rsidR="007D3D62" w:rsidRPr="000713B9">
        <w:t xml:space="preserve"> habilitado</w:t>
      </w:r>
      <w:r w:rsidR="00B710A1" w:rsidRPr="000713B9">
        <w:t xml:space="preserve"> ou um laboratório </w:t>
      </w:r>
      <w:r w:rsidR="007D3D62" w:rsidRPr="000713B9">
        <w:t xml:space="preserve">analítico </w:t>
      </w:r>
      <w:r w:rsidR="00B710A1" w:rsidRPr="000713B9">
        <w:t>não habilitado pela Anvisa</w:t>
      </w:r>
      <w:r w:rsidR="007D3D62" w:rsidRPr="000713B9">
        <w:t>)</w:t>
      </w:r>
      <w:r w:rsidR="00B710A1" w:rsidRPr="000713B9">
        <w:t>,</w:t>
      </w:r>
      <w:r w:rsidR="007D3D62" w:rsidRPr="000713B9">
        <w:t xml:space="preserve"> o objeto de análise (</w:t>
      </w:r>
      <w:r w:rsidR="00B710A1" w:rsidRPr="000713B9">
        <w:t>realização de ensaios específicos</w:t>
      </w:r>
      <w:r w:rsidR="007D3D62" w:rsidRPr="000713B9">
        <w:t>), número de amostras utilizadas, materiais envolvidos, entre outros</w:t>
      </w:r>
      <w:r w:rsidR="00B710A1" w:rsidRPr="000713B9">
        <w:t xml:space="preserve">.  </w:t>
      </w:r>
    </w:p>
    <w:p w:rsidR="00B710A1" w:rsidRPr="000713B9" w:rsidRDefault="004A5A9B" w:rsidP="000713B9">
      <w:pPr>
        <w:tabs>
          <w:tab w:val="num" w:pos="1872"/>
        </w:tabs>
        <w:autoSpaceDE w:val="0"/>
        <w:autoSpaceDN w:val="0"/>
        <w:adjustRightInd w:val="0"/>
        <w:spacing w:after="200"/>
        <w:ind w:firstLine="567"/>
        <w:jc w:val="both"/>
      </w:pPr>
      <w:r w:rsidRPr="000713B9">
        <w:t xml:space="preserve">Art. 48 </w:t>
      </w:r>
      <w:r w:rsidR="00B710A1" w:rsidRPr="000713B9">
        <w:t>Os Centros de Equivalência Farmacêutica envolvidos nas terceirizações descritas deverão cadastrar no Sistema de Informações sobre Estudos de Equivalência Farmacêutica e Bioequivalência – SINEB os dados referentes aos ensaios terceirizados.</w:t>
      </w:r>
    </w:p>
    <w:p w:rsidR="00B710A1" w:rsidRPr="000713B9" w:rsidRDefault="00B710A1" w:rsidP="000713B9">
      <w:pPr>
        <w:autoSpaceDE w:val="0"/>
        <w:autoSpaceDN w:val="0"/>
        <w:adjustRightInd w:val="0"/>
        <w:spacing w:after="200"/>
        <w:jc w:val="center"/>
        <w:rPr>
          <w:b/>
        </w:rPr>
      </w:pPr>
      <w:r w:rsidRPr="000713B9">
        <w:rPr>
          <w:b/>
        </w:rPr>
        <w:t>Seção I</w:t>
      </w:r>
    </w:p>
    <w:p w:rsidR="00B710A1" w:rsidRPr="000713B9" w:rsidRDefault="00B710A1" w:rsidP="000713B9">
      <w:pPr>
        <w:keepNext/>
        <w:spacing w:after="200"/>
        <w:jc w:val="center"/>
        <w:outlineLvl w:val="2"/>
        <w:rPr>
          <w:b/>
          <w:bCs/>
        </w:rPr>
      </w:pPr>
      <w:bookmarkStart w:id="32" w:name="_Toc397347957"/>
      <w:r w:rsidRPr="000713B9">
        <w:rPr>
          <w:b/>
          <w:bCs/>
        </w:rPr>
        <w:t>Da Terceirização de Ensaio com outro Centro de Equivalência Farmacêutica</w:t>
      </w:r>
      <w:bookmarkEnd w:id="32"/>
    </w:p>
    <w:p w:rsidR="00B710A1" w:rsidRPr="000713B9" w:rsidRDefault="004A5A9B" w:rsidP="000713B9">
      <w:pPr>
        <w:tabs>
          <w:tab w:val="num" w:pos="1872"/>
        </w:tabs>
        <w:autoSpaceDE w:val="0"/>
        <w:autoSpaceDN w:val="0"/>
        <w:adjustRightInd w:val="0"/>
        <w:spacing w:after="200"/>
        <w:ind w:firstLine="567"/>
        <w:jc w:val="both"/>
        <w:rPr>
          <w:color w:val="000000"/>
        </w:rPr>
      </w:pPr>
      <w:r w:rsidRPr="000713B9">
        <w:rPr>
          <w:color w:val="000000"/>
        </w:rPr>
        <w:t xml:space="preserve">Art. 49 </w:t>
      </w:r>
      <w:r w:rsidR="00B710A1" w:rsidRPr="000713B9">
        <w:rPr>
          <w:color w:val="000000"/>
        </w:rPr>
        <w:t>O disposto nesta seção refere-se à terceirização</w:t>
      </w:r>
      <w:r w:rsidR="00B710A1" w:rsidRPr="000713B9">
        <w:t xml:space="preserve"> de ensaios específicos de equivalência farmacêutica com outro Centro de Equivalência Farmacêutica</w:t>
      </w:r>
      <w:r w:rsidR="00001E10" w:rsidRPr="000713B9">
        <w:t xml:space="preserve"> habilitado</w:t>
      </w:r>
      <w:r w:rsidR="00B710A1" w:rsidRPr="000713B9">
        <w:t xml:space="preserve"> (centro contratado), na hipótese de impedimento técnico ou tecnológico do Centro Responsável pelo Estudo (centro contratante).</w:t>
      </w:r>
    </w:p>
    <w:p w:rsidR="00B710A1" w:rsidRPr="000713B9" w:rsidRDefault="00FE73D8" w:rsidP="000713B9">
      <w:pPr>
        <w:tabs>
          <w:tab w:val="num" w:pos="426"/>
        </w:tabs>
        <w:autoSpaceDE w:val="0"/>
        <w:autoSpaceDN w:val="0"/>
        <w:adjustRightInd w:val="0"/>
        <w:spacing w:after="200"/>
        <w:ind w:firstLine="567"/>
        <w:jc w:val="both"/>
        <w:rPr>
          <w:color w:val="000000"/>
        </w:rPr>
      </w:pPr>
      <w:r w:rsidRPr="000713B9">
        <w:t xml:space="preserve">§1° </w:t>
      </w:r>
      <w:r w:rsidR="00B710A1" w:rsidRPr="000713B9">
        <w:t>É vedada a terceirização de ensaios do escopo mínimo.</w:t>
      </w:r>
      <w:r w:rsidR="00B710A1" w:rsidRPr="000713B9">
        <w:rPr>
          <w:color w:val="000000"/>
        </w:rPr>
        <w:t xml:space="preserve"> </w:t>
      </w:r>
    </w:p>
    <w:p w:rsidR="00277240" w:rsidRPr="000713B9" w:rsidRDefault="00FE73D8" w:rsidP="000713B9">
      <w:pPr>
        <w:tabs>
          <w:tab w:val="num" w:pos="426"/>
        </w:tabs>
        <w:autoSpaceDE w:val="0"/>
        <w:autoSpaceDN w:val="0"/>
        <w:adjustRightInd w:val="0"/>
        <w:spacing w:after="200"/>
        <w:ind w:firstLine="567"/>
        <w:jc w:val="both"/>
        <w:rPr>
          <w:color w:val="000000"/>
        </w:rPr>
      </w:pPr>
      <w:r w:rsidRPr="000713B9">
        <w:rPr>
          <w:color w:val="000000"/>
        </w:rPr>
        <w:t xml:space="preserve">§2° </w:t>
      </w:r>
      <w:r w:rsidR="00277240" w:rsidRPr="000713B9">
        <w:rPr>
          <w:color w:val="000000"/>
        </w:rPr>
        <w:t xml:space="preserve">Se o centro possuir um equipamento que exceda aqueles necessários ao escopo mínimo, a terceirização de ensaio que o utilize não será aceita. </w:t>
      </w:r>
    </w:p>
    <w:p w:rsidR="003A5473" w:rsidRPr="000713B9" w:rsidRDefault="00FE73D8" w:rsidP="000713B9">
      <w:pPr>
        <w:tabs>
          <w:tab w:val="num" w:pos="426"/>
        </w:tabs>
        <w:autoSpaceDE w:val="0"/>
        <w:autoSpaceDN w:val="0"/>
        <w:adjustRightInd w:val="0"/>
        <w:spacing w:after="200"/>
        <w:ind w:firstLine="567"/>
        <w:jc w:val="both"/>
        <w:rPr>
          <w:color w:val="000000"/>
        </w:rPr>
      </w:pPr>
      <w:r w:rsidRPr="000713B9">
        <w:t xml:space="preserve">§3° </w:t>
      </w:r>
      <w:r w:rsidR="00B710A1" w:rsidRPr="000713B9">
        <w:t>O centro contratado deve ter infraestrutura adequada e capacidade técnica e operacional para realizar todos os ensaios</w:t>
      </w:r>
      <w:r w:rsidR="00B710A1" w:rsidRPr="000713B9">
        <w:rPr>
          <w:color w:val="000000"/>
        </w:rPr>
        <w:t>, objetos da terceirização,</w:t>
      </w:r>
      <w:r w:rsidR="00B710A1" w:rsidRPr="000713B9">
        <w:t xml:space="preserve"> conforme listas publicadas no portal eletrônico da Anvisa</w:t>
      </w:r>
      <w:r w:rsidR="003A5473" w:rsidRPr="000713B9">
        <w:t>.</w:t>
      </w:r>
    </w:p>
    <w:p w:rsidR="00B710A1" w:rsidRPr="000713B9" w:rsidRDefault="00FE73D8" w:rsidP="000713B9">
      <w:pPr>
        <w:tabs>
          <w:tab w:val="num" w:pos="426"/>
        </w:tabs>
        <w:autoSpaceDE w:val="0"/>
        <w:autoSpaceDN w:val="0"/>
        <w:adjustRightInd w:val="0"/>
        <w:spacing w:after="200"/>
        <w:ind w:firstLine="567"/>
        <w:jc w:val="both"/>
        <w:rPr>
          <w:color w:val="000000"/>
        </w:rPr>
      </w:pPr>
      <w:r w:rsidRPr="000713B9">
        <w:t xml:space="preserve">§4° </w:t>
      </w:r>
      <w:r w:rsidR="00B710A1" w:rsidRPr="000713B9">
        <w:t>Não é necessária autorização prévia da Anvisa</w:t>
      </w:r>
      <w:r w:rsidR="00001E10" w:rsidRPr="000713B9">
        <w:t xml:space="preserve"> para </w:t>
      </w:r>
      <w:r w:rsidR="00700F66" w:rsidRPr="000713B9">
        <w:t xml:space="preserve">o tipo de </w:t>
      </w:r>
      <w:r w:rsidR="00001E10" w:rsidRPr="000713B9">
        <w:t>terceirização previst</w:t>
      </w:r>
      <w:r w:rsidR="00700F66" w:rsidRPr="000713B9">
        <w:t>o</w:t>
      </w:r>
      <w:r w:rsidR="00001E10" w:rsidRPr="000713B9">
        <w:t xml:space="preserve"> no caput do artigo</w:t>
      </w:r>
      <w:r w:rsidR="00B710A1" w:rsidRPr="000713B9">
        <w:t>.</w:t>
      </w:r>
    </w:p>
    <w:p w:rsidR="00B710A1" w:rsidRPr="000713B9" w:rsidRDefault="004A5A9B" w:rsidP="000713B9">
      <w:pPr>
        <w:tabs>
          <w:tab w:val="num" w:pos="1872"/>
        </w:tabs>
        <w:autoSpaceDE w:val="0"/>
        <w:autoSpaceDN w:val="0"/>
        <w:adjustRightInd w:val="0"/>
        <w:spacing w:after="200"/>
        <w:ind w:firstLine="567"/>
        <w:jc w:val="both"/>
        <w:rPr>
          <w:color w:val="000000"/>
        </w:rPr>
      </w:pPr>
      <w:r w:rsidRPr="000713B9">
        <w:t xml:space="preserve">Art. 50 </w:t>
      </w:r>
      <w:r w:rsidR="00B710A1" w:rsidRPr="000713B9">
        <w:t>O centro contratant</w:t>
      </w:r>
      <w:r w:rsidR="00B710A1" w:rsidRPr="000713B9">
        <w:rPr>
          <w:color w:val="000000"/>
        </w:rPr>
        <w:t>e deve arquivar em suas dep</w:t>
      </w:r>
      <w:r w:rsidR="00B710A1" w:rsidRPr="000713B9">
        <w:t xml:space="preserve">endências, os seguintes documentos, além daqueles listados </w:t>
      </w:r>
      <w:r w:rsidR="00B710A1" w:rsidRPr="000713B9">
        <w:rPr>
          <w:color w:val="000000"/>
        </w:rPr>
        <w:t>n</w:t>
      </w:r>
      <w:r w:rsidR="00B710A1" w:rsidRPr="000713B9">
        <w:t>o artigo 4º desta Resolução:</w:t>
      </w:r>
    </w:p>
    <w:p w:rsidR="00C97CDF" w:rsidRPr="000713B9" w:rsidRDefault="00C4176A" w:rsidP="000713B9">
      <w:pPr>
        <w:spacing w:after="200"/>
        <w:ind w:firstLine="567"/>
        <w:jc w:val="both"/>
      </w:pPr>
      <w:r w:rsidRPr="000713B9">
        <w:t xml:space="preserve">I. </w:t>
      </w:r>
      <w:r w:rsidR="00EB5541" w:rsidRPr="000713B9">
        <w:t>c</w:t>
      </w:r>
      <w:r w:rsidR="00B710A1" w:rsidRPr="000713B9">
        <w:t>ópia do contrato de prestação de serviço entre as partes</w:t>
      </w:r>
      <w:r w:rsidR="008969E0" w:rsidRPr="000713B9">
        <w:t>, ou documento que o substitua</w:t>
      </w:r>
      <w:r w:rsidR="00B710A1" w:rsidRPr="000713B9">
        <w:t>;</w:t>
      </w:r>
      <w:r w:rsidR="004D6FA2" w:rsidRPr="000713B9">
        <w:t xml:space="preserve"> e</w:t>
      </w:r>
    </w:p>
    <w:p w:rsidR="003A5473" w:rsidRPr="000713B9" w:rsidRDefault="00C4176A" w:rsidP="000713B9">
      <w:pPr>
        <w:spacing w:after="200"/>
        <w:ind w:firstLine="567"/>
        <w:jc w:val="both"/>
      </w:pPr>
      <w:r w:rsidRPr="000713B9">
        <w:t xml:space="preserve">II. </w:t>
      </w:r>
      <w:r w:rsidR="00EB5541" w:rsidRPr="000713B9">
        <w:t>d</w:t>
      </w:r>
      <w:r w:rsidR="00B710A1" w:rsidRPr="000713B9">
        <w:t>ocumento assinado pelo Responsável Técnico do Centro Contratante informando:</w:t>
      </w:r>
    </w:p>
    <w:p w:rsidR="00B710A1" w:rsidRPr="000713B9" w:rsidRDefault="000D5391" w:rsidP="000713B9">
      <w:pPr>
        <w:spacing w:after="200"/>
        <w:ind w:firstLine="567"/>
        <w:jc w:val="both"/>
      </w:pPr>
      <w:r w:rsidRPr="000713B9">
        <w:t xml:space="preserve">a) </w:t>
      </w:r>
      <w:r w:rsidR="00EB5541" w:rsidRPr="000713B9">
        <w:t>n</w:t>
      </w:r>
      <w:r w:rsidR="00B710A1" w:rsidRPr="000713B9">
        <w:t>ome e número do Centro de Equivalência Farmacêutica contratante;</w:t>
      </w:r>
    </w:p>
    <w:p w:rsidR="00B710A1" w:rsidRPr="000713B9" w:rsidRDefault="000D5391" w:rsidP="000713B9">
      <w:pPr>
        <w:spacing w:after="200"/>
        <w:ind w:firstLine="567"/>
        <w:jc w:val="both"/>
      </w:pPr>
      <w:r w:rsidRPr="000713B9">
        <w:t xml:space="preserve">b) </w:t>
      </w:r>
      <w:r w:rsidR="00EB5541" w:rsidRPr="000713B9">
        <w:t>n</w:t>
      </w:r>
      <w:r w:rsidR="00B710A1" w:rsidRPr="000713B9">
        <w:t>ome e número do Centro de Equivalência Farmacêutica contratado;</w:t>
      </w:r>
    </w:p>
    <w:p w:rsidR="00B710A1" w:rsidRPr="000713B9" w:rsidRDefault="000D5391" w:rsidP="000713B9">
      <w:pPr>
        <w:spacing w:after="200"/>
        <w:ind w:firstLine="567"/>
        <w:jc w:val="both"/>
      </w:pPr>
      <w:r w:rsidRPr="000713B9">
        <w:t xml:space="preserve">c) </w:t>
      </w:r>
      <w:r w:rsidR="00EB5541" w:rsidRPr="000713B9">
        <w:t>n</w:t>
      </w:r>
      <w:r w:rsidR="00B710A1" w:rsidRPr="000713B9">
        <w:t>ome do Patrocinador do Estudo;</w:t>
      </w:r>
    </w:p>
    <w:p w:rsidR="00B710A1" w:rsidRPr="000713B9" w:rsidRDefault="000D5391" w:rsidP="000713B9">
      <w:pPr>
        <w:spacing w:after="200"/>
        <w:ind w:firstLine="567"/>
        <w:jc w:val="both"/>
      </w:pPr>
      <w:r w:rsidRPr="000713B9">
        <w:t xml:space="preserve">d) </w:t>
      </w:r>
      <w:r w:rsidR="00EB5541" w:rsidRPr="000713B9">
        <w:t>n</w:t>
      </w:r>
      <w:r w:rsidR="00B710A1" w:rsidRPr="000713B9">
        <w:t xml:space="preserve">úmero do estudo do qual o ensaio, objeto da terceirização, faz parte; </w:t>
      </w:r>
    </w:p>
    <w:p w:rsidR="00B710A1" w:rsidRPr="000713B9" w:rsidRDefault="000D5391" w:rsidP="000713B9">
      <w:pPr>
        <w:spacing w:after="200"/>
        <w:ind w:firstLine="567"/>
        <w:jc w:val="both"/>
      </w:pPr>
      <w:r w:rsidRPr="000713B9">
        <w:t xml:space="preserve">e) </w:t>
      </w:r>
      <w:r w:rsidR="00EB5541" w:rsidRPr="000713B9">
        <w:t>o</w:t>
      </w:r>
      <w:r w:rsidR="00B710A1" w:rsidRPr="000713B9">
        <w:t xml:space="preserve">s seguintes dados do ensaio objeto da terceirização: </w:t>
      </w:r>
    </w:p>
    <w:p w:rsidR="00B710A1" w:rsidRPr="000713B9" w:rsidRDefault="000D5391" w:rsidP="000713B9">
      <w:pPr>
        <w:spacing w:after="200"/>
        <w:ind w:firstLine="567"/>
        <w:jc w:val="both"/>
      </w:pPr>
      <w:r w:rsidRPr="000713B9">
        <w:t xml:space="preserve">1. </w:t>
      </w:r>
      <w:r w:rsidR="00EB5541" w:rsidRPr="000713B9">
        <w:t>n</w:t>
      </w:r>
      <w:r w:rsidR="00B710A1" w:rsidRPr="000713B9">
        <w:t>ome;</w:t>
      </w:r>
    </w:p>
    <w:p w:rsidR="00B710A1" w:rsidRPr="000713B9" w:rsidRDefault="000D5391" w:rsidP="000713B9">
      <w:pPr>
        <w:spacing w:after="200"/>
        <w:ind w:firstLine="567"/>
        <w:jc w:val="both"/>
      </w:pPr>
      <w:r w:rsidRPr="000713B9">
        <w:t xml:space="preserve">2. </w:t>
      </w:r>
      <w:r w:rsidR="00EB5541" w:rsidRPr="000713B9">
        <w:t>r</w:t>
      </w:r>
      <w:r w:rsidR="00B710A1" w:rsidRPr="000713B9">
        <w:t xml:space="preserve">eferência </w:t>
      </w:r>
      <w:r w:rsidR="00940BCE" w:rsidRPr="000713B9">
        <w:t>B</w:t>
      </w:r>
      <w:r w:rsidR="00B710A1" w:rsidRPr="000713B9">
        <w:t>ibliográfica;</w:t>
      </w:r>
    </w:p>
    <w:p w:rsidR="00B710A1" w:rsidRPr="000713B9" w:rsidRDefault="000D5391" w:rsidP="000713B9">
      <w:pPr>
        <w:spacing w:after="200"/>
        <w:ind w:firstLine="567"/>
        <w:jc w:val="both"/>
      </w:pPr>
      <w:r w:rsidRPr="000713B9">
        <w:t xml:space="preserve">3. </w:t>
      </w:r>
      <w:r w:rsidR="00EB5541" w:rsidRPr="000713B9">
        <w:t>e</w:t>
      </w:r>
      <w:r w:rsidR="00B710A1" w:rsidRPr="000713B9">
        <w:t xml:space="preserve">specificações adotadas; e </w:t>
      </w:r>
    </w:p>
    <w:p w:rsidR="00B710A1" w:rsidRPr="000713B9" w:rsidRDefault="000D5391" w:rsidP="000713B9">
      <w:pPr>
        <w:spacing w:after="200"/>
        <w:ind w:firstLine="567"/>
        <w:jc w:val="both"/>
      </w:pPr>
      <w:r w:rsidRPr="000713B9">
        <w:t xml:space="preserve">4. </w:t>
      </w:r>
      <w:r w:rsidR="00EB5541" w:rsidRPr="000713B9">
        <w:t>d</w:t>
      </w:r>
      <w:r w:rsidR="00B710A1" w:rsidRPr="000713B9">
        <w:t>escrição da metodologia aplicada</w:t>
      </w:r>
      <w:r w:rsidR="00EB5541" w:rsidRPr="000713B9">
        <w:t>.</w:t>
      </w:r>
    </w:p>
    <w:p w:rsidR="00B710A1" w:rsidRPr="000713B9" w:rsidRDefault="000D5391" w:rsidP="000713B9">
      <w:pPr>
        <w:spacing w:after="200"/>
        <w:ind w:firstLine="567"/>
        <w:jc w:val="both"/>
      </w:pPr>
      <w:r w:rsidRPr="000713B9">
        <w:t xml:space="preserve">f) </w:t>
      </w:r>
      <w:r w:rsidR="00EB5541" w:rsidRPr="000713B9">
        <w:t>o</w:t>
      </w:r>
      <w:r w:rsidR="00B710A1" w:rsidRPr="000713B9">
        <w:t xml:space="preserve">s seguintes dados dos medicamentos teste e do medicamento de referência/comparador: </w:t>
      </w:r>
    </w:p>
    <w:p w:rsidR="00B710A1" w:rsidRPr="000713B9" w:rsidRDefault="000D5391" w:rsidP="000713B9">
      <w:pPr>
        <w:spacing w:after="200"/>
        <w:ind w:firstLine="567"/>
        <w:jc w:val="both"/>
      </w:pPr>
      <w:r w:rsidRPr="000713B9">
        <w:t xml:space="preserve">1. </w:t>
      </w:r>
      <w:r w:rsidR="00EB5541" w:rsidRPr="000713B9">
        <w:t>n</w:t>
      </w:r>
      <w:r w:rsidR="00B710A1" w:rsidRPr="000713B9">
        <w:t>ome (marca e substância ativa);</w:t>
      </w:r>
    </w:p>
    <w:p w:rsidR="00B710A1" w:rsidRPr="000713B9" w:rsidRDefault="000D5391" w:rsidP="000713B9">
      <w:pPr>
        <w:spacing w:after="200"/>
        <w:ind w:firstLine="567"/>
        <w:jc w:val="both"/>
      </w:pPr>
      <w:r w:rsidRPr="000713B9">
        <w:t xml:space="preserve">2. </w:t>
      </w:r>
      <w:r w:rsidR="00EB5541" w:rsidRPr="000713B9">
        <w:t>f</w:t>
      </w:r>
      <w:r w:rsidR="00940BCE" w:rsidRPr="000713B9">
        <w:t>o</w:t>
      </w:r>
      <w:r w:rsidR="00B710A1" w:rsidRPr="000713B9">
        <w:t>rma farmacêutica;</w:t>
      </w:r>
    </w:p>
    <w:p w:rsidR="00B710A1" w:rsidRPr="000713B9" w:rsidRDefault="000D5391" w:rsidP="000713B9">
      <w:pPr>
        <w:spacing w:after="200"/>
        <w:ind w:firstLine="567"/>
        <w:jc w:val="both"/>
      </w:pPr>
      <w:r w:rsidRPr="000713B9">
        <w:t xml:space="preserve">3. </w:t>
      </w:r>
      <w:r w:rsidR="00EB5541" w:rsidRPr="000713B9">
        <w:t>c</w:t>
      </w:r>
      <w:r w:rsidR="00B710A1" w:rsidRPr="000713B9">
        <w:t>oncentração;</w:t>
      </w:r>
    </w:p>
    <w:p w:rsidR="00B710A1" w:rsidRPr="000713B9" w:rsidRDefault="000D5391" w:rsidP="000713B9">
      <w:pPr>
        <w:spacing w:after="200"/>
        <w:ind w:firstLine="567"/>
        <w:jc w:val="both"/>
      </w:pPr>
      <w:r w:rsidRPr="000713B9">
        <w:t xml:space="preserve">4. </w:t>
      </w:r>
      <w:r w:rsidR="00EB5541" w:rsidRPr="000713B9">
        <w:t>f</w:t>
      </w:r>
      <w:r w:rsidR="00B710A1" w:rsidRPr="000713B9">
        <w:t>abricante;</w:t>
      </w:r>
    </w:p>
    <w:p w:rsidR="00B710A1" w:rsidRPr="000713B9" w:rsidRDefault="000D5391" w:rsidP="000713B9">
      <w:pPr>
        <w:spacing w:after="200"/>
        <w:ind w:firstLine="567"/>
        <w:jc w:val="both"/>
      </w:pPr>
      <w:r w:rsidRPr="000713B9">
        <w:t xml:space="preserve">5. </w:t>
      </w:r>
      <w:r w:rsidR="00EB5541" w:rsidRPr="000713B9">
        <w:t>q</w:t>
      </w:r>
      <w:r w:rsidR="00B710A1" w:rsidRPr="000713B9">
        <w:t>uantidade de amostras necessária para o ensaio;</w:t>
      </w:r>
    </w:p>
    <w:p w:rsidR="00E443AC" w:rsidRPr="000713B9" w:rsidRDefault="000D5391" w:rsidP="000713B9">
      <w:pPr>
        <w:spacing w:after="200"/>
        <w:ind w:firstLine="567"/>
        <w:jc w:val="both"/>
      </w:pPr>
      <w:r w:rsidRPr="000713B9">
        <w:t xml:space="preserve">6. </w:t>
      </w:r>
      <w:r w:rsidR="00EB5541" w:rsidRPr="000713B9">
        <w:t>n</w:t>
      </w:r>
      <w:r w:rsidR="00E443AC" w:rsidRPr="000713B9">
        <w:t>úmero / Identificação do lote</w:t>
      </w:r>
      <w:r w:rsidR="004D6FA2" w:rsidRPr="000713B9">
        <w:t>;</w:t>
      </w:r>
      <w:r w:rsidR="00E443AC" w:rsidRPr="000713B9">
        <w:t xml:space="preserve"> e</w:t>
      </w:r>
    </w:p>
    <w:p w:rsidR="00E443AC" w:rsidRPr="000713B9" w:rsidRDefault="000D5391" w:rsidP="000713B9">
      <w:pPr>
        <w:spacing w:after="200"/>
        <w:ind w:firstLine="567"/>
        <w:jc w:val="both"/>
      </w:pPr>
      <w:r w:rsidRPr="000713B9">
        <w:t xml:space="preserve">7. </w:t>
      </w:r>
      <w:r w:rsidR="00EB5541" w:rsidRPr="000713B9">
        <w:t>d</w:t>
      </w:r>
      <w:r w:rsidR="00E443AC" w:rsidRPr="000713B9">
        <w:t xml:space="preserve">ata de validade. </w:t>
      </w:r>
    </w:p>
    <w:p w:rsidR="00B710A1" w:rsidRPr="000713B9" w:rsidRDefault="00C4176A" w:rsidP="000713B9">
      <w:pPr>
        <w:spacing w:after="200"/>
        <w:ind w:firstLine="567"/>
        <w:jc w:val="both"/>
      </w:pPr>
      <w:r w:rsidRPr="000713B9">
        <w:t xml:space="preserve">III. </w:t>
      </w:r>
      <w:r w:rsidR="00EB5541" w:rsidRPr="000713B9">
        <w:t>l</w:t>
      </w:r>
      <w:r w:rsidR="00B710A1" w:rsidRPr="000713B9">
        <w:t>ista dos equipamentos/instrumentos necessários para a realização dos ensaios objeto da terceirização, informando marca/modelo, número ou código de identificação (</w:t>
      </w:r>
      <w:r w:rsidR="00BA6FFC" w:rsidRPr="000713B9">
        <w:t>etiqueta</w:t>
      </w:r>
      <w:r w:rsidR="00B710A1" w:rsidRPr="000713B9">
        <w:t>) e número do certificado, data e validade da calibração/qualificação; e</w:t>
      </w:r>
    </w:p>
    <w:p w:rsidR="00B710A1" w:rsidRPr="000713B9" w:rsidRDefault="00C4176A" w:rsidP="000713B9">
      <w:pPr>
        <w:spacing w:after="200"/>
        <w:ind w:firstLine="567"/>
        <w:jc w:val="both"/>
      </w:pPr>
      <w:r w:rsidRPr="000713B9">
        <w:t xml:space="preserve">IV. </w:t>
      </w:r>
      <w:r w:rsidR="00F6602F" w:rsidRPr="000713B9">
        <w:t>T</w:t>
      </w:r>
      <w:r w:rsidR="00B710A1" w:rsidRPr="000713B9">
        <w:t xml:space="preserve">ermos de </w:t>
      </w:r>
      <w:r w:rsidR="00EB5541" w:rsidRPr="000713B9">
        <w:t>r</w:t>
      </w:r>
      <w:r w:rsidR="00B710A1" w:rsidRPr="000713B9">
        <w:t>esponsabilidade dispostos nos Anexo I e II desta Resolução, devidamente preenchidos e assinados pelos Responsáveis Técnicos do Centro contratante e do Centro contratado.</w:t>
      </w:r>
    </w:p>
    <w:p w:rsidR="00B710A1" w:rsidRPr="000713B9" w:rsidRDefault="00B710A1" w:rsidP="000713B9">
      <w:pPr>
        <w:autoSpaceDE w:val="0"/>
        <w:autoSpaceDN w:val="0"/>
        <w:adjustRightInd w:val="0"/>
        <w:spacing w:after="200"/>
        <w:jc w:val="center"/>
        <w:rPr>
          <w:b/>
        </w:rPr>
      </w:pPr>
      <w:r w:rsidRPr="000713B9">
        <w:rPr>
          <w:b/>
        </w:rPr>
        <w:t>Seção II</w:t>
      </w:r>
    </w:p>
    <w:p w:rsidR="00B710A1" w:rsidRPr="000713B9" w:rsidRDefault="00B710A1" w:rsidP="000713B9">
      <w:pPr>
        <w:keepNext/>
        <w:spacing w:after="200"/>
        <w:jc w:val="center"/>
        <w:outlineLvl w:val="2"/>
        <w:rPr>
          <w:b/>
          <w:bCs/>
        </w:rPr>
      </w:pPr>
      <w:bookmarkStart w:id="33" w:name="_Toc397347958"/>
      <w:r w:rsidRPr="000713B9">
        <w:rPr>
          <w:b/>
          <w:bCs/>
        </w:rPr>
        <w:t>Da Terceirização de Ensaio com Laboratório Não Habilitado pela Anvisa</w:t>
      </w:r>
      <w:bookmarkEnd w:id="33"/>
    </w:p>
    <w:p w:rsidR="00B710A1" w:rsidRPr="000713B9" w:rsidRDefault="004A5A9B" w:rsidP="000713B9">
      <w:pPr>
        <w:tabs>
          <w:tab w:val="num" w:pos="1872"/>
        </w:tabs>
        <w:autoSpaceDE w:val="0"/>
        <w:autoSpaceDN w:val="0"/>
        <w:adjustRightInd w:val="0"/>
        <w:spacing w:after="200"/>
        <w:ind w:firstLine="567"/>
        <w:jc w:val="both"/>
        <w:rPr>
          <w:color w:val="000000"/>
        </w:rPr>
      </w:pPr>
      <w:r w:rsidRPr="000713B9">
        <w:rPr>
          <w:color w:val="000000"/>
        </w:rPr>
        <w:t xml:space="preserve">Art. 51 </w:t>
      </w:r>
      <w:r w:rsidR="00B710A1" w:rsidRPr="000713B9">
        <w:rPr>
          <w:color w:val="000000"/>
        </w:rPr>
        <w:t>O disposto nesta Seção refere-se à terceirização</w:t>
      </w:r>
      <w:r w:rsidR="00B710A1" w:rsidRPr="000713B9">
        <w:t xml:space="preserve"> de ensaios específicos de equivalência farmacêutica com um laboratório não habilitado pela Anvisa como Centro de Equivalência Farmacêutica (laboratório contratado), na hipótese de impedimento técnico ou tecnológico do C</w:t>
      </w:r>
      <w:r w:rsidR="00D67508" w:rsidRPr="000713B9">
        <w:t>entro Responsável pelo Estudo (c</w:t>
      </w:r>
      <w:r w:rsidR="00B710A1" w:rsidRPr="000713B9">
        <w:t>entro contratante) bem como na hipótese de inexistência de Centro de Equivalência Farmacêutica apto para tal.</w:t>
      </w:r>
    </w:p>
    <w:p w:rsidR="00B710A1" w:rsidRPr="000713B9" w:rsidRDefault="007635BE" w:rsidP="000713B9">
      <w:pPr>
        <w:tabs>
          <w:tab w:val="num" w:pos="426"/>
        </w:tabs>
        <w:autoSpaceDE w:val="0"/>
        <w:autoSpaceDN w:val="0"/>
        <w:adjustRightInd w:val="0"/>
        <w:spacing w:after="200"/>
        <w:ind w:firstLine="567"/>
        <w:jc w:val="both"/>
        <w:rPr>
          <w:color w:val="000000"/>
        </w:rPr>
      </w:pPr>
      <w:r w:rsidRPr="000713B9">
        <w:t xml:space="preserve">§1° </w:t>
      </w:r>
      <w:r w:rsidR="00B710A1" w:rsidRPr="000713B9">
        <w:t>É vedada a terceirização de ensaios do escopo mínimo.</w:t>
      </w:r>
      <w:r w:rsidR="00B710A1" w:rsidRPr="000713B9">
        <w:rPr>
          <w:color w:val="000000"/>
        </w:rPr>
        <w:t xml:space="preserve"> </w:t>
      </w:r>
    </w:p>
    <w:p w:rsidR="00B710A1" w:rsidRPr="000713B9" w:rsidRDefault="007635BE" w:rsidP="000713B9">
      <w:pPr>
        <w:tabs>
          <w:tab w:val="num" w:pos="426"/>
        </w:tabs>
        <w:autoSpaceDE w:val="0"/>
        <w:autoSpaceDN w:val="0"/>
        <w:adjustRightInd w:val="0"/>
        <w:spacing w:after="200"/>
        <w:ind w:firstLine="567"/>
        <w:jc w:val="both"/>
        <w:rPr>
          <w:color w:val="000000"/>
        </w:rPr>
      </w:pPr>
      <w:r w:rsidRPr="000713B9">
        <w:t xml:space="preserve">§2° </w:t>
      </w:r>
      <w:r w:rsidR="00B710A1" w:rsidRPr="000713B9">
        <w:t>O laboratório contratado deve ter infraestrutura ad</w:t>
      </w:r>
      <w:r w:rsidR="00B710A1" w:rsidRPr="000713B9">
        <w:rPr>
          <w:color w:val="000000"/>
        </w:rPr>
        <w:t>eq</w:t>
      </w:r>
      <w:r w:rsidR="00B710A1" w:rsidRPr="000713B9">
        <w:t>uada e capacidade técnica e operacional para realizar todos os ensaios</w:t>
      </w:r>
      <w:r w:rsidR="00B710A1" w:rsidRPr="000713B9">
        <w:rPr>
          <w:color w:val="000000"/>
        </w:rPr>
        <w:t xml:space="preserve"> objeto da terceirização,</w:t>
      </w:r>
      <w:r w:rsidR="00B710A1" w:rsidRPr="000713B9">
        <w:t xml:space="preserve"> conforme listas publicadas no portal eletrônico da Anvisa.</w:t>
      </w:r>
    </w:p>
    <w:p w:rsidR="00B710A1" w:rsidRPr="000713B9" w:rsidRDefault="004A5A9B" w:rsidP="000713B9">
      <w:pPr>
        <w:tabs>
          <w:tab w:val="num" w:pos="1872"/>
        </w:tabs>
        <w:autoSpaceDE w:val="0"/>
        <w:autoSpaceDN w:val="0"/>
        <w:adjustRightInd w:val="0"/>
        <w:spacing w:after="200"/>
        <w:ind w:firstLine="567"/>
        <w:jc w:val="both"/>
      </w:pPr>
      <w:r w:rsidRPr="000713B9">
        <w:rPr>
          <w:color w:val="000000"/>
        </w:rPr>
        <w:t xml:space="preserve">Art. 52 </w:t>
      </w:r>
      <w:r w:rsidR="00B710A1" w:rsidRPr="000713B9">
        <w:rPr>
          <w:color w:val="000000"/>
        </w:rPr>
        <w:t>O centro contratante deve protocolar a petição de “Terceirização de Ensaio com Laboratório</w:t>
      </w:r>
      <w:r w:rsidR="00B710A1" w:rsidRPr="000713B9">
        <w:t xml:space="preserve"> Não Habilitado pela Anvisa” juntamente com os seguintes documentos, além daqueles listados no artigo 4º desta Resolução:  </w:t>
      </w:r>
    </w:p>
    <w:p w:rsidR="00B710A1" w:rsidRPr="000713B9" w:rsidRDefault="007635BE" w:rsidP="000713B9">
      <w:pPr>
        <w:tabs>
          <w:tab w:val="left" w:pos="567"/>
        </w:tabs>
        <w:spacing w:after="200"/>
        <w:ind w:firstLine="567"/>
        <w:jc w:val="both"/>
      </w:pPr>
      <w:r w:rsidRPr="000713B9">
        <w:t xml:space="preserve">I. </w:t>
      </w:r>
      <w:r w:rsidR="00EB5541" w:rsidRPr="000713B9">
        <w:t>c</w:t>
      </w:r>
      <w:r w:rsidR="00B710A1" w:rsidRPr="000713B9">
        <w:t>ópia do contrato de prestação de serviço entre as partes</w:t>
      </w:r>
      <w:r w:rsidR="00FD319D" w:rsidRPr="000713B9">
        <w:t xml:space="preserve"> ou documento que o substitua</w:t>
      </w:r>
      <w:r w:rsidR="00B710A1" w:rsidRPr="000713B9">
        <w:t>;</w:t>
      </w:r>
      <w:r w:rsidR="00EB5541" w:rsidRPr="000713B9">
        <w:t xml:space="preserve"> e</w:t>
      </w:r>
    </w:p>
    <w:p w:rsidR="00B710A1" w:rsidRPr="000713B9" w:rsidRDefault="007635BE" w:rsidP="000713B9">
      <w:pPr>
        <w:tabs>
          <w:tab w:val="left" w:pos="567"/>
        </w:tabs>
        <w:spacing w:after="200"/>
        <w:ind w:firstLine="567"/>
        <w:jc w:val="both"/>
      </w:pPr>
      <w:r w:rsidRPr="000713B9">
        <w:t xml:space="preserve">II. </w:t>
      </w:r>
      <w:r w:rsidR="00EB5541" w:rsidRPr="000713B9">
        <w:t>d</w:t>
      </w:r>
      <w:r w:rsidR="00B710A1" w:rsidRPr="000713B9">
        <w:t>ocumento, assinado pelo Responsável Técnico do centro contratante, informando:</w:t>
      </w:r>
    </w:p>
    <w:p w:rsidR="00B710A1" w:rsidRPr="000713B9" w:rsidRDefault="003E3921" w:rsidP="000713B9">
      <w:pPr>
        <w:tabs>
          <w:tab w:val="left" w:pos="284"/>
        </w:tabs>
        <w:spacing w:after="200"/>
        <w:ind w:firstLine="567"/>
        <w:jc w:val="both"/>
      </w:pPr>
      <w:r w:rsidRPr="000713B9">
        <w:t xml:space="preserve">a) </w:t>
      </w:r>
      <w:r w:rsidR="00EB5541" w:rsidRPr="000713B9">
        <w:t>n</w:t>
      </w:r>
      <w:r w:rsidR="00B710A1" w:rsidRPr="000713B9">
        <w:t>ome e número do Centro de Equivalência Farmacêutica contratante;</w:t>
      </w:r>
    </w:p>
    <w:p w:rsidR="00B710A1" w:rsidRPr="000713B9" w:rsidRDefault="003E3921" w:rsidP="000713B9">
      <w:pPr>
        <w:tabs>
          <w:tab w:val="left" w:pos="284"/>
        </w:tabs>
        <w:spacing w:after="200"/>
        <w:ind w:firstLine="567"/>
        <w:jc w:val="both"/>
      </w:pPr>
      <w:r w:rsidRPr="000713B9">
        <w:t xml:space="preserve">b) </w:t>
      </w:r>
      <w:r w:rsidR="00EB5541" w:rsidRPr="000713B9">
        <w:t>n</w:t>
      </w:r>
      <w:r w:rsidR="00B710A1" w:rsidRPr="000713B9">
        <w:t>ome e endereço do laboratório contratado;</w:t>
      </w:r>
    </w:p>
    <w:p w:rsidR="00B710A1" w:rsidRPr="000713B9" w:rsidRDefault="003E3921" w:rsidP="000713B9">
      <w:pPr>
        <w:tabs>
          <w:tab w:val="left" w:pos="284"/>
        </w:tabs>
        <w:spacing w:after="200"/>
        <w:ind w:firstLine="567"/>
        <w:jc w:val="both"/>
      </w:pPr>
      <w:r w:rsidRPr="000713B9">
        <w:t xml:space="preserve">c) </w:t>
      </w:r>
      <w:r w:rsidR="00EB5541" w:rsidRPr="000713B9">
        <w:t>n</w:t>
      </w:r>
      <w:r w:rsidR="000A1ACD" w:rsidRPr="000713B9">
        <w:t xml:space="preserve">ome do patrocinador do </w:t>
      </w:r>
      <w:r w:rsidR="00B710A1" w:rsidRPr="000713B9">
        <w:t>estudo;</w:t>
      </w:r>
      <w:r w:rsidR="004D6FA2" w:rsidRPr="000713B9">
        <w:t xml:space="preserve"> </w:t>
      </w:r>
    </w:p>
    <w:p w:rsidR="00B710A1" w:rsidRPr="000713B9" w:rsidRDefault="003E3921" w:rsidP="000713B9">
      <w:pPr>
        <w:tabs>
          <w:tab w:val="left" w:pos="284"/>
        </w:tabs>
        <w:spacing w:after="200"/>
        <w:ind w:firstLine="567"/>
        <w:jc w:val="both"/>
      </w:pPr>
      <w:r w:rsidRPr="000713B9">
        <w:t xml:space="preserve">d) </w:t>
      </w:r>
      <w:r w:rsidR="00EB5541" w:rsidRPr="000713B9">
        <w:t>d</w:t>
      </w:r>
      <w:r w:rsidR="00B710A1" w:rsidRPr="000713B9">
        <w:t>ados do ensaio objeto da terceirização:</w:t>
      </w:r>
    </w:p>
    <w:p w:rsidR="00B710A1" w:rsidRPr="000713B9" w:rsidRDefault="00A476B1" w:rsidP="000713B9">
      <w:pPr>
        <w:tabs>
          <w:tab w:val="left" w:pos="284"/>
        </w:tabs>
        <w:spacing w:after="200"/>
        <w:ind w:firstLine="567"/>
        <w:jc w:val="both"/>
      </w:pPr>
      <w:r w:rsidRPr="000713B9">
        <w:t xml:space="preserve">1. </w:t>
      </w:r>
      <w:r w:rsidR="00EB5541" w:rsidRPr="000713B9">
        <w:t>n</w:t>
      </w:r>
      <w:r w:rsidR="00B710A1" w:rsidRPr="000713B9">
        <w:t>ome;</w:t>
      </w:r>
    </w:p>
    <w:p w:rsidR="00B710A1" w:rsidRPr="000713B9" w:rsidRDefault="00A476B1" w:rsidP="000713B9">
      <w:pPr>
        <w:tabs>
          <w:tab w:val="left" w:pos="284"/>
        </w:tabs>
        <w:spacing w:after="200"/>
        <w:ind w:firstLine="567"/>
        <w:jc w:val="both"/>
      </w:pPr>
      <w:r w:rsidRPr="000713B9">
        <w:t xml:space="preserve">2. </w:t>
      </w:r>
      <w:r w:rsidR="00EB5541" w:rsidRPr="000713B9">
        <w:t>r</w:t>
      </w:r>
      <w:r w:rsidR="00B710A1" w:rsidRPr="000713B9">
        <w:t>eferência bibliográfica;</w:t>
      </w:r>
    </w:p>
    <w:p w:rsidR="00B710A1" w:rsidRPr="000713B9" w:rsidRDefault="00A476B1" w:rsidP="000713B9">
      <w:pPr>
        <w:tabs>
          <w:tab w:val="left" w:pos="284"/>
        </w:tabs>
        <w:spacing w:after="200"/>
        <w:ind w:firstLine="567"/>
        <w:jc w:val="both"/>
      </w:pPr>
      <w:r w:rsidRPr="000713B9">
        <w:t xml:space="preserve">3. </w:t>
      </w:r>
      <w:r w:rsidR="00EB5541" w:rsidRPr="000713B9">
        <w:t>e</w:t>
      </w:r>
      <w:r w:rsidR="00B710A1" w:rsidRPr="000713B9">
        <w:t>specificações adotadas; e</w:t>
      </w:r>
    </w:p>
    <w:p w:rsidR="00B710A1" w:rsidRPr="000713B9" w:rsidRDefault="00A476B1" w:rsidP="000713B9">
      <w:pPr>
        <w:tabs>
          <w:tab w:val="left" w:pos="284"/>
        </w:tabs>
        <w:spacing w:after="200"/>
        <w:ind w:firstLine="567"/>
        <w:jc w:val="both"/>
      </w:pPr>
      <w:r w:rsidRPr="000713B9">
        <w:t xml:space="preserve">4. </w:t>
      </w:r>
      <w:r w:rsidR="00EB5541" w:rsidRPr="000713B9">
        <w:t>d</w:t>
      </w:r>
      <w:r w:rsidR="00B710A1" w:rsidRPr="000713B9">
        <w:t>escrição da metodologia aplicada</w:t>
      </w:r>
      <w:r w:rsidR="004D6FA2" w:rsidRPr="000713B9">
        <w:t>.</w:t>
      </w:r>
    </w:p>
    <w:p w:rsidR="00B710A1" w:rsidRPr="000713B9" w:rsidRDefault="003E3921" w:rsidP="000713B9">
      <w:pPr>
        <w:tabs>
          <w:tab w:val="left" w:pos="284"/>
        </w:tabs>
        <w:spacing w:after="200"/>
        <w:ind w:firstLine="567"/>
        <w:jc w:val="both"/>
      </w:pPr>
      <w:r w:rsidRPr="000713B9">
        <w:t xml:space="preserve">e) </w:t>
      </w:r>
      <w:r w:rsidR="00EB5541" w:rsidRPr="000713B9">
        <w:t>n</w:t>
      </w:r>
      <w:r w:rsidR="00B710A1" w:rsidRPr="000713B9">
        <w:t>úmero do estudo do qual o ensaio objeto da terceirização faz parte; e</w:t>
      </w:r>
    </w:p>
    <w:p w:rsidR="00B710A1" w:rsidRPr="000713B9" w:rsidRDefault="003E3921" w:rsidP="000713B9">
      <w:pPr>
        <w:tabs>
          <w:tab w:val="left" w:pos="284"/>
        </w:tabs>
        <w:spacing w:after="200"/>
        <w:ind w:firstLine="567"/>
        <w:jc w:val="both"/>
      </w:pPr>
      <w:r w:rsidRPr="000713B9">
        <w:t xml:space="preserve">f) </w:t>
      </w:r>
      <w:r w:rsidR="00EB5541" w:rsidRPr="000713B9">
        <w:t>d</w:t>
      </w:r>
      <w:r w:rsidR="00B710A1" w:rsidRPr="000713B9">
        <w:t>ados do medicamento teste e do medicamento de referência/comparador:</w:t>
      </w:r>
    </w:p>
    <w:p w:rsidR="00B710A1" w:rsidRPr="000713B9" w:rsidRDefault="00A476B1" w:rsidP="000713B9">
      <w:pPr>
        <w:tabs>
          <w:tab w:val="left" w:pos="284"/>
        </w:tabs>
        <w:spacing w:after="200"/>
        <w:ind w:firstLine="567"/>
        <w:jc w:val="both"/>
      </w:pPr>
      <w:r w:rsidRPr="000713B9">
        <w:t xml:space="preserve">1. </w:t>
      </w:r>
      <w:r w:rsidR="00EB5541" w:rsidRPr="000713B9">
        <w:t>n</w:t>
      </w:r>
      <w:r w:rsidR="00B710A1" w:rsidRPr="000713B9">
        <w:t>ome (marca e substância ativa);</w:t>
      </w:r>
    </w:p>
    <w:p w:rsidR="00B710A1" w:rsidRPr="000713B9" w:rsidRDefault="00A476B1" w:rsidP="000713B9">
      <w:pPr>
        <w:tabs>
          <w:tab w:val="left" w:pos="284"/>
        </w:tabs>
        <w:spacing w:after="200"/>
        <w:ind w:firstLine="567"/>
        <w:jc w:val="both"/>
      </w:pPr>
      <w:r w:rsidRPr="000713B9">
        <w:t xml:space="preserve">2. </w:t>
      </w:r>
      <w:r w:rsidR="00EB5541" w:rsidRPr="000713B9">
        <w:t>f</w:t>
      </w:r>
      <w:r w:rsidR="00B710A1" w:rsidRPr="000713B9">
        <w:t>orma farmacêutica;</w:t>
      </w:r>
    </w:p>
    <w:p w:rsidR="00B710A1" w:rsidRPr="000713B9" w:rsidRDefault="00A476B1" w:rsidP="000713B9">
      <w:pPr>
        <w:tabs>
          <w:tab w:val="left" w:pos="284"/>
        </w:tabs>
        <w:spacing w:after="200"/>
        <w:ind w:firstLine="567"/>
        <w:jc w:val="both"/>
      </w:pPr>
      <w:r w:rsidRPr="000713B9">
        <w:t xml:space="preserve">3. </w:t>
      </w:r>
      <w:r w:rsidR="00EB5541" w:rsidRPr="000713B9">
        <w:t>c</w:t>
      </w:r>
      <w:r w:rsidR="00B710A1" w:rsidRPr="000713B9">
        <w:t>oncentração;</w:t>
      </w:r>
    </w:p>
    <w:p w:rsidR="00B710A1" w:rsidRPr="000713B9" w:rsidRDefault="00A476B1" w:rsidP="000713B9">
      <w:pPr>
        <w:tabs>
          <w:tab w:val="left" w:pos="284"/>
        </w:tabs>
        <w:spacing w:after="200"/>
        <w:ind w:firstLine="567"/>
        <w:jc w:val="both"/>
      </w:pPr>
      <w:r w:rsidRPr="000713B9">
        <w:t xml:space="preserve">4. </w:t>
      </w:r>
      <w:r w:rsidR="00EB5541" w:rsidRPr="000713B9">
        <w:t>f</w:t>
      </w:r>
      <w:r w:rsidR="00B710A1" w:rsidRPr="000713B9">
        <w:t xml:space="preserve">abricante; </w:t>
      </w:r>
      <w:r w:rsidR="00EB5541" w:rsidRPr="000713B9">
        <w:t>e</w:t>
      </w:r>
    </w:p>
    <w:p w:rsidR="00B710A1" w:rsidRPr="000713B9" w:rsidRDefault="00A476B1" w:rsidP="000713B9">
      <w:pPr>
        <w:tabs>
          <w:tab w:val="left" w:pos="284"/>
        </w:tabs>
        <w:spacing w:after="200"/>
        <w:ind w:firstLine="567"/>
        <w:jc w:val="both"/>
      </w:pPr>
      <w:r w:rsidRPr="000713B9">
        <w:t xml:space="preserve">5. </w:t>
      </w:r>
      <w:r w:rsidR="00EB5541" w:rsidRPr="000713B9">
        <w:t>q</w:t>
      </w:r>
      <w:r w:rsidR="00B710A1" w:rsidRPr="000713B9">
        <w:t>uantidade de amostras necessária para o ensaio.</w:t>
      </w:r>
    </w:p>
    <w:p w:rsidR="00B710A1" w:rsidRPr="000713B9" w:rsidRDefault="007635BE" w:rsidP="000713B9">
      <w:pPr>
        <w:spacing w:after="200"/>
        <w:ind w:firstLine="567"/>
        <w:jc w:val="both"/>
      </w:pPr>
      <w:r w:rsidRPr="000713B9">
        <w:t xml:space="preserve">III. </w:t>
      </w:r>
      <w:r w:rsidR="00EB5541" w:rsidRPr="000713B9">
        <w:t>l</w:t>
      </w:r>
      <w:r w:rsidR="00B710A1" w:rsidRPr="000713B9">
        <w:t>ista dos equipamento</w:t>
      </w:r>
      <w:r w:rsidR="008F2C0B" w:rsidRPr="000713B9">
        <w:t>s</w:t>
      </w:r>
      <w:r w:rsidR="00B710A1" w:rsidRPr="000713B9">
        <w:t>/instrumentos necessários para a realização do ensaio objeto da terceirização, informando marca/modelo, número ou código de identificação (</w:t>
      </w:r>
      <w:r w:rsidR="00223E99" w:rsidRPr="000713B9">
        <w:t>etiqueta</w:t>
      </w:r>
      <w:r w:rsidR="00B710A1" w:rsidRPr="000713B9">
        <w:t>) e número do certificado, data e validade da calibração/qualificação;</w:t>
      </w:r>
    </w:p>
    <w:p w:rsidR="00B710A1" w:rsidRPr="000713B9" w:rsidRDefault="007635BE" w:rsidP="000713B9">
      <w:pPr>
        <w:spacing w:after="200"/>
        <w:ind w:firstLine="567"/>
        <w:jc w:val="both"/>
      </w:pPr>
      <w:r w:rsidRPr="000713B9">
        <w:t xml:space="preserve">IV. </w:t>
      </w:r>
      <w:r w:rsidR="00F6602F" w:rsidRPr="000713B9">
        <w:t>T</w:t>
      </w:r>
      <w:r w:rsidR="00B710A1" w:rsidRPr="000713B9">
        <w:t>ermos de Responsabilidade dispostos nos Anexo I e II desta Resolução, devidamente preenchidos e assinados pelos responsáveis técnicos do centro contratante e do laboratório contratado; e</w:t>
      </w:r>
    </w:p>
    <w:p w:rsidR="00B710A1" w:rsidRPr="000713B9" w:rsidRDefault="007635BE" w:rsidP="000713B9">
      <w:pPr>
        <w:spacing w:after="200"/>
        <w:ind w:firstLine="567"/>
        <w:jc w:val="both"/>
      </w:pPr>
      <w:r w:rsidRPr="000713B9">
        <w:t xml:space="preserve">V. </w:t>
      </w:r>
      <w:r w:rsidR="00EB5541" w:rsidRPr="000713B9">
        <w:t>d</w:t>
      </w:r>
      <w:r w:rsidR="00B710A1" w:rsidRPr="000713B9">
        <w:t>eclaração, assinada pelo responsável técnico do centro contratante, explicitando que acompanhará a condução do ensaio no laboratório contratado, sendo corresponsável pela qualidade, veracidade e rastreabilidade do</w:t>
      </w:r>
      <w:r w:rsidR="00223E99" w:rsidRPr="000713B9">
        <w:t>s</w:t>
      </w:r>
      <w:r w:rsidR="00B710A1" w:rsidRPr="000713B9">
        <w:t xml:space="preserve"> dados e resultados obtidos do ensaio objeto da terceirização.</w:t>
      </w:r>
    </w:p>
    <w:p w:rsidR="00FD319D" w:rsidRPr="000713B9" w:rsidRDefault="00650182" w:rsidP="000713B9">
      <w:pPr>
        <w:tabs>
          <w:tab w:val="num" w:pos="1872"/>
        </w:tabs>
        <w:autoSpaceDE w:val="0"/>
        <w:autoSpaceDN w:val="0"/>
        <w:adjustRightInd w:val="0"/>
        <w:spacing w:after="200"/>
        <w:ind w:firstLine="567"/>
        <w:jc w:val="both"/>
        <w:rPr>
          <w:color w:val="000000"/>
        </w:rPr>
      </w:pPr>
      <w:r w:rsidRPr="000713B9">
        <w:rPr>
          <w:color w:val="000000"/>
        </w:rPr>
        <w:t xml:space="preserve">Art. 53 </w:t>
      </w:r>
      <w:r w:rsidR="00FD319D" w:rsidRPr="000713B9">
        <w:rPr>
          <w:color w:val="000000"/>
        </w:rPr>
        <w:t>A realização do ensaio objeto da petição de Terceirização com Laboratório Não Habilitado pela Anvisa somente poderá ser iniciada após a manifestação favorável da Coordenação de Equivalência Terapêutica</w:t>
      </w:r>
      <w:r w:rsidR="00FD319D" w:rsidRPr="000713B9">
        <w:t>.</w:t>
      </w:r>
      <w:r w:rsidR="00FD319D" w:rsidRPr="000713B9">
        <w:rPr>
          <w:rStyle w:val="Hipervnculo"/>
          <w:bCs/>
        </w:rPr>
        <w:t xml:space="preserve"> </w:t>
      </w:r>
    </w:p>
    <w:p w:rsidR="00B710A1" w:rsidRPr="000713B9" w:rsidRDefault="00B710A1" w:rsidP="0020138D">
      <w:pPr>
        <w:autoSpaceDE w:val="0"/>
        <w:autoSpaceDN w:val="0"/>
        <w:adjustRightInd w:val="0"/>
        <w:spacing w:after="200"/>
        <w:jc w:val="center"/>
        <w:rPr>
          <w:b/>
        </w:rPr>
      </w:pPr>
      <w:r w:rsidRPr="000713B9">
        <w:rPr>
          <w:b/>
          <w:smallCaps/>
        </w:rPr>
        <w:t>Capítulo</w:t>
      </w:r>
      <w:r w:rsidRPr="000713B9">
        <w:rPr>
          <w:b/>
        </w:rPr>
        <w:t xml:space="preserve"> V</w:t>
      </w:r>
    </w:p>
    <w:p w:rsidR="00136ED3" w:rsidRPr="000713B9" w:rsidRDefault="00B710A1" w:rsidP="0020138D">
      <w:pPr>
        <w:keepNext/>
        <w:spacing w:after="200"/>
        <w:jc w:val="center"/>
        <w:outlineLvl w:val="1"/>
        <w:rPr>
          <w:b/>
          <w:bCs/>
          <w:iCs/>
          <w:smallCaps/>
        </w:rPr>
      </w:pPr>
      <w:bookmarkStart w:id="34" w:name="_Toc397347959"/>
      <w:r w:rsidRPr="000713B9">
        <w:rPr>
          <w:b/>
          <w:bCs/>
          <w:iCs/>
          <w:smallCaps/>
        </w:rPr>
        <w:t>Das Suspensões</w:t>
      </w:r>
      <w:r w:rsidR="00136ED3" w:rsidRPr="000713B9">
        <w:rPr>
          <w:b/>
          <w:bCs/>
          <w:iCs/>
          <w:smallCaps/>
        </w:rPr>
        <w:t xml:space="preserve"> e cancelamentos </w:t>
      </w:r>
    </w:p>
    <w:p w:rsidR="00136ED3" w:rsidRPr="000713B9" w:rsidRDefault="00136ED3" w:rsidP="0020138D">
      <w:pPr>
        <w:keepNext/>
        <w:spacing w:after="200"/>
        <w:jc w:val="center"/>
        <w:outlineLvl w:val="1"/>
        <w:rPr>
          <w:b/>
          <w:bCs/>
          <w:iCs/>
          <w:smallCaps/>
        </w:rPr>
      </w:pPr>
      <w:r w:rsidRPr="000713B9">
        <w:rPr>
          <w:b/>
          <w:bCs/>
          <w:iCs/>
          <w:smallCaps/>
        </w:rPr>
        <w:t>Seção I</w:t>
      </w:r>
    </w:p>
    <w:p w:rsidR="001C4105" w:rsidRPr="000713B9" w:rsidRDefault="001C4105" w:rsidP="0020138D">
      <w:pPr>
        <w:keepNext/>
        <w:spacing w:after="200"/>
        <w:jc w:val="center"/>
        <w:outlineLvl w:val="1"/>
        <w:rPr>
          <w:b/>
          <w:bCs/>
        </w:rPr>
      </w:pPr>
      <w:r w:rsidRPr="000713B9">
        <w:rPr>
          <w:b/>
          <w:bCs/>
        </w:rPr>
        <w:t>Das suspensões e cancelamentos por manifestação da Anvisa</w:t>
      </w:r>
    </w:p>
    <w:p w:rsidR="001C4105" w:rsidRPr="000713B9" w:rsidRDefault="00650182" w:rsidP="000713B9">
      <w:pPr>
        <w:tabs>
          <w:tab w:val="num" w:pos="1872"/>
        </w:tabs>
        <w:autoSpaceDE w:val="0"/>
        <w:autoSpaceDN w:val="0"/>
        <w:adjustRightInd w:val="0"/>
        <w:spacing w:after="200"/>
        <w:ind w:firstLine="567"/>
        <w:jc w:val="both"/>
        <w:rPr>
          <w:b/>
          <w:bCs/>
          <w:iCs/>
          <w:smallCaps/>
        </w:rPr>
      </w:pPr>
      <w:r w:rsidRPr="000713B9">
        <w:rPr>
          <w:color w:val="000000"/>
        </w:rPr>
        <w:t xml:space="preserve">Art. 54 </w:t>
      </w:r>
      <w:r w:rsidR="001C4105" w:rsidRPr="000713B9">
        <w:rPr>
          <w:color w:val="000000"/>
        </w:rPr>
        <w:t>A habilitação dos Centros de Equivalência Farmacêutica poderá ser suspensa ou cancelada caso seja</w:t>
      </w:r>
      <w:r w:rsidR="006C54B8" w:rsidRPr="000713B9">
        <w:rPr>
          <w:color w:val="000000"/>
        </w:rPr>
        <w:t>m evidenciados descumprimentos nas Boas Práticas em Equivalência Farmacêutica, que serão estabelecidas em Resolução específica, bem como por desvios de qualidade.</w:t>
      </w:r>
    </w:p>
    <w:p w:rsidR="001C4105" w:rsidRPr="000713B9" w:rsidRDefault="00B0175D" w:rsidP="000713B9">
      <w:pPr>
        <w:autoSpaceDE w:val="0"/>
        <w:autoSpaceDN w:val="0"/>
        <w:adjustRightInd w:val="0"/>
        <w:spacing w:after="200"/>
        <w:ind w:firstLine="567"/>
        <w:jc w:val="both"/>
        <w:rPr>
          <w:rStyle w:val="Hipervnculo"/>
          <w:b/>
          <w:bCs/>
          <w:iCs/>
          <w:smallCaps/>
          <w:color w:val="auto"/>
        </w:rPr>
      </w:pPr>
      <w:r w:rsidRPr="000713B9">
        <w:rPr>
          <w:rStyle w:val="Hipervnculo"/>
          <w:bCs/>
        </w:rPr>
        <w:t xml:space="preserve">§1° </w:t>
      </w:r>
      <w:r w:rsidR="001C4105" w:rsidRPr="000713B9">
        <w:rPr>
          <w:rStyle w:val="Hipervnculo"/>
          <w:bCs/>
        </w:rPr>
        <w:t>A suspensão de que trata o caput será revogada após a adequação integral às exigências pelo Centro de Equivalência Farmacêutica, de acordo com os prazos estabelecidos na normativa que regulamenta o procedimento de petições submetidas à análise dos setores técnicos da Anvisa.</w:t>
      </w:r>
    </w:p>
    <w:p w:rsidR="001C4105" w:rsidRPr="000713B9" w:rsidRDefault="00B0175D" w:rsidP="000713B9">
      <w:pPr>
        <w:autoSpaceDE w:val="0"/>
        <w:autoSpaceDN w:val="0"/>
        <w:adjustRightInd w:val="0"/>
        <w:spacing w:after="200"/>
        <w:ind w:firstLine="567"/>
        <w:jc w:val="both"/>
        <w:rPr>
          <w:rStyle w:val="Hipervnculo"/>
          <w:b/>
          <w:bCs/>
          <w:iCs/>
          <w:smallCaps/>
          <w:color w:val="auto"/>
        </w:rPr>
      </w:pPr>
      <w:r w:rsidRPr="000713B9">
        <w:rPr>
          <w:rStyle w:val="Hipervnculo"/>
          <w:bCs/>
        </w:rPr>
        <w:t xml:space="preserve">§2° </w:t>
      </w:r>
      <w:r w:rsidR="001C4105" w:rsidRPr="000713B9">
        <w:rPr>
          <w:rStyle w:val="Hipervnculo"/>
          <w:bCs/>
        </w:rPr>
        <w:t xml:space="preserve">Os centros cancelados, caso manifestem interesse em nova habilitação, devem seguir o disposto no Capítulo I do Título II dessa Resolução. </w:t>
      </w:r>
    </w:p>
    <w:p w:rsidR="003A5473" w:rsidRPr="000713B9" w:rsidRDefault="00650182" w:rsidP="000713B9">
      <w:pPr>
        <w:autoSpaceDE w:val="0"/>
        <w:autoSpaceDN w:val="0"/>
        <w:adjustRightInd w:val="0"/>
        <w:spacing w:after="200"/>
        <w:ind w:firstLine="567"/>
        <w:jc w:val="both"/>
        <w:rPr>
          <w:color w:val="000000"/>
        </w:rPr>
      </w:pPr>
      <w:r w:rsidRPr="000713B9">
        <w:t xml:space="preserve">Art. 55 </w:t>
      </w:r>
      <w:r w:rsidR="00D05121" w:rsidRPr="000713B9">
        <w:t>Não serão aceitos os estudos de equivalência farmacêutica, perfil de dissolução e bioisenção iniciados durante o período de suspensão ou nos casos de cancelamento da habilitação do centro de equivalência farmacêutica.</w:t>
      </w:r>
      <w:bookmarkEnd w:id="34"/>
    </w:p>
    <w:p w:rsidR="001C4105" w:rsidRPr="000713B9" w:rsidRDefault="001C4105" w:rsidP="000713B9">
      <w:pPr>
        <w:pStyle w:val="TDC1"/>
        <w:spacing w:after="200"/>
        <w:ind w:firstLine="567"/>
        <w:jc w:val="both"/>
        <w:rPr>
          <w:rStyle w:val="Hipervnculo"/>
          <w:rFonts w:ascii="Times New Roman" w:hAnsi="Times New Roman"/>
          <w:bCs/>
        </w:rPr>
      </w:pPr>
      <w:r w:rsidRPr="000713B9">
        <w:rPr>
          <w:rStyle w:val="Hipervnculo"/>
          <w:rFonts w:ascii="Times New Roman" w:hAnsi="Times New Roman"/>
          <w:bCs/>
        </w:rPr>
        <w:t>Parágrafo único. A continuidade dos estudos iniciados anteriormente à data de suspensão ou cancelamento da habilitação ficará condicionada à manifestação formal da Anvisa</w:t>
      </w:r>
    </w:p>
    <w:p w:rsidR="00136ED3" w:rsidRPr="000713B9" w:rsidRDefault="00136ED3" w:rsidP="0020138D">
      <w:pPr>
        <w:keepNext/>
        <w:spacing w:after="200"/>
        <w:jc w:val="center"/>
        <w:outlineLvl w:val="1"/>
        <w:rPr>
          <w:b/>
          <w:bCs/>
          <w:iCs/>
          <w:smallCaps/>
        </w:rPr>
      </w:pPr>
      <w:r w:rsidRPr="000713B9">
        <w:rPr>
          <w:b/>
          <w:bCs/>
          <w:iCs/>
          <w:smallCaps/>
        </w:rPr>
        <w:t>Seção I</w:t>
      </w:r>
      <w:r w:rsidR="0090089E" w:rsidRPr="000713B9">
        <w:rPr>
          <w:b/>
          <w:bCs/>
          <w:iCs/>
          <w:smallCaps/>
        </w:rPr>
        <w:t>I</w:t>
      </w:r>
    </w:p>
    <w:p w:rsidR="001C4105" w:rsidRPr="000713B9" w:rsidRDefault="001C4105" w:rsidP="0020138D">
      <w:pPr>
        <w:keepNext/>
        <w:spacing w:after="200"/>
        <w:jc w:val="center"/>
        <w:outlineLvl w:val="1"/>
        <w:rPr>
          <w:b/>
          <w:bCs/>
        </w:rPr>
      </w:pPr>
      <w:r w:rsidRPr="000713B9">
        <w:rPr>
          <w:b/>
          <w:bCs/>
        </w:rPr>
        <w:t xml:space="preserve">Do cancelamento </w:t>
      </w:r>
      <w:r w:rsidR="00E91583" w:rsidRPr="000713B9">
        <w:rPr>
          <w:b/>
          <w:bCs/>
        </w:rPr>
        <w:t xml:space="preserve">da Habilitação </w:t>
      </w:r>
      <w:r w:rsidRPr="000713B9">
        <w:rPr>
          <w:b/>
          <w:bCs/>
        </w:rPr>
        <w:t>a Pedido Do Centro de Equivalência Farmacêutica</w:t>
      </w:r>
    </w:p>
    <w:p w:rsidR="00136ED3" w:rsidRPr="000713B9" w:rsidRDefault="00650182" w:rsidP="000713B9">
      <w:pPr>
        <w:tabs>
          <w:tab w:val="num" w:pos="1872"/>
        </w:tabs>
        <w:autoSpaceDE w:val="0"/>
        <w:autoSpaceDN w:val="0"/>
        <w:adjustRightInd w:val="0"/>
        <w:spacing w:after="200"/>
        <w:ind w:firstLine="567"/>
        <w:jc w:val="both"/>
        <w:rPr>
          <w:color w:val="000000"/>
        </w:rPr>
      </w:pPr>
      <w:r w:rsidRPr="000713B9">
        <w:t xml:space="preserve">Art. 56 </w:t>
      </w:r>
      <w:r w:rsidR="007B7AAA" w:rsidRPr="000713B9">
        <w:t>O cancelamento da habilitação de que se trata esta Seção refere-se à suspensão definitiva da habilitação do Centro de Equivalência Farmacêutica, a seu pedido.</w:t>
      </w:r>
    </w:p>
    <w:p w:rsidR="007B7AAA" w:rsidRPr="000713B9" w:rsidRDefault="00650182" w:rsidP="000713B9">
      <w:pPr>
        <w:tabs>
          <w:tab w:val="num" w:pos="1872"/>
        </w:tabs>
        <w:autoSpaceDE w:val="0"/>
        <w:autoSpaceDN w:val="0"/>
        <w:adjustRightInd w:val="0"/>
        <w:spacing w:after="200"/>
        <w:ind w:firstLine="567"/>
        <w:jc w:val="both"/>
        <w:rPr>
          <w:color w:val="000000"/>
        </w:rPr>
      </w:pPr>
      <w:r w:rsidRPr="000713B9">
        <w:t xml:space="preserve">Art. 57 </w:t>
      </w:r>
      <w:r w:rsidR="007B7AAA" w:rsidRPr="000713B9">
        <w:t>O Centro deve protocolar a petição de “Cancelamento da Habilitação de Centro de Equivalência Farmacêutica a Pedido” juntamente com os documentos listados no artigo 4º desta Resolução.</w:t>
      </w:r>
    </w:p>
    <w:p w:rsidR="00136ED3" w:rsidRPr="000713B9" w:rsidRDefault="00650182" w:rsidP="000713B9">
      <w:pPr>
        <w:tabs>
          <w:tab w:val="num" w:pos="1872"/>
        </w:tabs>
        <w:autoSpaceDE w:val="0"/>
        <w:autoSpaceDN w:val="0"/>
        <w:adjustRightInd w:val="0"/>
        <w:spacing w:after="200"/>
        <w:ind w:firstLine="567"/>
        <w:jc w:val="both"/>
        <w:rPr>
          <w:color w:val="000000"/>
        </w:rPr>
      </w:pPr>
      <w:r w:rsidRPr="000713B9">
        <w:t xml:space="preserve">Art. 58 </w:t>
      </w:r>
      <w:r w:rsidR="007B7AAA" w:rsidRPr="000713B9">
        <w:t>O cancelamento da habilitação a pedido do Centro de Equivalência Farmacêutica será objeto de publicação no DOU.</w:t>
      </w:r>
      <w:r w:rsidR="00C36B92" w:rsidRPr="000713B9">
        <w:rPr>
          <w:color w:val="000000"/>
        </w:rPr>
        <w:t xml:space="preserve"> </w:t>
      </w:r>
    </w:p>
    <w:p w:rsidR="00B710A1" w:rsidRPr="000713B9" w:rsidRDefault="00B710A1" w:rsidP="0020138D">
      <w:pPr>
        <w:spacing w:after="200"/>
        <w:jc w:val="center"/>
        <w:rPr>
          <w:b/>
        </w:rPr>
      </w:pPr>
      <w:r w:rsidRPr="000713B9">
        <w:rPr>
          <w:b/>
        </w:rPr>
        <w:t>TÍTULO III</w:t>
      </w:r>
    </w:p>
    <w:p w:rsidR="00B710A1" w:rsidRPr="000713B9" w:rsidRDefault="00B710A1" w:rsidP="0020138D">
      <w:pPr>
        <w:keepNext/>
        <w:spacing w:after="200"/>
        <w:jc w:val="center"/>
        <w:outlineLvl w:val="0"/>
        <w:rPr>
          <w:b/>
          <w:bCs/>
          <w:caps/>
          <w:kern w:val="32"/>
        </w:rPr>
      </w:pPr>
      <w:bookmarkStart w:id="35" w:name="_Toc330564230"/>
      <w:bookmarkStart w:id="36" w:name="_Toc397347969"/>
      <w:r w:rsidRPr="000713B9">
        <w:rPr>
          <w:b/>
          <w:bCs/>
          <w:caps/>
          <w:kern w:val="32"/>
        </w:rPr>
        <w:t>DAS DISPOSIÇÕES FINAIS E TRANSITÓRIAS</w:t>
      </w:r>
      <w:bookmarkEnd w:id="35"/>
      <w:bookmarkEnd w:id="36"/>
    </w:p>
    <w:p w:rsidR="009A3B3A" w:rsidRPr="000713B9" w:rsidRDefault="00650182" w:rsidP="000713B9">
      <w:pPr>
        <w:tabs>
          <w:tab w:val="num" w:pos="1872"/>
        </w:tabs>
        <w:autoSpaceDE w:val="0"/>
        <w:autoSpaceDN w:val="0"/>
        <w:adjustRightInd w:val="0"/>
        <w:spacing w:after="200"/>
        <w:ind w:firstLine="567"/>
        <w:jc w:val="both"/>
      </w:pPr>
      <w:r w:rsidRPr="000713B9">
        <w:t xml:space="preserve">Art. 59 </w:t>
      </w:r>
      <w:r w:rsidR="00B710A1" w:rsidRPr="000713B9">
        <w:t>Os atos referentes à habilitação, renovação de habilitação e modificações pós-habilitação de Centro de Equivalência Farmacêutica somente produzirão efeitos a partir da data de sua publicação no DOU ou, nos casos que não são objeto dessa publicação, da data de comunicação oficial da Anvisa.</w:t>
      </w:r>
    </w:p>
    <w:p w:rsidR="00B710A1" w:rsidRPr="000713B9" w:rsidRDefault="00650182" w:rsidP="000713B9">
      <w:pPr>
        <w:tabs>
          <w:tab w:val="num" w:pos="1872"/>
        </w:tabs>
        <w:autoSpaceDE w:val="0"/>
        <w:autoSpaceDN w:val="0"/>
        <w:adjustRightInd w:val="0"/>
        <w:spacing w:after="200"/>
        <w:ind w:firstLine="567"/>
        <w:jc w:val="both"/>
      </w:pPr>
      <w:r w:rsidRPr="000713B9">
        <w:t xml:space="preserve">Art. 60 </w:t>
      </w:r>
      <w:r w:rsidR="00B710A1" w:rsidRPr="000713B9">
        <w:t>Os Centros de Equivalência Farmacêutica habilitados serão monitorados por meio de inspeções periódicas para apuração de denúncia, avaliação de desvios de qualidade, auditorias de estudo ou qualquer outra forma de controle, sem necessidade de prévia comunicação.</w:t>
      </w:r>
    </w:p>
    <w:p w:rsidR="00B710A1" w:rsidRPr="000713B9" w:rsidRDefault="00650182" w:rsidP="000713B9">
      <w:pPr>
        <w:autoSpaceDE w:val="0"/>
        <w:autoSpaceDN w:val="0"/>
        <w:adjustRightInd w:val="0"/>
        <w:spacing w:after="200"/>
        <w:ind w:firstLine="567"/>
        <w:jc w:val="both"/>
      </w:pPr>
      <w:r w:rsidRPr="000713B9">
        <w:t xml:space="preserve">§1° </w:t>
      </w:r>
      <w:r w:rsidR="00B710A1" w:rsidRPr="000713B9">
        <w:t>As empresas ou entidades que obtiverem a autorização para realização de estudos de equivalência farmacêutica ou perfil de dissolução comparativo ficam obrigadas a prestar as informações solicitadas pela Anvisa permitindo-lhe o acesso a toda documentação pertinente.</w:t>
      </w:r>
    </w:p>
    <w:p w:rsidR="00B710A1" w:rsidRPr="000713B9" w:rsidRDefault="00650182" w:rsidP="000713B9">
      <w:pPr>
        <w:autoSpaceDE w:val="0"/>
        <w:autoSpaceDN w:val="0"/>
        <w:adjustRightInd w:val="0"/>
        <w:spacing w:after="200"/>
        <w:ind w:firstLine="567"/>
        <w:jc w:val="both"/>
      </w:pPr>
      <w:r w:rsidRPr="000713B9">
        <w:t xml:space="preserve">§2° </w:t>
      </w:r>
      <w:r w:rsidR="00B710A1" w:rsidRPr="000713B9">
        <w:t>Fica também assegurado o direito de acesso de representantes da Anvisa em missão específica às dependências de quaisquer unidades envolvidas nas etapas dos estudos de equivalência farmacêutica</w:t>
      </w:r>
      <w:r w:rsidR="004E1A67" w:rsidRPr="000713B9">
        <w:t>,</w:t>
      </w:r>
      <w:r w:rsidR="00B710A1" w:rsidRPr="000713B9">
        <w:t xml:space="preserve"> perfil de dissolução comparativo</w:t>
      </w:r>
      <w:r w:rsidR="004E1A67" w:rsidRPr="000713B9">
        <w:t xml:space="preserve"> ou bioisenção</w:t>
      </w:r>
      <w:r w:rsidR="00B710A1" w:rsidRPr="000713B9">
        <w:t>, a qualquer momento e sem prévia comunicação, para verificação, avaliação, inspeção, auditoria técnica ou qualquer outra forma de controle.</w:t>
      </w:r>
    </w:p>
    <w:p w:rsidR="00B710A1" w:rsidRPr="000713B9" w:rsidRDefault="00650182" w:rsidP="000713B9">
      <w:pPr>
        <w:tabs>
          <w:tab w:val="num" w:pos="1872"/>
        </w:tabs>
        <w:autoSpaceDE w:val="0"/>
        <w:autoSpaceDN w:val="0"/>
        <w:adjustRightInd w:val="0"/>
        <w:spacing w:after="200"/>
        <w:ind w:firstLine="567"/>
        <w:jc w:val="both"/>
      </w:pPr>
      <w:r w:rsidRPr="000713B9">
        <w:t xml:space="preserve">Art. 61 </w:t>
      </w:r>
      <w:r w:rsidR="00B710A1" w:rsidRPr="000713B9">
        <w:t>A aquisição e guarda de medicamentos sujeitos a controle especial devem atender ao disposto pela Portaria nº. 344, de 12 de maio de 1998, que “aprova o regulamento técnico sobre substâncias e medicamentos sujeitos a controle especial” e suas atualizações.</w:t>
      </w:r>
    </w:p>
    <w:p w:rsidR="00B710A1" w:rsidRPr="000713B9" w:rsidRDefault="00650182" w:rsidP="000713B9">
      <w:pPr>
        <w:tabs>
          <w:tab w:val="num" w:pos="1872"/>
        </w:tabs>
        <w:autoSpaceDE w:val="0"/>
        <w:autoSpaceDN w:val="0"/>
        <w:adjustRightInd w:val="0"/>
        <w:spacing w:after="200"/>
        <w:ind w:firstLine="567"/>
        <w:jc w:val="both"/>
      </w:pPr>
      <w:r w:rsidRPr="000713B9">
        <w:t xml:space="preserve">Art. 62 </w:t>
      </w:r>
      <w:r w:rsidR="00B710A1" w:rsidRPr="000713B9">
        <w:t>Toda documentação pertinente aos ensaios e estudos realizados por Centro de Equivalência Farmacêutica deve permanecer arquivada e disponível durante o prazo de 5 (cinco) anos.</w:t>
      </w:r>
    </w:p>
    <w:p w:rsidR="003A5473" w:rsidRPr="000713B9" w:rsidRDefault="00B710A1" w:rsidP="000713B9">
      <w:pPr>
        <w:tabs>
          <w:tab w:val="num" w:pos="900"/>
        </w:tabs>
        <w:autoSpaceDE w:val="0"/>
        <w:autoSpaceDN w:val="0"/>
        <w:adjustRightInd w:val="0"/>
        <w:spacing w:after="200"/>
        <w:ind w:firstLine="567"/>
        <w:jc w:val="both"/>
      </w:pPr>
      <w:r w:rsidRPr="000713B9">
        <w:t>Parágrafo único. Para efeitos de terceirização de ensaios, tanto o contratante como o contratado devem manter registros da documentação completa pelo prazo citado no caput.</w:t>
      </w:r>
    </w:p>
    <w:p w:rsidR="00B710A1" w:rsidRPr="000713B9" w:rsidRDefault="00650182" w:rsidP="000713B9">
      <w:pPr>
        <w:tabs>
          <w:tab w:val="num" w:pos="1872"/>
        </w:tabs>
        <w:autoSpaceDE w:val="0"/>
        <w:autoSpaceDN w:val="0"/>
        <w:adjustRightInd w:val="0"/>
        <w:spacing w:after="200"/>
        <w:ind w:firstLine="567"/>
        <w:jc w:val="both"/>
      </w:pPr>
      <w:r w:rsidRPr="000713B9">
        <w:t xml:space="preserve">Art. 63 </w:t>
      </w:r>
      <w:r w:rsidR="00B710A1" w:rsidRPr="000713B9">
        <w:t>A Anvisa estabelecerá a documentação que deverá ser apresentada pelos Centros de Equivalência Farmacêutica para os casos não contemplados nesta Resolução ou que não satisfaçam a algum dos critérios nela estabelecidos. </w:t>
      </w:r>
    </w:p>
    <w:p w:rsidR="007E38FC" w:rsidRPr="000713B9" w:rsidRDefault="00650182" w:rsidP="000713B9">
      <w:pPr>
        <w:tabs>
          <w:tab w:val="num" w:pos="1872"/>
        </w:tabs>
        <w:autoSpaceDE w:val="0"/>
        <w:autoSpaceDN w:val="0"/>
        <w:adjustRightInd w:val="0"/>
        <w:spacing w:after="200"/>
        <w:ind w:firstLine="567"/>
        <w:jc w:val="both"/>
      </w:pPr>
      <w:r w:rsidRPr="000713B9">
        <w:t xml:space="preserve">Art. 64 </w:t>
      </w:r>
      <w:r w:rsidR="00B710A1" w:rsidRPr="000713B9">
        <w:t>O descumprimento das disposições contidas nesta Resolução constitui infração sanitária, nos termos da Lei nº 6.437, de 20 de agosto de 1977, sem prejuízo das responsabilidades civil, administrativa e penal cabíveis.</w:t>
      </w:r>
    </w:p>
    <w:p w:rsidR="00B710A1" w:rsidRPr="000713B9" w:rsidRDefault="00650182" w:rsidP="000713B9">
      <w:pPr>
        <w:tabs>
          <w:tab w:val="num" w:pos="1872"/>
        </w:tabs>
        <w:autoSpaceDE w:val="0"/>
        <w:autoSpaceDN w:val="0"/>
        <w:adjustRightInd w:val="0"/>
        <w:spacing w:after="200"/>
        <w:ind w:firstLine="567"/>
        <w:jc w:val="both"/>
      </w:pPr>
      <w:r w:rsidRPr="000713B9">
        <w:t xml:space="preserve">Art. 65 </w:t>
      </w:r>
      <w:r w:rsidR="007E38FC" w:rsidRPr="000713B9">
        <w:t>A habilitação dos Centros de Equivalência Farmacêutica atualmente vigente terá validade de um ano a partir da data da última inspeção realizada pela Anvisa ou 270 dias contados a partir da data da publicação dessa Resolução, o que corresponder ao maior prazo.</w:t>
      </w:r>
    </w:p>
    <w:p w:rsidR="00B710A1" w:rsidRPr="000713B9" w:rsidRDefault="00650182" w:rsidP="000713B9">
      <w:pPr>
        <w:tabs>
          <w:tab w:val="num" w:pos="1872"/>
        </w:tabs>
        <w:autoSpaceDE w:val="0"/>
        <w:autoSpaceDN w:val="0"/>
        <w:adjustRightInd w:val="0"/>
        <w:spacing w:after="200"/>
        <w:ind w:firstLine="567"/>
        <w:jc w:val="both"/>
      </w:pPr>
      <w:r w:rsidRPr="000713B9">
        <w:t xml:space="preserve">Art. 66 </w:t>
      </w:r>
      <w:r w:rsidR="00B710A1" w:rsidRPr="000713B9">
        <w:t>Fica</w:t>
      </w:r>
      <w:r w:rsidR="005D60C6" w:rsidRPr="000713B9">
        <w:t>m</w:t>
      </w:r>
      <w:r w:rsidR="00B710A1" w:rsidRPr="000713B9">
        <w:t xml:space="preserve"> revogado</w:t>
      </w:r>
      <w:r w:rsidR="005D60C6" w:rsidRPr="000713B9">
        <w:t>s</w:t>
      </w:r>
      <w:r w:rsidR="00B710A1" w:rsidRPr="000713B9">
        <w:t xml:space="preserve"> o artigo</w:t>
      </w:r>
      <w:r w:rsidR="005D60C6" w:rsidRPr="000713B9">
        <w:t xml:space="preserve"> 4º e seus §§1º e 2º e o artigo</w:t>
      </w:r>
      <w:r w:rsidR="00B710A1" w:rsidRPr="000713B9">
        <w:t xml:space="preserve"> </w:t>
      </w:r>
      <w:r w:rsidR="0088441B" w:rsidRPr="000713B9">
        <w:t xml:space="preserve">7º </w:t>
      </w:r>
      <w:r w:rsidR="00B710A1" w:rsidRPr="000713B9">
        <w:t>da Resolução-RDC nº. 41, de 28 de abril de 2000.</w:t>
      </w:r>
    </w:p>
    <w:p w:rsidR="00B710A1" w:rsidRPr="000713B9" w:rsidRDefault="00B710A1" w:rsidP="000713B9">
      <w:pPr>
        <w:spacing w:after="200"/>
        <w:ind w:firstLine="567"/>
        <w:jc w:val="both"/>
      </w:pPr>
    </w:p>
    <w:p w:rsidR="004733E7" w:rsidRPr="000713B9" w:rsidRDefault="004733E7" w:rsidP="000713B9">
      <w:pPr>
        <w:spacing w:after="200"/>
        <w:jc w:val="both"/>
      </w:pPr>
    </w:p>
    <w:p w:rsidR="00B710A1" w:rsidRPr="000713B9" w:rsidRDefault="007718DD" w:rsidP="000713B9">
      <w:pPr>
        <w:autoSpaceDE w:val="0"/>
        <w:autoSpaceDN w:val="0"/>
        <w:adjustRightInd w:val="0"/>
        <w:spacing w:after="200"/>
        <w:jc w:val="center"/>
      </w:pPr>
      <w:r w:rsidRPr="000713B9">
        <w:t>JARBAS BARBOSA DA SILVA JR.</w:t>
      </w:r>
    </w:p>
    <w:p w:rsidR="00B710A1" w:rsidRPr="000713B9" w:rsidRDefault="00B710A1" w:rsidP="00B710A1"/>
    <w:p w:rsidR="007718DD" w:rsidRPr="000713B9" w:rsidRDefault="007718DD" w:rsidP="00B710A1"/>
    <w:p w:rsidR="00B710A1" w:rsidRPr="000713B9" w:rsidRDefault="0020138D" w:rsidP="00B710A1">
      <w:pPr>
        <w:keepNext/>
        <w:spacing w:line="360" w:lineRule="auto"/>
        <w:jc w:val="center"/>
        <w:outlineLvl w:val="0"/>
        <w:rPr>
          <w:b/>
          <w:bCs/>
          <w:caps/>
          <w:kern w:val="32"/>
        </w:rPr>
      </w:pPr>
      <w:bookmarkStart w:id="37" w:name="_Toc397347970"/>
      <w:r>
        <w:rPr>
          <w:b/>
          <w:bCs/>
          <w:caps/>
          <w:kern w:val="32"/>
        </w:rPr>
        <w:br w:type="page"/>
      </w:r>
      <w:r w:rsidR="00B710A1" w:rsidRPr="000713B9">
        <w:rPr>
          <w:b/>
          <w:bCs/>
          <w:caps/>
          <w:kern w:val="32"/>
        </w:rPr>
        <w:t>ANEXO I</w:t>
      </w:r>
      <w:bookmarkEnd w:id="37"/>
    </w:p>
    <w:p w:rsidR="00B710A1" w:rsidRPr="000713B9" w:rsidRDefault="00B710A1" w:rsidP="00B710A1"/>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5"/>
      </w:tblGrid>
      <w:tr w:rsidR="00B710A1" w:rsidRPr="000713B9" w:rsidTr="0025216C">
        <w:trPr>
          <w:jc w:val="center"/>
        </w:trPr>
        <w:tc>
          <w:tcPr>
            <w:tcW w:w="6805" w:type="dxa"/>
            <w:vAlign w:val="center"/>
          </w:tcPr>
          <w:p w:rsidR="00B710A1" w:rsidRPr="000713B9" w:rsidRDefault="00B710A1" w:rsidP="00B710A1">
            <w:pPr>
              <w:spacing w:line="360" w:lineRule="auto"/>
              <w:jc w:val="center"/>
              <w:rPr>
                <w:b/>
              </w:rPr>
            </w:pPr>
            <w:r w:rsidRPr="000713B9">
              <w:rPr>
                <w:b/>
                <w:noProof/>
              </w:rPr>
              <w:t>TERMO DE RESPONSABILIDADE</w:t>
            </w:r>
          </w:p>
        </w:tc>
      </w:tr>
      <w:tr w:rsidR="00B710A1" w:rsidRPr="000713B9" w:rsidTr="0025216C">
        <w:trPr>
          <w:jc w:val="center"/>
        </w:trPr>
        <w:tc>
          <w:tcPr>
            <w:tcW w:w="6805" w:type="dxa"/>
          </w:tcPr>
          <w:p w:rsidR="00B710A1" w:rsidRPr="000713B9" w:rsidRDefault="00B710A1" w:rsidP="00B710A1">
            <w:pPr>
              <w:spacing w:line="360" w:lineRule="auto"/>
              <w:jc w:val="center"/>
              <w:rPr>
                <w:b/>
              </w:rPr>
            </w:pPr>
            <w:r w:rsidRPr="000713B9">
              <w:rPr>
                <w:b/>
              </w:rPr>
              <w:t>Calibração/Qualificação de Equipamento/Instrumentos</w:t>
            </w:r>
          </w:p>
        </w:tc>
      </w:tr>
      <w:tr w:rsidR="00B710A1" w:rsidRPr="000713B9" w:rsidTr="0025216C">
        <w:trPr>
          <w:trHeight w:val="1323"/>
          <w:jc w:val="center"/>
        </w:trPr>
        <w:tc>
          <w:tcPr>
            <w:tcW w:w="6805" w:type="dxa"/>
            <w:tcBorders>
              <w:bottom w:val="nil"/>
            </w:tcBorders>
          </w:tcPr>
          <w:p w:rsidR="00B710A1" w:rsidRPr="000713B9" w:rsidRDefault="00B710A1" w:rsidP="00A81810">
            <w:pPr>
              <w:spacing w:line="360" w:lineRule="auto"/>
              <w:ind w:firstLine="720"/>
              <w:jc w:val="both"/>
              <w:rPr>
                <w:caps/>
              </w:rPr>
            </w:pPr>
            <w:r w:rsidRPr="000713B9">
              <w:rPr>
                <w:noProof/>
              </w:rPr>
              <w:t xml:space="preserve">Eu, </w:t>
            </w:r>
            <w:bookmarkStart w:id="38" w:name="Texto8"/>
            <w:r w:rsidRPr="000713B9">
              <w:rPr>
                <w:noProof/>
                <w:highlight w:val="lightGray"/>
              </w:rPr>
              <w:fldChar w:fldCharType="begin">
                <w:ffData>
                  <w:name w:val="Texto8"/>
                  <w:enabled/>
                  <w:calcOnExit w:val="0"/>
                  <w:textInput/>
                </w:ffData>
              </w:fldChar>
            </w:r>
            <w:r w:rsidRPr="000713B9">
              <w:rPr>
                <w:noProof/>
                <w:highlight w:val="lightGray"/>
              </w:rPr>
              <w:instrText xml:space="preserve"> FORMTEXT </w:instrText>
            </w:r>
            <w:r w:rsidRPr="000713B9">
              <w:rPr>
                <w:noProof/>
                <w:highlight w:val="lightGray"/>
              </w:rPr>
            </w:r>
            <w:r w:rsidRPr="000713B9">
              <w:rPr>
                <w:noProof/>
                <w:highlight w:val="lightGray"/>
              </w:rPr>
              <w:fldChar w:fldCharType="separate"/>
            </w:r>
            <w:r w:rsidRPr="000713B9">
              <w:rPr>
                <w:noProof/>
                <w:highlight w:val="lightGray"/>
              </w:rPr>
              <w:t>nome</w:t>
            </w:r>
            <w:r w:rsidRPr="000713B9">
              <w:rPr>
                <w:noProof/>
                <w:highlight w:val="lightGray"/>
              </w:rPr>
              <w:fldChar w:fldCharType="end"/>
            </w:r>
            <w:bookmarkEnd w:id="38"/>
            <w:r w:rsidRPr="000713B9">
              <w:rPr>
                <w:noProof/>
              </w:rPr>
              <w:t xml:space="preserve">, inscrito no CPF nº. </w:t>
            </w:r>
            <w:r w:rsidR="00A81810" w:rsidRPr="000713B9">
              <w:rPr>
                <w:noProof/>
              </w:rPr>
              <w:t xml:space="preserve">    </w:t>
            </w:r>
            <w:r w:rsidRPr="000713B9">
              <w:rPr>
                <w:noProof/>
              </w:rPr>
              <w:t>e CRF/</w:t>
            </w:r>
            <w:r w:rsidRPr="000713B9">
              <w:rPr>
                <w:noProof/>
                <w:highlight w:val="lightGray"/>
              </w:rPr>
              <w:t>UF</w:t>
            </w:r>
            <w:r w:rsidRPr="000713B9">
              <w:rPr>
                <w:noProof/>
              </w:rPr>
              <w:t xml:space="preserve"> nº.</w:t>
            </w:r>
            <w:r w:rsidR="00A81810" w:rsidRPr="000713B9">
              <w:rPr>
                <w:noProof/>
              </w:rPr>
              <w:t xml:space="preserve">      </w:t>
            </w:r>
            <w:r w:rsidRPr="000713B9">
              <w:rPr>
                <w:noProof/>
              </w:rPr>
              <w:t>,</w:t>
            </w:r>
            <w:r w:rsidRPr="000713B9" w:rsidDel="00CC77D5">
              <w:rPr>
                <w:noProof/>
              </w:rPr>
              <w:t xml:space="preserve"> </w:t>
            </w:r>
            <w:r w:rsidRPr="000713B9">
              <w:rPr>
                <w:noProof/>
              </w:rPr>
              <w:t xml:space="preserve">Responsável Técnico  do </w:t>
            </w:r>
            <w:r w:rsidRPr="000713B9">
              <w:rPr>
                <w:noProof/>
              </w:rPr>
              <w:fldChar w:fldCharType="begin">
                <w:ffData>
                  <w:name w:val=""/>
                  <w:enabled/>
                  <w:calcOnExit w:val="0"/>
                  <w:textInput>
                    <w:default w:val="razão social do laboratório candidato à Centro de Equivalência Farmacêutica / Centro candidato à renovação de sua habilitação / Centro ou Laboratório contratado na terceirização de ensaios"/>
                  </w:textInput>
                </w:ffData>
              </w:fldChar>
            </w:r>
            <w:r w:rsidRPr="000713B9">
              <w:rPr>
                <w:noProof/>
              </w:rPr>
              <w:instrText xml:space="preserve"> FORMTEXT </w:instrText>
            </w:r>
            <w:r w:rsidRPr="000713B9">
              <w:rPr>
                <w:noProof/>
              </w:rPr>
            </w:r>
            <w:r w:rsidRPr="000713B9">
              <w:rPr>
                <w:noProof/>
              </w:rPr>
              <w:fldChar w:fldCharType="separate"/>
            </w:r>
            <w:r w:rsidRPr="000713B9">
              <w:rPr>
                <w:noProof/>
              </w:rPr>
              <w:t>razão social do laboratório candidato à Centro de Equivalência Farmacêutica / Centro candidato à renovação de sua habilitação / Centro ou Laboratório contratado na terceirização de ensaios</w:t>
            </w:r>
            <w:r w:rsidRPr="000713B9">
              <w:rPr>
                <w:noProof/>
              </w:rPr>
              <w:fldChar w:fldCharType="end"/>
            </w:r>
            <w:r w:rsidRPr="000713B9">
              <w:rPr>
                <w:noProof/>
              </w:rPr>
              <w:t>,  inscrito no CNPJ nº.</w:t>
            </w:r>
            <w:r w:rsidR="00A81810" w:rsidRPr="000713B9">
              <w:rPr>
                <w:noProof/>
              </w:rPr>
              <w:t xml:space="preserve">    </w:t>
            </w:r>
            <w:r w:rsidRPr="000713B9">
              <w:rPr>
                <w:noProof/>
              </w:rPr>
              <w:t>, mediante este instrumento, declaro responsabilizar-me em garantir a calibração/qualificação de todos os equipamentos e instrumentos do laboratório pelo qual sou responsável; em cumprir o</w:t>
            </w:r>
          </w:p>
        </w:tc>
      </w:tr>
      <w:tr w:rsidR="0025216C" w:rsidRPr="000713B9" w:rsidTr="0025216C">
        <w:trPr>
          <w:trHeight w:val="1388"/>
          <w:jc w:val="center"/>
        </w:trPr>
        <w:tc>
          <w:tcPr>
            <w:tcW w:w="6805" w:type="dxa"/>
            <w:tcBorders>
              <w:top w:val="nil"/>
              <w:bottom w:val="nil"/>
            </w:tcBorders>
          </w:tcPr>
          <w:p w:rsidR="0025216C" w:rsidRPr="000713B9" w:rsidRDefault="0025216C" w:rsidP="00B710A1">
            <w:pPr>
              <w:spacing w:line="360" w:lineRule="auto"/>
              <w:ind w:firstLine="720"/>
              <w:jc w:val="both"/>
              <w:rPr>
                <w:noProof/>
              </w:rPr>
            </w:pPr>
            <w:r w:rsidRPr="000713B9">
              <w:rPr>
                <w:noProof/>
              </w:rPr>
              <w:t xml:space="preserve"> cronograma de calibração/qualificação de equipamentos e instrumentos estabelecidos no Portal da Anvisa, no sítio da Equivalência Farmacêutica; em garantir que a faixa na qual o equipamento ou instrumento foi calibrado ou qualificado está de acordo com a forma farmacêutica a que se destina e em garantir que os resultados descritos nos certificados de calibração/qualificação estão dentro das especificações ou critérios de aceitação estabelecidos.</w:t>
            </w:r>
          </w:p>
        </w:tc>
      </w:tr>
      <w:tr w:rsidR="0025216C" w:rsidRPr="000713B9" w:rsidTr="0025216C">
        <w:trPr>
          <w:trHeight w:val="794"/>
          <w:jc w:val="center"/>
        </w:trPr>
        <w:tc>
          <w:tcPr>
            <w:tcW w:w="6805" w:type="dxa"/>
            <w:tcBorders>
              <w:top w:val="nil"/>
            </w:tcBorders>
          </w:tcPr>
          <w:p w:rsidR="0025216C" w:rsidRPr="000713B9" w:rsidRDefault="0025216C" w:rsidP="00B710A1">
            <w:pPr>
              <w:spacing w:line="360" w:lineRule="auto"/>
              <w:ind w:firstLine="720"/>
              <w:jc w:val="both"/>
              <w:rPr>
                <w:noProof/>
              </w:rPr>
            </w:pPr>
          </w:p>
          <w:p w:rsidR="0025216C" w:rsidRPr="000713B9" w:rsidRDefault="0025216C" w:rsidP="00B710A1">
            <w:pPr>
              <w:spacing w:line="360" w:lineRule="auto"/>
              <w:ind w:left="57" w:right="57"/>
              <w:rPr>
                <w:noProof/>
              </w:rPr>
            </w:pPr>
            <w:r w:rsidRPr="000713B9">
              <w:rPr>
                <w:noProof/>
              </w:rPr>
              <w:t>____________________________________     __________________________________________</w:t>
            </w:r>
          </w:p>
          <w:p w:rsidR="0025216C" w:rsidRPr="000713B9" w:rsidRDefault="0025216C" w:rsidP="00B710A1">
            <w:pPr>
              <w:spacing w:line="360" w:lineRule="auto"/>
              <w:jc w:val="both"/>
              <w:rPr>
                <w:noProof/>
              </w:rPr>
            </w:pPr>
            <w:r w:rsidRPr="000713B9">
              <w:rPr>
                <w:noProof/>
              </w:rPr>
              <w:t xml:space="preserve">    localidade e data</w:t>
            </w:r>
            <w:r w:rsidRPr="000713B9" w:rsidDel="004555CE">
              <w:rPr>
                <w:noProof/>
              </w:rPr>
              <w:t xml:space="preserve"> </w:t>
            </w:r>
            <w:r w:rsidRPr="000713B9">
              <w:rPr>
                <w:noProof/>
              </w:rPr>
              <w:t xml:space="preserve">                                                            assinatura do Responsável Técnico</w:t>
            </w:r>
          </w:p>
        </w:tc>
      </w:tr>
    </w:tbl>
    <w:p w:rsidR="00B710A1" w:rsidRPr="000713B9" w:rsidRDefault="00B710A1" w:rsidP="00B710A1">
      <w:pPr>
        <w:spacing w:line="360" w:lineRule="auto"/>
      </w:pPr>
    </w:p>
    <w:p w:rsidR="00B710A1" w:rsidRPr="000713B9" w:rsidRDefault="00B710A1" w:rsidP="00B710A1">
      <w:pPr>
        <w:spacing w:line="360" w:lineRule="auto"/>
      </w:pPr>
    </w:p>
    <w:p w:rsidR="00B710A1" w:rsidRPr="000713B9" w:rsidRDefault="0020138D" w:rsidP="00B710A1">
      <w:pPr>
        <w:keepNext/>
        <w:spacing w:line="360" w:lineRule="auto"/>
        <w:jc w:val="center"/>
        <w:outlineLvl w:val="0"/>
        <w:rPr>
          <w:b/>
          <w:bCs/>
          <w:caps/>
          <w:kern w:val="32"/>
        </w:rPr>
      </w:pPr>
      <w:bookmarkStart w:id="39" w:name="_Toc397347971"/>
      <w:r>
        <w:rPr>
          <w:b/>
          <w:bCs/>
          <w:caps/>
          <w:kern w:val="32"/>
        </w:rPr>
        <w:br w:type="page"/>
      </w:r>
      <w:r w:rsidR="00B710A1" w:rsidRPr="000713B9">
        <w:rPr>
          <w:b/>
          <w:bCs/>
          <w:caps/>
          <w:kern w:val="32"/>
        </w:rPr>
        <w:t>ANEXO II</w:t>
      </w:r>
      <w:bookmarkEnd w:id="39"/>
    </w:p>
    <w:p w:rsidR="00B710A1" w:rsidRPr="000713B9" w:rsidRDefault="00B710A1" w:rsidP="00B710A1">
      <w:pPr>
        <w:spacing w:line="360" w:lineRule="auto"/>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4"/>
      </w:tblGrid>
      <w:tr w:rsidR="00B710A1" w:rsidRPr="000713B9" w:rsidTr="000B2D09">
        <w:trPr>
          <w:jc w:val="center"/>
        </w:trPr>
        <w:tc>
          <w:tcPr>
            <w:tcW w:w="10345" w:type="dxa"/>
            <w:vAlign w:val="center"/>
          </w:tcPr>
          <w:p w:rsidR="00B710A1" w:rsidRPr="000713B9" w:rsidRDefault="00B710A1" w:rsidP="00B710A1">
            <w:pPr>
              <w:spacing w:line="360" w:lineRule="auto"/>
              <w:jc w:val="center"/>
              <w:rPr>
                <w:b/>
              </w:rPr>
            </w:pPr>
            <w:r w:rsidRPr="000713B9">
              <w:rPr>
                <w:b/>
              </w:rPr>
              <w:t>TERMO DE RESPONSABILIDADE</w:t>
            </w:r>
          </w:p>
        </w:tc>
      </w:tr>
      <w:tr w:rsidR="00B710A1" w:rsidRPr="000713B9" w:rsidTr="0025216C">
        <w:trPr>
          <w:jc w:val="center"/>
        </w:trPr>
        <w:tc>
          <w:tcPr>
            <w:tcW w:w="10345" w:type="dxa"/>
            <w:vAlign w:val="center"/>
          </w:tcPr>
          <w:p w:rsidR="00B710A1" w:rsidRPr="000713B9" w:rsidRDefault="00B710A1" w:rsidP="00B710A1">
            <w:pPr>
              <w:spacing w:line="360" w:lineRule="auto"/>
              <w:jc w:val="center"/>
              <w:rPr>
                <w:b/>
              </w:rPr>
            </w:pPr>
            <w:r w:rsidRPr="000713B9">
              <w:rPr>
                <w:b/>
              </w:rPr>
              <w:t>Qualificação de Analistas</w:t>
            </w:r>
          </w:p>
        </w:tc>
      </w:tr>
      <w:tr w:rsidR="00B710A1" w:rsidRPr="000713B9" w:rsidTr="0025216C">
        <w:trPr>
          <w:trHeight w:val="1635"/>
          <w:jc w:val="center"/>
        </w:trPr>
        <w:tc>
          <w:tcPr>
            <w:tcW w:w="10345" w:type="dxa"/>
            <w:tcBorders>
              <w:bottom w:val="nil"/>
            </w:tcBorders>
          </w:tcPr>
          <w:p w:rsidR="00B710A1" w:rsidRPr="000713B9" w:rsidRDefault="00B710A1" w:rsidP="00B710A1">
            <w:pPr>
              <w:spacing w:line="360" w:lineRule="auto"/>
              <w:ind w:firstLine="720"/>
              <w:jc w:val="both"/>
              <w:rPr>
                <w:noProof/>
              </w:rPr>
            </w:pPr>
            <w:r w:rsidRPr="000713B9">
              <w:rPr>
                <w:noProof/>
              </w:rPr>
              <w:t xml:space="preserve">Eu, </w:t>
            </w:r>
            <w:bookmarkStart w:id="40" w:name="Texto12"/>
            <w:r w:rsidRPr="000713B9">
              <w:rPr>
                <w:noProof/>
              </w:rPr>
              <w:fldChar w:fldCharType="begin">
                <w:ffData>
                  <w:name w:val="Texto12"/>
                  <w:enabled/>
                  <w:calcOnExit w:val="0"/>
                  <w:textInput/>
                </w:ffData>
              </w:fldChar>
            </w:r>
            <w:r w:rsidRPr="000713B9">
              <w:rPr>
                <w:noProof/>
              </w:rPr>
              <w:instrText xml:space="preserve"> FORMTEXT </w:instrText>
            </w:r>
            <w:r w:rsidRPr="000713B9">
              <w:rPr>
                <w:noProof/>
              </w:rPr>
            </w:r>
            <w:r w:rsidRPr="000713B9">
              <w:rPr>
                <w:noProof/>
              </w:rPr>
              <w:fldChar w:fldCharType="separate"/>
            </w:r>
            <w:r w:rsidRPr="000713B9">
              <w:rPr>
                <w:noProof/>
              </w:rPr>
              <w:t>nome</w:t>
            </w:r>
            <w:r w:rsidRPr="000713B9">
              <w:rPr>
                <w:noProof/>
              </w:rPr>
              <w:fldChar w:fldCharType="end"/>
            </w:r>
            <w:bookmarkEnd w:id="40"/>
            <w:r w:rsidRPr="000713B9">
              <w:rPr>
                <w:noProof/>
              </w:rPr>
              <w:t xml:space="preserve">, inscrito no CPF nº. </w:t>
            </w:r>
            <w:r w:rsidR="00A81810" w:rsidRPr="000713B9">
              <w:rPr>
                <w:noProof/>
              </w:rPr>
              <w:t xml:space="preserve">     </w:t>
            </w:r>
            <w:r w:rsidRPr="000713B9">
              <w:rPr>
                <w:noProof/>
              </w:rPr>
              <w:t>e CRF/UF nº.</w:t>
            </w:r>
            <w:r w:rsidR="00A81810" w:rsidRPr="000713B9">
              <w:rPr>
                <w:noProof/>
              </w:rPr>
              <w:t xml:space="preserve">      </w:t>
            </w:r>
            <w:r w:rsidRPr="000713B9">
              <w:rPr>
                <w:noProof/>
              </w:rPr>
              <w:t>,</w:t>
            </w:r>
            <w:r w:rsidRPr="000713B9" w:rsidDel="00CC77D5">
              <w:rPr>
                <w:noProof/>
              </w:rPr>
              <w:t xml:space="preserve"> </w:t>
            </w:r>
            <w:r w:rsidRPr="000713B9">
              <w:rPr>
                <w:noProof/>
              </w:rPr>
              <w:t xml:space="preserve">Responsável Técnico do </w:t>
            </w:r>
            <w:r w:rsidRPr="000713B9">
              <w:rPr>
                <w:noProof/>
              </w:rPr>
              <w:fldChar w:fldCharType="begin">
                <w:ffData>
                  <w:name w:val=""/>
                  <w:enabled/>
                  <w:calcOnExit w:val="0"/>
                  <w:textInput>
                    <w:default w:val="razão social do laboratório candidato à Centro de Equivalência Farmacêutica / Centro candidato à renovação de sua habilitação / Centro ou Laboratório contratado na terceirização de ensaios"/>
                  </w:textInput>
                </w:ffData>
              </w:fldChar>
            </w:r>
            <w:r w:rsidRPr="000713B9">
              <w:rPr>
                <w:noProof/>
              </w:rPr>
              <w:instrText xml:space="preserve"> FORMTEXT </w:instrText>
            </w:r>
            <w:r w:rsidRPr="000713B9">
              <w:rPr>
                <w:noProof/>
              </w:rPr>
            </w:r>
            <w:r w:rsidRPr="000713B9">
              <w:rPr>
                <w:noProof/>
              </w:rPr>
              <w:fldChar w:fldCharType="separate"/>
            </w:r>
            <w:r w:rsidRPr="000713B9">
              <w:rPr>
                <w:noProof/>
              </w:rPr>
              <w:t>razão social do laboratório candidato à Centro de Equivalência Farmacêutica / Centro candidato à renovação de sua habilitação / Centro ou Laboratório contratado na terceirização de ensaios</w:t>
            </w:r>
            <w:r w:rsidRPr="000713B9">
              <w:rPr>
                <w:noProof/>
              </w:rPr>
              <w:fldChar w:fldCharType="end"/>
            </w:r>
            <w:r w:rsidRPr="000713B9">
              <w:rPr>
                <w:noProof/>
              </w:rPr>
              <w:t>, inscrito no CNPJ nº.</w:t>
            </w:r>
            <w:r w:rsidR="00A81810" w:rsidRPr="000713B9">
              <w:rPr>
                <w:noProof/>
              </w:rPr>
              <w:t xml:space="preserve">     </w:t>
            </w:r>
            <w:r w:rsidRPr="000713B9">
              <w:rPr>
                <w:noProof/>
              </w:rPr>
              <w:t>, mediante este instrumento, declaro responsabilizar-me pela devida qualificação dos analistas envolvidos com os seguintes ensaios ou escopos:</w:t>
            </w:r>
          </w:p>
          <w:p w:rsidR="00B710A1" w:rsidRPr="000713B9" w:rsidRDefault="00B710A1" w:rsidP="00B710A1">
            <w:pPr>
              <w:spacing w:line="360" w:lineRule="auto"/>
            </w:pPr>
          </w:p>
        </w:tc>
      </w:tr>
      <w:tr w:rsidR="0025216C" w:rsidRPr="000713B9" w:rsidTr="0025216C">
        <w:trPr>
          <w:trHeight w:val="856"/>
          <w:jc w:val="center"/>
        </w:trPr>
        <w:tc>
          <w:tcPr>
            <w:tcW w:w="10345" w:type="dxa"/>
            <w:tcBorders>
              <w:top w:val="nil"/>
            </w:tcBorders>
          </w:tcPr>
          <w:p w:rsidR="0025216C" w:rsidRPr="000713B9" w:rsidRDefault="0025216C" w:rsidP="00B710A1">
            <w:pPr>
              <w:spacing w:line="360" w:lineRule="auto"/>
              <w:ind w:firstLine="720"/>
              <w:jc w:val="both"/>
              <w:rPr>
                <w:noProof/>
              </w:rPr>
            </w:pPr>
          </w:p>
          <w:p w:rsidR="0025216C" w:rsidRPr="000713B9" w:rsidRDefault="0025216C" w:rsidP="00B710A1">
            <w:pPr>
              <w:spacing w:line="360" w:lineRule="auto"/>
              <w:jc w:val="both"/>
              <w:rPr>
                <w:noProof/>
              </w:rPr>
            </w:pPr>
            <w:r w:rsidRPr="000713B9">
              <w:rPr>
                <w:noProof/>
              </w:rPr>
              <w:t>_______________________________________     ________________________________________</w:t>
            </w:r>
          </w:p>
          <w:p w:rsidR="0025216C" w:rsidRPr="000713B9" w:rsidRDefault="0025216C" w:rsidP="00B710A1">
            <w:pPr>
              <w:spacing w:line="360" w:lineRule="auto"/>
              <w:rPr>
                <w:noProof/>
              </w:rPr>
            </w:pPr>
            <w:r w:rsidRPr="000713B9">
              <w:rPr>
                <w:noProof/>
              </w:rPr>
              <w:t xml:space="preserve">   localidade e data</w:t>
            </w:r>
            <w:r w:rsidRPr="000713B9" w:rsidDel="004555CE">
              <w:rPr>
                <w:noProof/>
              </w:rPr>
              <w:t xml:space="preserve"> </w:t>
            </w:r>
            <w:r w:rsidRPr="000713B9">
              <w:rPr>
                <w:noProof/>
              </w:rPr>
              <w:t xml:space="preserve">                                                                assinatura do Responsável Técnico</w:t>
            </w:r>
          </w:p>
        </w:tc>
      </w:tr>
    </w:tbl>
    <w:p w:rsidR="00B710A1" w:rsidRPr="000713B9" w:rsidRDefault="00B710A1" w:rsidP="00B710A1">
      <w:pPr>
        <w:spacing w:line="360" w:lineRule="auto"/>
      </w:pPr>
    </w:p>
    <w:p w:rsidR="00B710A1" w:rsidRPr="000713B9" w:rsidRDefault="00B710A1" w:rsidP="00B710A1">
      <w:pPr>
        <w:spacing w:line="360" w:lineRule="auto"/>
      </w:pPr>
    </w:p>
    <w:sectPr w:rsidR="00B710A1" w:rsidRPr="000713B9" w:rsidSect="000713B9">
      <w:headerReference w:type="default" r:id="rId8"/>
      <w:footerReference w:type="even" r:id="rId9"/>
      <w:footerReference w:type="default" r:id="rId10"/>
      <w:pgSz w:w="11906" w:h="16838" w:code="9"/>
      <w:pgMar w:top="1417" w:right="1701" w:bottom="1417"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682" w:rsidRDefault="00046682">
      <w:r>
        <w:separator/>
      </w:r>
    </w:p>
  </w:endnote>
  <w:endnote w:type="continuationSeparator" w:id="0">
    <w:p w:rsidR="00046682" w:rsidRDefault="00046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0A1" w:rsidRDefault="00B710A1" w:rsidP="008E08E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710A1" w:rsidRDefault="00B710A1" w:rsidP="00B24EA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0A1" w:rsidRPr="000713B9" w:rsidRDefault="000713B9" w:rsidP="000713B9">
    <w:pPr>
      <w:tabs>
        <w:tab w:val="center" w:pos="4252"/>
        <w:tab w:val="right" w:pos="8504"/>
      </w:tabs>
      <w:rPr>
        <w:rFonts w:ascii="Calibri" w:hAnsi="Calibri"/>
      </w:rPr>
    </w:pPr>
    <w:r>
      <w:rPr>
        <w:rFonts w:ascii="Calibri" w:hAnsi="Calibri"/>
        <w:color w:val="943634"/>
      </w:rPr>
      <w:tab/>
    </w: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682" w:rsidRDefault="00046682">
      <w:r>
        <w:separator/>
      </w:r>
    </w:p>
  </w:footnote>
  <w:footnote w:type="continuationSeparator" w:id="0">
    <w:p w:rsidR="00046682" w:rsidRDefault="00046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3B9" w:rsidRPr="00B517AC" w:rsidRDefault="000713B9" w:rsidP="000713B9">
    <w:pPr>
      <w:tabs>
        <w:tab w:val="center" w:pos="4252"/>
        <w:tab w:val="right" w:pos="8504"/>
      </w:tabs>
      <w:jc w:val="center"/>
      <w:rPr>
        <w:rFonts w:ascii="Calibri" w:hAnsi="Calibri"/>
      </w:rPr>
    </w:pPr>
    <w:r w:rsidRPr="000713B9">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0713B9" w:rsidRPr="00B517AC" w:rsidRDefault="000713B9" w:rsidP="000713B9">
    <w:pPr>
      <w:tabs>
        <w:tab w:val="center" w:pos="4252"/>
        <w:tab w:val="right" w:pos="8504"/>
      </w:tabs>
      <w:jc w:val="center"/>
      <w:rPr>
        <w:rFonts w:ascii="Calibri" w:hAnsi="Calibri"/>
        <w:b/>
      </w:rPr>
    </w:pPr>
    <w:r w:rsidRPr="00B517AC">
      <w:rPr>
        <w:rFonts w:ascii="Calibri" w:hAnsi="Calibri"/>
        <w:b/>
      </w:rPr>
      <w:t>Ministério da Saúde - MS</w:t>
    </w:r>
  </w:p>
  <w:p w:rsidR="00B710A1" w:rsidRDefault="000713B9" w:rsidP="000713B9">
    <w:pPr>
      <w:tabs>
        <w:tab w:val="center" w:pos="4252"/>
        <w:tab w:val="right" w:pos="8504"/>
      </w:tabs>
      <w:jc w:val="center"/>
      <w:rPr>
        <w:rFonts w:ascii="Calibri" w:hAnsi="Calibri"/>
        <w:b/>
      </w:rPr>
    </w:pPr>
    <w:r w:rsidRPr="00B517AC">
      <w:rPr>
        <w:rFonts w:ascii="Calibri" w:hAnsi="Calibri"/>
        <w:b/>
      </w:rPr>
      <w:t xml:space="preserve">Agência Nacional de Vigilância Sanitária </w:t>
    </w:r>
    <w:r>
      <w:rPr>
        <w:rFonts w:ascii="Calibri" w:hAnsi="Calibri"/>
        <w:b/>
      </w:rPr>
      <w:t>–</w:t>
    </w:r>
    <w:r w:rsidRPr="00B517AC">
      <w:rPr>
        <w:rFonts w:ascii="Calibri" w:hAnsi="Calibri"/>
        <w:b/>
      </w:rPr>
      <w:t xml:space="preserve"> ANVISA</w:t>
    </w:r>
  </w:p>
  <w:p w:rsidR="000713B9" w:rsidRPr="000713B9" w:rsidRDefault="000713B9" w:rsidP="000713B9">
    <w:pPr>
      <w:tabs>
        <w:tab w:val="center" w:pos="4252"/>
        <w:tab w:val="right" w:pos="8504"/>
      </w:tabs>
      <w:jc w:val="center"/>
      <w:rPr>
        <w:rFonts w:ascii="Calibri" w:hAnsi="Calibr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38DB"/>
    <w:multiLevelType w:val="multilevel"/>
    <w:tmpl w:val="04160027"/>
    <w:lvl w:ilvl="0">
      <w:start w:val="1"/>
      <w:numFmt w:val="upperRoman"/>
      <w:lvlText w:val="%1."/>
      <w:lvlJc w:val="left"/>
      <w:pPr>
        <w:tabs>
          <w:tab w:val="num" w:pos="360"/>
        </w:tabs>
      </w:pPr>
      <w:rPr>
        <w:rFonts w:cs="Times New Roman" w:hint="default"/>
      </w:rPr>
    </w:lvl>
    <w:lvl w:ilvl="1">
      <w:start w:val="1"/>
      <w:numFmt w:val="upperLetter"/>
      <w:lvlText w:val="%2."/>
      <w:lvlJc w:val="left"/>
      <w:pPr>
        <w:tabs>
          <w:tab w:val="num" w:pos="900"/>
        </w:tabs>
        <w:ind w:left="540"/>
      </w:pPr>
      <w:rPr>
        <w:rFonts w:cs="Times New Roman" w:hint="default"/>
        <w:color w:val="000000"/>
      </w:rPr>
    </w:lvl>
    <w:lvl w:ilvl="2">
      <w:start w:val="1"/>
      <w:numFmt w:val="decimal"/>
      <w:lvlText w:val="%3."/>
      <w:lvlJc w:val="left"/>
      <w:pPr>
        <w:tabs>
          <w:tab w:val="num" w:pos="1800"/>
        </w:tabs>
        <w:ind w:left="1440"/>
      </w:pPr>
      <w:rPr>
        <w:rFonts w:cs="Times New Roman" w:hint="default"/>
      </w:rPr>
    </w:lvl>
    <w:lvl w:ilvl="3">
      <w:start w:val="1"/>
      <w:numFmt w:val="lowerLetter"/>
      <w:pStyle w:val="Ttulo4"/>
      <w:lvlText w:val="%4)"/>
      <w:lvlJc w:val="left"/>
      <w:pPr>
        <w:tabs>
          <w:tab w:val="num" w:pos="2520"/>
        </w:tabs>
        <w:ind w:left="2160"/>
      </w:pPr>
      <w:rPr>
        <w:rFonts w:cs="Times New Roman" w:hint="default"/>
      </w:rPr>
    </w:lvl>
    <w:lvl w:ilvl="4">
      <w:start w:val="1"/>
      <w:numFmt w:val="decimal"/>
      <w:pStyle w:val="Ttulo5"/>
      <w:lvlText w:val="(%5)"/>
      <w:lvlJc w:val="left"/>
      <w:pPr>
        <w:tabs>
          <w:tab w:val="num" w:pos="3240"/>
        </w:tabs>
        <w:ind w:left="2880"/>
      </w:pPr>
      <w:rPr>
        <w:rFonts w:cs="Times New Roman" w:hint="default"/>
      </w:rPr>
    </w:lvl>
    <w:lvl w:ilvl="5">
      <w:start w:val="1"/>
      <w:numFmt w:val="lowerLetter"/>
      <w:pStyle w:val="Ttulo6"/>
      <w:lvlText w:val="(%6)"/>
      <w:lvlJc w:val="left"/>
      <w:pPr>
        <w:tabs>
          <w:tab w:val="num" w:pos="3960"/>
        </w:tabs>
        <w:ind w:left="3600"/>
      </w:pPr>
      <w:rPr>
        <w:rFonts w:cs="Times New Roman" w:hint="default"/>
      </w:rPr>
    </w:lvl>
    <w:lvl w:ilvl="6">
      <w:start w:val="1"/>
      <w:numFmt w:val="lowerRoman"/>
      <w:pStyle w:val="Ttulo7"/>
      <w:lvlText w:val="(%7)"/>
      <w:lvlJc w:val="left"/>
      <w:pPr>
        <w:tabs>
          <w:tab w:val="num" w:pos="4680"/>
        </w:tabs>
        <w:ind w:left="4320"/>
      </w:pPr>
      <w:rPr>
        <w:rFonts w:cs="Times New Roman" w:hint="default"/>
      </w:rPr>
    </w:lvl>
    <w:lvl w:ilvl="7">
      <w:start w:val="1"/>
      <w:numFmt w:val="lowerLetter"/>
      <w:pStyle w:val="Ttulo8"/>
      <w:lvlText w:val="(%8)"/>
      <w:lvlJc w:val="left"/>
      <w:pPr>
        <w:tabs>
          <w:tab w:val="num" w:pos="5400"/>
        </w:tabs>
        <w:ind w:left="5040"/>
      </w:pPr>
      <w:rPr>
        <w:rFonts w:cs="Times New Roman" w:hint="default"/>
      </w:rPr>
    </w:lvl>
    <w:lvl w:ilvl="8">
      <w:start w:val="1"/>
      <w:numFmt w:val="lowerRoman"/>
      <w:pStyle w:val="Ttulo9"/>
      <w:lvlText w:val="(%9)"/>
      <w:lvlJc w:val="left"/>
      <w:pPr>
        <w:tabs>
          <w:tab w:val="num" w:pos="6120"/>
        </w:tabs>
        <w:ind w:left="5760"/>
      </w:pPr>
      <w:rPr>
        <w:rFonts w:cs="Times New Roman" w:hint="default"/>
      </w:rPr>
    </w:lvl>
  </w:abstractNum>
  <w:abstractNum w:abstractNumId="1" w15:restartNumberingAfterBreak="0">
    <w:nsid w:val="0A550AC9"/>
    <w:multiLevelType w:val="hybridMultilevel"/>
    <w:tmpl w:val="C8A4CD7E"/>
    <w:lvl w:ilvl="0" w:tplc="F35820A8">
      <w:start w:val="1"/>
      <w:numFmt w:val="upperRoman"/>
      <w:lvlText w:val="%1 -"/>
      <w:lvlJc w:val="left"/>
      <w:pPr>
        <w:tabs>
          <w:tab w:val="num" w:pos="0"/>
        </w:tabs>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D535592"/>
    <w:multiLevelType w:val="hybridMultilevel"/>
    <w:tmpl w:val="DB445A7C"/>
    <w:lvl w:ilvl="0" w:tplc="1CAA2496">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DAF142E"/>
    <w:multiLevelType w:val="hybridMultilevel"/>
    <w:tmpl w:val="CCA09302"/>
    <w:lvl w:ilvl="0" w:tplc="43708BD4">
      <w:start w:val="1"/>
      <w:numFmt w:val="upperRoman"/>
      <w:lvlText w:val="%1 -"/>
      <w:lvlJc w:val="left"/>
      <w:pPr>
        <w:tabs>
          <w:tab w:val="num" w:pos="0"/>
        </w:tabs>
      </w:pPr>
      <w:rPr>
        <w:rFonts w:cs="Times New Roman" w:hint="default"/>
        <w:b w:val="0"/>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1F4C84"/>
    <w:multiLevelType w:val="hybridMultilevel"/>
    <w:tmpl w:val="5C5A3B16"/>
    <w:lvl w:ilvl="0" w:tplc="2BB29794">
      <w:start w:val="10"/>
      <w:numFmt w:val="decimal"/>
      <w:lvlText w:val="Art. %1."/>
      <w:lvlJc w:val="left"/>
      <w:pPr>
        <w:tabs>
          <w:tab w:val="num" w:pos="737"/>
        </w:tabs>
      </w:pPr>
      <w:rPr>
        <w:rFonts w:ascii="Times New Roman" w:hAnsi="Times New Roman" w:cs="Times New Roman" w:hint="default"/>
        <w:b w:val="0"/>
        <w:sz w:val="24"/>
        <w:szCs w:val="24"/>
      </w:rPr>
    </w:lvl>
    <w:lvl w:ilvl="1" w:tplc="7BD2A68E">
      <w:start w:val="1"/>
      <w:numFmt w:val="upperRoman"/>
      <w:lvlText w:val="%2 -"/>
      <w:lvlJc w:val="left"/>
      <w:pPr>
        <w:tabs>
          <w:tab w:val="num" w:pos="540"/>
        </w:tabs>
        <w:ind w:left="540"/>
      </w:pPr>
      <w:rPr>
        <w:rFonts w:cs="Times New Roman" w:hint="default"/>
        <w:sz w:val="24"/>
        <w:szCs w:val="24"/>
      </w:rPr>
    </w:lvl>
    <w:lvl w:ilvl="2" w:tplc="0FA44C56">
      <w:start w:val="1"/>
      <w:numFmt w:val="ordinal"/>
      <w:lvlText w:val="§%3"/>
      <w:lvlJc w:val="left"/>
      <w:pPr>
        <w:tabs>
          <w:tab w:val="num" w:pos="0"/>
        </w:tabs>
      </w:pPr>
      <w:rPr>
        <w:rFonts w:cs="Times New Roman" w:hint="default"/>
        <w:color w:val="auto"/>
        <w:sz w:val="24"/>
        <w:szCs w:val="24"/>
      </w:rPr>
    </w:lvl>
    <w:lvl w:ilvl="3" w:tplc="43603EDE">
      <w:start w:val="1"/>
      <w:numFmt w:val="ordinal"/>
      <w:lvlText w:val="§%4"/>
      <w:lvlJc w:val="left"/>
      <w:pPr>
        <w:tabs>
          <w:tab w:val="num" w:pos="2520"/>
        </w:tabs>
        <w:ind w:left="2520"/>
      </w:pPr>
      <w:rPr>
        <w:rFonts w:cs="Times New Roman" w:hint="default"/>
        <w:color w:val="auto"/>
        <w:sz w:val="24"/>
        <w:szCs w:val="24"/>
      </w:rPr>
    </w:lvl>
    <w:lvl w:ilvl="4" w:tplc="811EBF5E">
      <w:start w:val="1"/>
      <w:numFmt w:val="lowerLetter"/>
      <w:lvlText w:val="%5."/>
      <w:lvlJc w:val="left"/>
      <w:pPr>
        <w:tabs>
          <w:tab w:val="num" w:pos="3600"/>
        </w:tabs>
        <w:ind w:left="3572" w:hanging="332"/>
      </w:pPr>
      <w:rPr>
        <w:rFonts w:cs="Times New Roman" w:hint="default"/>
        <w:sz w:val="24"/>
        <w:szCs w:val="24"/>
      </w:rPr>
    </w:lvl>
    <w:lvl w:ilvl="5" w:tplc="A1ACC068">
      <w:start w:val="1"/>
      <w:numFmt w:val="upperRoman"/>
      <w:lvlText w:val="%6 -"/>
      <w:lvlJc w:val="left"/>
      <w:pPr>
        <w:tabs>
          <w:tab w:val="num" w:pos="4320"/>
        </w:tabs>
        <w:ind w:left="4320" w:hanging="180"/>
      </w:pPr>
      <w:rPr>
        <w:rFonts w:cs="Times New Roman" w:hint="default"/>
        <w:sz w:val="24"/>
        <w:szCs w:val="24"/>
      </w:rPr>
    </w:lvl>
    <w:lvl w:ilvl="6" w:tplc="0416000F">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3140886"/>
    <w:multiLevelType w:val="hybridMultilevel"/>
    <w:tmpl w:val="9B744C7A"/>
    <w:lvl w:ilvl="0" w:tplc="48881756">
      <w:start w:val="1"/>
      <w:numFmt w:val="ordinal"/>
      <w:lvlText w:val="§%1"/>
      <w:lvlJc w:val="left"/>
      <w:pPr>
        <w:tabs>
          <w:tab w:val="num" w:pos="2717"/>
        </w:tabs>
        <w:ind w:left="1980"/>
      </w:pPr>
      <w:rPr>
        <w:rFonts w:cs="Times New Roman" w:hint="default"/>
        <w:color w:val="auto"/>
        <w:sz w:val="24"/>
        <w:szCs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65B5B37"/>
    <w:multiLevelType w:val="hybridMultilevel"/>
    <w:tmpl w:val="FE8A81B2"/>
    <w:lvl w:ilvl="0" w:tplc="2BB29794">
      <w:start w:val="10"/>
      <w:numFmt w:val="decimal"/>
      <w:lvlText w:val="Art. %1."/>
      <w:lvlJc w:val="left"/>
      <w:pPr>
        <w:tabs>
          <w:tab w:val="num" w:pos="737"/>
        </w:tabs>
      </w:pPr>
      <w:rPr>
        <w:rFonts w:ascii="Times New Roman" w:hAnsi="Times New Roman" w:cs="Times New Roman" w:hint="default"/>
        <w:b w:val="0"/>
        <w:sz w:val="24"/>
        <w:szCs w:val="24"/>
      </w:rPr>
    </w:lvl>
    <w:lvl w:ilvl="1" w:tplc="668EE74A">
      <w:start w:val="10"/>
      <w:numFmt w:val="decimal"/>
      <w:lvlText w:val="Art. %2"/>
      <w:lvlJc w:val="left"/>
      <w:pPr>
        <w:tabs>
          <w:tab w:val="num" w:pos="851"/>
        </w:tabs>
      </w:pPr>
      <w:rPr>
        <w:rFonts w:cs="Times New Roman" w:hint="default"/>
        <w:b w:val="0"/>
        <w:sz w:val="24"/>
      </w:rPr>
    </w:lvl>
    <w:lvl w:ilvl="2" w:tplc="9F3433AE">
      <w:start w:val="1"/>
      <w:numFmt w:val="lowerLetter"/>
      <w:lvlText w:val="%3)"/>
      <w:lvlJc w:val="left"/>
      <w:pPr>
        <w:tabs>
          <w:tab w:val="num" w:pos="360"/>
        </w:tabs>
        <w:ind w:left="360" w:hanging="360"/>
      </w:pPr>
      <w:rPr>
        <w:rFonts w:ascii="Times New Roman" w:hAnsi="Times New Roman" w:cs="Times New Roman" w:hint="default"/>
        <w:sz w:val="24"/>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73A34B4"/>
    <w:multiLevelType w:val="hybridMultilevel"/>
    <w:tmpl w:val="4D3A101A"/>
    <w:lvl w:ilvl="0" w:tplc="B6928DD0">
      <w:start w:val="1"/>
      <w:numFmt w:val="ordinal"/>
      <w:lvlText w:val="§%1"/>
      <w:lvlJc w:val="left"/>
      <w:pPr>
        <w:tabs>
          <w:tab w:val="num" w:pos="2717"/>
        </w:tabs>
        <w:ind w:left="198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9947250"/>
    <w:multiLevelType w:val="hybridMultilevel"/>
    <w:tmpl w:val="4AE24112"/>
    <w:lvl w:ilvl="0" w:tplc="2BB29794">
      <w:start w:val="10"/>
      <w:numFmt w:val="decimal"/>
      <w:lvlText w:val="Art. %1."/>
      <w:lvlJc w:val="left"/>
      <w:pPr>
        <w:tabs>
          <w:tab w:val="num" w:pos="737"/>
        </w:tabs>
      </w:pPr>
      <w:rPr>
        <w:rFonts w:ascii="Times New Roman" w:hAnsi="Times New Roman" w:cs="Times New Roman" w:hint="default"/>
        <w:b w:val="0"/>
        <w:sz w:val="24"/>
        <w:szCs w:val="24"/>
      </w:rPr>
    </w:lvl>
    <w:lvl w:ilvl="1" w:tplc="7BD2A68E">
      <w:start w:val="1"/>
      <w:numFmt w:val="upperRoman"/>
      <w:lvlText w:val="%2 -"/>
      <w:lvlJc w:val="left"/>
      <w:pPr>
        <w:tabs>
          <w:tab w:val="num" w:pos="540"/>
        </w:tabs>
        <w:ind w:left="540"/>
      </w:pPr>
      <w:rPr>
        <w:rFonts w:cs="Times New Roman" w:hint="default"/>
        <w:sz w:val="24"/>
        <w:szCs w:val="24"/>
      </w:rPr>
    </w:lvl>
    <w:lvl w:ilvl="2" w:tplc="0FA44C56">
      <w:start w:val="1"/>
      <w:numFmt w:val="ordinal"/>
      <w:lvlText w:val="§%3"/>
      <w:lvlJc w:val="left"/>
      <w:pPr>
        <w:tabs>
          <w:tab w:val="num" w:pos="0"/>
        </w:tabs>
      </w:pPr>
      <w:rPr>
        <w:rFonts w:cs="Times New Roman" w:hint="default"/>
        <w:color w:val="auto"/>
        <w:sz w:val="24"/>
        <w:szCs w:val="24"/>
      </w:rPr>
    </w:lvl>
    <w:lvl w:ilvl="3" w:tplc="43603EDE">
      <w:start w:val="1"/>
      <w:numFmt w:val="ordinal"/>
      <w:lvlText w:val="§%4"/>
      <w:lvlJc w:val="left"/>
      <w:pPr>
        <w:tabs>
          <w:tab w:val="num" w:pos="2520"/>
        </w:tabs>
        <w:ind w:left="2520"/>
      </w:pPr>
      <w:rPr>
        <w:rFonts w:cs="Times New Roman" w:hint="default"/>
        <w:color w:val="auto"/>
        <w:sz w:val="24"/>
        <w:szCs w:val="24"/>
      </w:rPr>
    </w:lvl>
    <w:lvl w:ilvl="4" w:tplc="811EBF5E">
      <w:start w:val="1"/>
      <w:numFmt w:val="lowerLetter"/>
      <w:lvlText w:val="%5."/>
      <w:lvlJc w:val="left"/>
      <w:pPr>
        <w:tabs>
          <w:tab w:val="num" w:pos="3600"/>
        </w:tabs>
        <w:ind w:left="3572" w:hanging="332"/>
      </w:pPr>
      <w:rPr>
        <w:rFonts w:cs="Times New Roman" w:hint="default"/>
        <w:sz w:val="24"/>
        <w:szCs w:val="24"/>
      </w:rPr>
    </w:lvl>
    <w:lvl w:ilvl="5" w:tplc="0416001B">
      <w:start w:val="1"/>
      <w:numFmt w:val="lowerRoman"/>
      <w:lvlText w:val="%6."/>
      <w:lvlJc w:val="right"/>
      <w:pPr>
        <w:tabs>
          <w:tab w:val="num" w:pos="4320"/>
        </w:tabs>
        <w:ind w:left="4320" w:hanging="180"/>
      </w:pPr>
      <w:rPr>
        <w:rFonts w:cs="Times New Roman"/>
      </w:rPr>
    </w:lvl>
    <w:lvl w:ilvl="6" w:tplc="B6928DD0">
      <w:start w:val="1"/>
      <w:numFmt w:val="ordinal"/>
      <w:lvlText w:val="§%7"/>
      <w:lvlJc w:val="left"/>
      <w:pPr>
        <w:tabs>
          <w:tab w:val="num" w:pos="5040"/>
        </w:tabs>
        <w:ind w:left="5040" w:hanging="360"/>
      </w:pPr>
      <w:rPr>
        <w:rFonts w:cs="Times New Roman" w:hint="default"/>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ADD54FC"/>
    <w:multiLevelType w:val="multilevel"/>
    <w:tmpl w:val="4A9806EC"/>
    <w:lvl w:ilvl="0">
      <w:start w:val="1"/>
      <w:numFmt w:val="decimal"/>
      <w:pStyle w:val="MMTopic1"/>
      <w:suff w:val="space"/>
      <w:lvlText w:val="%1"/>
      <w:lvlJc w:val="left"/>
      <w:pPr>
        <w:tabs>
          <w:tab w:val="num" w:pos="360"/>
        </w:tabs>
      </w:pPr>
      <w:rPr>
        <w:rFonts w:cs="Times New Roman"/>
      </w:rPr>
    </w:lvl>
    <w:lvl w:ilvl="1">
      <w:start w:val="1"/>
      <w:numFmt w:val="decimal"/>
      <w:pStyle w:val="MMTopic2"/>
      <w:suff w:val="space"/>
      <w:lvlText w:val="%1.%2"/>
      <w:lvlJc w:val="left"/>
      <w:pPr>
        <w:tabs>
          <w:tab w:val="num" w:pos="720"/>
        </w:tabs>
      </w:pPr>
      <w:rPr>
        <w:rFonts w:cs="Times New Roman"/>
      </w:rPr>
    </w:lvl>
    <w:lvl w:ilvl="2">
      <w:start w:val="1"/>
      <w:numFmt w:val="decimal"/>
      <w:pStyle w:val="MMTopic3"/>
      <w:suff w:val="space"/>
      <w:lvlText w:val="%1.%2.%3"/>
      <w:lvlJc w:val="left"/>
      <w:pPr>
        <w:tabs>
          <w:tab w:val="num" w:pos="1080"/>
        </w:tabs>
      </w:pPr>
      <w:rPr>
        <w:rFonts w:cs="Times New Roman"/>
      </w:rPr>
    </w:lvl>
    <w:lvl w:ilvl="3">
      <w:start w:val="1"/>
      <w:numFmt w:val="decimal"/>
      <w:pStyle w:val="MMTopic4"/>
      <w:suff w:val="space"/>
      <w:lvlText w:val="%1.%2.%3.%4"/>
      <w:lvlJc w:val="left"/>
      <w:pPr>
        <w:tabs>
          <w:tab w:val="num" w:pos="1440"/>
        </w:tabs>
      </w:pPr>
      <w:rPr>
        <w:rFonts w:cs="Times New Roman"/>
      </w:rPr>
    </w:lvl>
    <w:lvl w:ilvl="4">
      <w:start w:val="1"/>
      <w:numFmt w:val="decimal"/>
      <w:pStyle w:val="MMTopic5"/>
      <w:suff w:val="space"/>
      <w:lvlText w:val="%1.%2.%3.%4.%5"/>
      <w:lvlJc w:val="left"/>
      <w:pPr>
        <w:tabs>
          <w:tab w:val="num" w:pos="1800"/>
        </w:tabs>
      </w:pPr>
      <w:rPr>
        <w:rFonts w:cs="Times New Roman"/>
      </w:rPr>
    </w:lvl>
    <w:lvl w:ilvl="5">
      <w:start w:val="1"/>
      <w:numFmt w:val="decimal"/>
      <w:pStyle w:val="MMTopic6"/>
      <w:suff w:val="space"/>
      <w:lvlText w:val="%1.%2.%3.%4.%5.%6"/>
      <w:lvlJc w:val="left"/>
      <w:pPr>
        <w:tabs>
          <w:tab w:val="num" w:pos="2160"/>
        </w:tabs>
      </w:pPr>
      <w:rPr>
        <w:rFonts w:cs="Times New Roman"/>
      </w:rPr>
    </w:lvl>
    <w:lvl w:ilvl="6">
      <w:start w:val="1"/>
      <w:numFmt w:val="decimal"/>
      <w:pStyle w:val="MMTopic7"/>
      <w:suff w:val="space"/>
      <w:lvlText w:val="%1.%2.%3.%4.%5.%6.%7"/>
      <w:lvlJc w:val="left"/>
      <w:pPr>
        <w:tabs>
          <w:tab w:val="num" w:pos="2520"/>
        </w:tabs>
      </w:pPr>
      <w:rPr>
        <w:rFonts w:cs="Times New Roman"/>
      </w:rPr>
    </w:lvl>
    <w:lvl w:ilvl="7">
      <w:start w:val="1"/>
      <w:numFmt w:val="decimal"/>
      <w:pStyle w:val="MMTopic8"/>
      <w:suff w:val="space"/>
      <w:lvlText w:val="%1.%2.%3.%4.%5.%6.%7.%8"/>
      <w:lvlJc w:val="left"/>
      <w:pPr>
        <w:tabs>
          <w:tab w:val="num" w:pos="2880"/>
        </w:tabs>
      </w:pPr>
      <w:rPr>
        <w:rFonts w:cs="Times New Roman"/>
      </w:rPr>
    </w:lvl>
    <w:lvl w:ilvl="8">
      <w:start w:val="1"/>
      <w:numFmt w:val="decimal"/>
      <w:pStyle w:val="MMTopic9"/>
      <w:suff w:val="space"/>
      <w:lvlText w:val="%1.%2.%3.%4.%5.%6.%7.%8.%9"/>
      <w:lvlJc w:val="left"/>
      <w:pPr>
        <w:tabs>
          <w:tab w:val="num" w:pos="3240"/>
        </w:tabs>
      </w:pPr>
      <w:rPr>
        <w:rFonts w:cs="Times New Roman"/>
      </w:rPr>
    </w:lvl>
  </w:abstractNum>
  <w:abstractNum w:abstractNumId="10" w15:restartNumberingAfterBreak="0">
    <w:nsid w:val="1E7109AD"/>
    <w:multiLevelType w:val="hybridMultilevel"/>
    <w:tmpl w:val="9EB03B70"/>
    <w:lvl w:ilvl="0" w:tplc="7BD2A68E">
      <w:start w:val="1"/>
      <w:numFmt w:val="upperRoman"/>
      <w:lvlText w:val="%1 -"/>
      <w:lvlJc w:val="left"/>
      <w:pPr>
        <w:tabs>
          <w:tab w:val="num" w:pos="1675"/>
        </w:tabs>
        <w:ind w:left="1675"/>
      </w:pPr>
      <w:rPr>
        <w:rFonts w:cs="Times New Roman"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15:restartNumberingAfterBreak="0">
    <w:nsid w:val="21E048EC"/>
    <w:multiLevelType w:val="hybridMultilevel"/>
    <w:tmpl w:val="00006624"/>
    <w:lvl w:ilvl="0" w:tplc="0FA44C56">
      <w:start w:val="1"/>
      <w:numFmt w:val="ordinal"/>
      <w:lvlText w:val="§%1"/>
      <w:lvlJc w:val="left"/>
      <w:pPr>
        <w:tabs>
          <w:tab w:val="num" w:pos="1163"/>
        </w:tabs>
      </w:pPr>
      <w:rPr>
        <w:rFonts w:cs="Times New Roman" w:hint="default"/>
        <w:b w:val="0"/>
        <w:strike w:val="0"/>
        <w:color w:val="auto"/>
        <w:sz w:val="24"/>
        <w:szCs w:val="24"/>
      </w:rPr>
    </w:lvl>
    <w:lvl w:ilvl="1" w:tplc="04160019">
      <w:start w:val="1"/>
      <w:numFmt w:val="lowerLetter"/>
      <w:lvlText w:val="%2."/>
      <w:lvlJc w:val="left"/>
      <w:pPr>
        <w:tabs>
          <w:tab w:val="num" w:pos="1866"/>
        </w:tabs>
        <w:ind w:left="1866" w:hanging="360"/>
      </w:pPr>
      <w:rPr>
        <w:rFonts w:cs="Times New Roman"/>
      </w:rPr>
    </w:lvl>
    <w:lvl w:ilvl="2" w:tplc="0416001B">
      <w:start w:val="1"/>
      <w:numFmt w:val="lowerRoman"/>
      <w:lvlText w:val="%3."/>
      <w:lvlJc w:val="right"/>
      <w:pPr>
        <w:tabs>
          <w:tab w:val="num" w:pos="2586"/>
        </w:tabs>
        <w:ind w:left="2586" w:hanging="180"/>
      </w:pPr>
      <w:rPr>
        <w:rFonts w:cs="Times New Roman"/>
      </w:rPr>
    </w:lvl>
    <w:lvl w:ilvl="3" w:tplc="0416000F">
      <w:start w:val="1"/>
      <w:numFmt w:val="decimal"/>
      <w:lvlText w:val="%4."/>
      <w:lvlJc w:val="left"/>
      <w:pPr>
        <w:tabs>
          <w:tab w:val="num" w:pos="3306"/>
        </w:tabs>
        <w:ind w:left="3306" w:hanging="360"/>
      </w:pPr>
      <w:rPr>
        <w:rFonts w:cs="Times New Roman"/>
      </w:rPr>
    </w:lvl>
    <w:lvl w:ilvl="4" w:tplc="2F0C241C">
      <w:start w:val="1"/>
      <w:numFmt w:val="upperRoman"/>
      <w:lvlText w:val="%5-"/>
      <w:lvlJc w:val="left"/>
      <w:pPr>
        <w:tabs>
          <w:tab w:val="num" w:pos="4386"/>
        </w:tabs>
        <w:ind w:left="4386" w:hanging="720"/>
      </w:pPr>
      <w:rPr>
        <w:rFonts w:cs="Times New Roman" w:hint="default"/>
      </w:rPr>
    </w:lvl>
    <w:lvl w:ilvl="5" w:tplc="0416001B" w:tentative="1">
      <w:start w:val="1"/>
      <w:numFmt w:val="lowerRoman"/>
      <w:lvlText w:val="%6."/>
      <w:lvlJc w:val="right"/>
      <w:pPr>
        <w:tabs>
          <w:tab w:val="num" w:pos="4746"/>
        </w:tabs>
        <w:ind w:left="4746" w:hanging="180"/>
      </w:pPr>
      <w:rPr>
        <w:rFonts w:cs="Times New Roman"/>
      </w:rPr>
    </w:lvl>
    <w:lvl w:ilvl="6" w:tplc="0416000F" w:tentative="1">
      <w:start w:val="1"/>
      <w:numFmt w:val="decimal"/>
      <w:lvlText w:val="%7."/>
      <w:lvlJc w:val="left"/>
      <w:pPr>
        <w:tabs>
          <w:tab w:val="num" w:pos="5466"/>
        </w:tabs>
        <w:ind w:left="5466" w:hanging="360"/>
      </w:pPr>
      <w:rPr>
        <w:rFonts w:cs="Times New Roman"/>
      </w:rPr>
    </w:lvl>
    <w:lvl w:ilvl="7" w:tplc="04160019" w:tentative="1">
      <w:start w:val="1"/>
      <w:numFmt w:val="lowerLetter"/>
      <w:lvlText w:val="%8."/>
      <w:lvlJc w:val="left"/>
      <w:pPr>
        <w:tabs>
          <w:tab w:val="num" w:pos="6186"/>
        </w:tabs>
        <w:ind w:left="6186" w:hanging="360"/>
      </w:pPr>
      <w:rPr>
        <w:rFonts w:cs="Times New Roman"/>
      </w:rPr>
    </w:lvl>
    <w:lvl w:ilvl="8" w:tplc="0416001B" w:tentative="1">
      <w:start w:val="1"/>
      <w:numFmt w:val="lowerRoman"/>
      <w:lvlText w:val="%9."/>
      <w:lvlJc w:val="right"/>
      <w:pPr>
        <w:tabs>
          <w:tab w:val="num" w:pos="6906"/>
        </w:tabs>
        <w:ind w:left="6906" w:hanging="180"/>
      </w:pPr>
      <w:rPr>
        <w:rFonts w:cs="Times New Roman"/>
      </w:rPr>
    </w:lvl>
  </w:abstractNum>
  <w:abstractNum w:abstractNumId="12" w15:restartNumberingAfterBreak="0">
    <w:nsid w:val="25090D4D"/>
    <w:multiLevelType w:val="hybridMultilevel"/>
    <w:tmpl w:val="F514AACC"/>
    <w:lvl w:ilvl="0" w:tplc="A1ACC068">
      <w:start w:val="1"/>
      <w:numFmt w:val="upperRoman"/>
      <w:lvlText w:val="%1 -"/>
      <w:lvlJc w:val="left"/>
      <w:pPr>
        <w:ind w:left="691" w:hanging="360"/>
      </w:pPr>
      <w:rPr>
        <w:rFonts w:cs="Times New Roman" w:hint="default"/>
        <w:sz w:val="24"/>
        <w:szCs w:val="24"/>
      </w:rPr>
    </w:lvl>
    <w:lvl w:ilvl="1" w:tplc="04160019" w:tentative="1">
      <w:start w:val="1"/>
      <w:numFmt w:val="lowerLetter"/>
      <w:lvlText w:val="%2."/>
      <w:lvlJc w:val="left"/>
      <w:pPr>
        <w:ind w:left="1411" w:hanging="360"/>
      </w:pPr>
      <w:rPr>
        <w:rFonts w:cs="Times New Roman"/>
      </w:rPr>
    </w:lvl>
    <w:lvl w:ilvl="2" w:tplc="0416001B" w:tentative="1">
      <w:start w:val="1"/>
      <w:numFmt w:val="lowerRoman"/>
      <w:lvlText w:val="%3."/>
      <w:lvlJc w:val="right"/>
      <w:pPr>
        <w:ind w:left="2131" w:hanging="180"/>
      </w:pPr>
      <w:rPr>
        <w:rFonts w:cs="Times New Roman"/>
      </w:rPr>
    </w:lvl>
    <w:lvl w:ilvl="3" w:tplc="0416000F" w:tentative="1">
      <w:start w:val="1"/>
      <w:numFmt w:val="decimal"/>
      <w:lvlText w:val="%4."/>
      <w:lvlJc w:val="left"/>
      <w:pPr>
        <w:ind w:left="2851" w:hanging="360"/>
      </w:pPr>
      <w:rPr>
        <w:rFonts w:cs="Times New Roman"/>
      </w:rPr>
    </w:lvl>
    <w:lvl w:ilvl="4" w:tplc="04160019" w:tentative="1">
      <w:start w:val="1"/>
      <w:numFmt w:val="lowerLetter"/>
      <w:lvlText w:val="%5."/>
      <w:lvlJc w:val="left"/>
      <w:pPr>
        <w:ind w:left="3571" w:hanging="360"/>
      </w:pPr>
      <w:rPr>
        <w:rFonts w:cs="Times New Roman"/>
      </w:rPr>
    </w:lvl>
    <w:lvl w:ilvl="5" w:tplc="0416001B" w:tentative="1">
      <w:start w:val="1"/>
      <w:numFmt w:val="lowerRoman"/>
      <w:lvlText w:val="%6."/>
      <w:lvlJc w:val="right"/>
      <w:pPr>
        <w:ind w:left="4291" w:hanging="180"/>
      </w:pPr>
      <w:rPr>
        <w:rFonts w:cs="Times New Roman"/>
      </w:rPr>
    </w:lvl>
    <w:lvl w:ilvl="6" w:tplc="0416000F" w:tentative="1">
      <w:start w:val="1"/>
      <w:numFmt w:val="decimal"/>
      <w:lvlText w:val="%7."/>
      <w:lvlJc w:val="left"/>
      <w:pPr>
        <w:ind w:left="5011" w:hanging="360"/>
      </w:pPr>
      <w:rPr>
        <w:rFonts w:cs="Times New Roman"/>
      </w:rPr>
    </w:lvl>
    <w:lvl w:ilvl="7" w:tplc="04160019" w:tentative="1">
      <w:start w:val="1"/>
      <w:numFmt w:val="lowerLetter"/>
      <w:lvlText w:val="%8."/>
      <w:lvlJc w:val="left"/>
      <w:pPr>
        <w:ind w:left="5731" w:hanging="360"/>
      </w:pPr>
      <w:rPr>
        <w:rFonts w:cs="Times New Roman"/>
      </w:rPr>
    </w:lvl>
    <w:lvl w:ilvl="8" w:tplc="0416001B" w:tentative="1">
      <w:start w:val="1"/>
      <w:numFmt w:val="lowerRoman"/>
      <w:lvlText w:val="%9."/>
      <w:lvlJc w:val="right"/>
      <w:pPr>
        <w:ind w:left="6451" w:hanging="180"/>
      </w:pPr>
      <w:rPr>
        <w:rFonts w:cs="Times New Roman"/>
      </w:rPr>
    </w:lvl>
  </w:abstractNum>
  <w:abstractNum w:abstractNumId="13" w15:restartNumberingAfterBreak="0">
    <w:nsid w:val="27BE6F8B"/>
    <w:multiLevelType w:val="hybridMultilevel"/>
    <w:tmpl w:val="D04ED7F0"/>
    <w:lvl w:ilvl="0" w:tplc="3A1808B4">
      <w:start w:val="1"/>
      <w:numFmt w:val="upperRoman"/>
      <w:lvlText w:val="%1 - "/>
      <w:lvlJc w:val="left"/>
      <w:pPr>
        <w:tabs>
          <w:tab w:val="num" w:pos="1277"/>
        </w:tabs>
        <w:ind w:left="540"/>
      </w:pPr>
      <w:rPr>
        <w:rFonts w:cs="Times New Roman" w:hint="default"/>
        <w:b w:val="0"/>
        <w:color w:val="auto"/>
        <w:sz w:val="24"/>
        <w:szCs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8DC4ACA"/>
    <w:multiLevelType w:val="hybridMultilevel"/>
    <w:tmpl w:val="DB248B94"/>
    <w:lvl w:ilvl="0" w:tplc="7BD2A68E">
      <w:start w:val="1"/>
      <w:numFmt w:val="upperRoman"/>
      <w:lvlText w:val="%1 -"/>
      <w:lvlJc w:val="left"/>
      <w:pPr>
        <w:tabs>
          <w:tab w:val="num" w:pos="1675"/>
        </w:tabs>
        <w:ind w:left="1675"/>
      </w:pPr>
      <w:rPr>
        <w:rFonts w:cs="Times New Roman"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15:restartNumberingAfterBreak="0">
    <w:nsid w:val="2B3F4B9F"/>
    <w:multiLevelType w:val="hybridMultilevel"/>
    <w:tmpl w:val="9EB03B70"/>
    <w:lvl w:ilvl="0" w:tplc="7BD2A68E">
      <w:start w:val="1"/>
      <w:numFmt w:val="upperRoman"/>
      <w:lvlText w:val="%1 -"/>
      <w:lvlJc w:val="left"/>
      <w:pPr>
        <w:tabs>
          <w:tab w:val="num" w:pos="1675"/>
        </w:tabs>
        <w:ind w:left="1675"/>
      </w:pPr>
      <w:rPr>
        <w:rFonts w:cs="Times New Roman"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15:restartNumberingAfterBreak="0">
    <w:nsid w:val="305D0F86"/>
    <w:multiLevelType w:val="hybridMultilevel"/>
    <w:tmpl w:val="BDA2AAC4"/>
    <w:lvl w:ilvl="0" w:tplc="9F3433AE">
      <w:start w:val="1"/>
      <w:numFmt w:val="lowerLetter"/>
      <w:lvlText w:val="%1)"/>
      <w:lvlJc w:val="left"/>
      <w:pPr>
        <w:tabs>
          <w:tab w:val="num" w:pos="360"/>
        </w:tabs>
        <w:ind w:left="360" w:hanging="360"/>
      </w:pPr>
      <w:rPr>
        <w:rFonts w:ascii="Times New Roman" w:hAnsi="Times New Roman" w:cs="Times New Roman" w:hint="default"/>
        <w:sz w:val="24"/>
      </w:rPr>
    </w:lvl>
    <w:lvl w:ilvl="1" w:tplc="0416000F">
      <w:start w:val="1"/>
      <w:numFmt w:val="decimal"/>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0E925A7"/>
    <w:multiLevelType w:val="hybridMultilevel"/>
    <w:tmpl w:val="239A465E"/>
    <w:lvl w:ilvl="0" w:tplc="166A4D1A">
      <w:start w:val="1"/>
      <w:numFmt w:val="upperRoman"/>
      <w:lvlText w:val="%1 -"/>
      <w:lvlJc w:val="left"/>
      <w:pPr>
        <w:tabs>
          <w:tab w:val="num" w:pos="737"/>
        </w:tabs>
      </w:pPr>
      <w:rPr>
        <w:rFonts w:cs="Times New Roman" w:hint="default"/>
      </w:rPr>
    </w:lvl>
    <w:lvl w:ilvl="1" w:tplc="B6928DD0">
      <w:start w:val="1"/>
      <w:numFmt w:val="ordinal"/>
      <w:lvlText w:val="§%2"/>
      <w:lvlJc w:val="left"/>
      <w:pPr>
        <w:tabs>
          <w:tab w:val="num" w:pos="737"/>
        </w:tabs>
      </w:pPr>
      <w:rPr>
        <w:rFonts w:cs="Times New Roman" w:hint="default"/>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9F0831"/>
    <w:multiLevelType w:val="hybridMultilevel"/>
    <w:tmpl w:val="EB0CEFC0"/>
    <w:lvl w:ilvl="0" w:tplc="7A708AD0">
      <w:start w:val="1"/>
      <w:numFmt w:val="ordinal"/>
      <w:lvlText w:val="§%1"/>
      <w:lvlJc w:val="left"/>
      <w:pPr>
        <w:tabs>
          <w:tab w:val="num" w:pos="360"/>
        </w:tabs>
        <w:ind w:left="360" w:hanging="360"/>
      </w:pPr>
      <w:rPr>
        <w:rFonts w:ascii="Times New Roman" w:hAnsi="Times New Roman" w:cs="Times New Roman" w:hint="default"/>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BB4CA7"/>
    <w:multiLevelType w:val="hybridMultilevel"/>
    <w:tmpl w:val="EB20B31E"/>
    <w:lvl w:ilvl="0" w:tplc="83085A5E">
      <w:start w:val="1"/>
      <w:numFmt w:val="ordinal"/>
      <w:lvlText w:val="§%1"/>
      <w:lvlJc w:val="left"/>
      <w:pPr>
        <w:tabs>
          <w:tab w:val="num" w:pos="2717"/>
        </w:tabs>
        <w:ind w:left="198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D662CBE"/>
    <w:multiLevelType w:val="hybridMultilevel"/>
    <w:tmpl w:val="D8803040"/>
    <w:lvl w:ilvl="0" w:tplc="537C5172">
      <w:start w:val="1"/>
      <w:numFmt w:val="ordinal"/>
      <w:lvlText w:val="Art.%1"/>
      <w:lvlJc w:val="left"/>
      <w:pPr>
        <w:tabs>
          <w:tab w:val="num" w:pos="917"/>
        </w:tabs>
        <w:ind w:left="180"/>
      </w:pPr>
      <w:rPr>
        <w:rFonts w:ascii="Times New Roman" w:hAnsi="Times New Roman" w:cs="Times New Roman" w:hint="default"/>
        <w:sz w:val="24"/>
      </w:rPr>
    </w:lvl>
    <w:lvl w:ilvl="1" w:tplc="668EE74A">
      <w:start w:val="10"/>
      <w:numFmt w:val="decimal"/>
      <w:lvlText w:val="Art. %2"/>
      <w:lvlJc w:val="left"/>
      <w:pPr>
        <w:tabs>
          <w:tab w:val="num" w:pos="851"/>
        </w:tabs>
      </w:pPr>
      <w:rPr>
        <w:rFonts w:cs="Times New Roman" w:hint="default"/>
        <w:b w:val="0"/>
        <w:sz w:val="24"/>
      </w:rPr>
    </w:lvl>
    <w:lvl w:ilvl="2" w:tplc="9F3433AE">
      <w:start w:val="1"/>
      <w:numFmt w:val="lowerLetter"/>
      <w:lvlText w:val="%3)"/>
      <w:lvlJc w:val="left"/>
      <w:pPr>
        <w:tabs>
          <w:tab w:val="num" w:pos="360"/>
        </w:tabs>
        <w:ind w:left="360" w:hanging="360"/>
      </w:pPr>
      <w:rPr>
        <w:rFonts w:ascii="Times New Roman" w:hAnsi="Times New Roman" w:cs="Times New Roman" w:hint="default"/>
        <w:sz w:val="24"/>
      </w:rPr>
    </w:lvl>
    <w:lvl w:ilvl="3" w:tplc="7BD2A68E">
      <w:start w:val="1"/>
      <w:numFmt w:val="upperRoman"/>
      <w:lvlText w:val="%4 -"/>
      <w:lvlJc w:val="left"/>
      <w:pPr>
        <w:tabs>
          <w:tab w:val="num" w:pos="2880"/>
        </w:tabs>
        <w:ind w:left="2880" w:hanging="360"/>
      </w:pPr>
      <w:rPr>
        <w:rFonts w:cs="Times New Roman" w:hint="default"/>
        <w:sz w:val="24"/>
        <w:szCs w:val="24"/>
      </w:rPr>
    </w:lvl>
    <w:lvl w:ilvl="4" w:tplc="04160019">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EF320C9"/>
    <w:multiLevelType w:val="hybridMultilevel"/>
    <w:tmpl w:val="1166DBEC"/>
    <w:lvl w:ilvl="0" w:tplc="453C8912">
      <w:start w:val="1"/>
      <w:numFmt w:val="upperRoman"/>
      <w:lvlText w:val="%1 -"/>
      <w:lvlJc w:val="left"/>
      <w:pPr>
        <w:tabs>
          <w:tab w:val="num" w:pos="1418"/>
        </w:tabs>
      </w:pPr>
      <w:rPr>
        <w:rFonts w:cs="Times New Roman" w:hint="default"/>
        <w:sz w:val="24"/>
        <w:szCs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F63014F"/>
    <w:multiLevelType w:val="hybridMultilevel"/>
    <w:tmpl w:val="6980CDC4"/>
    <w:lvl w:ilvl="0" w:tplc="F35820A8">
      <w:start w:val="1"/>
      <w:numFmt w:val="upperRoman"/>
      <w:lvlText w:val="%1 -"/>
      <w:lvlJc w:val="left"/>
      <w:pPr>
        <w:tabs>
          <w:tab w:val="num" w:pos="0"/>
        </w:tabs>
      </w:pPr>
      <w:rPr>
        <w:rFonts w:cs="Times New Roman" w:hint="default"/>
      </w:rPr>
    </w:lvl>
    <w:lvl w:ilvl="1" w:tplc="735E6248">
      <w:start w:val="1"/>
      <w:numFmt w:val="lowerLetter"/>
      <w:lvlText w:val="%2)"/>
      <w:lvlJc w:val="left"/>
      <w:pPr>
        <w:tabs>
          <w:tab w:val="num" w:pos="1440"/>
        </w:tabs>
        <w:ind w:left="1440" w:hanging="360"/>
      </w:pPr>
      <w:rPr>
        <w:rFonts w:cs="Times New Roman" w:hint="default"/>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FE91870"/>
    <w:multiLevelType w:val="hybridMultilevel"/>
    <w:tmpl w:val="8AD6A336"/>
    <w:lvl w:ilvl="0" w:tplc="0FA44C56">
      <w:start w:val="1"/>
      <w:numFmt w:val="ordinal"/>
      <w:lvlText w:val="§%1"/>
      <w:lvlJc w:val="left"/>
      <w:pPr>
        <w:tabs>
          <w:tab w:val="num" w:pos="1135"/>
        </w:tabs>
      </w:pPr>
      <w:rPr>
        <w:rFonts w:cs="Times New Roman" w:hint="default"/>
        <w:color w:val="auto"/>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4" w15:restartNumberingAfterBreak="0">
    <w:nsid w:val="42D22B64"/>
    <w:multiLevelType w:val="hybridMultilevel"/>
    <w:tmpl w:val="BF70CECA"/>
    <w:lvl w:ilvl="0" w:tplc="2BB29794">
      <w:start w:val="10"/>
      <w:numFmt w:val="decimal"/>
      <w:lvlText w:val="Art. %1."/>
      <w:lvlJc w:val="left"/>
      <w:pPr>
        <w:tabs>
          <w:tab w:val="num" w:pos="737"/>
        </w:tabs>
      </w:pPr>
      <w:rPr>
        <w:rFonts w:ascii="Times New Roman" w:hAnsi="Times New Roman" w:cs="Times New Roman" w:hint="default"/>
        <w:b w:val="0"/>
        <w:sz w:val="24"/>
        <w:szCs w:val="24"/>
      </w:rPr>
    </w:lvl>
    <w:lvl w:ilvl="1" w:tplc="7BD2A68E">
      <w:start w:val="1"/>
      <w:numFmt w:val="upperRoman"/>
      <w:lvlText w:val="%2 -"/>
      <w:lvlJc w:val="left"/>
      <w:pPr>
        <w:tabs>
          <w:tab w:val="num" w:pos="540"/>
        </w:tabs>
        <w:ind w:left="540"/>
      </w:pPr>
      <w:rPr>
        <w:rFonts w:cs="Times New Roman" w:hint="default"/>
        <w:sz w:val="24"/>
        <w:szCs w:val="24"/>
      </w:rPr>
    </w:lvl>
    <w:lvl w:ilvl="2" w:tplc="0FA44C56">
      <w:start w:val="1"/>
      <w:numFmt w:val="ordinal"/>
      <w:lvlText w:val="§%3"/>
      <w:lvlJc w:val="left"/>
      <w:pPr>
        <w:tabs>
          <w:tab w:val="num" w:pos="0"/>
        </w:tabs>
      </w:pPr>
      <w:rPr>
        <w:rFonts w:cs="Times New Roman" w:hint="default"/>
        <w:color w:val="auto"/>
        <w:sz w:val="24"/>
        <w:szCs w:val="24"/>
      </w:rPr>
    </w:lvl>
    <w:lvl w:ilvl="3" w:tplc="43603EDE">
      <w:start w:val="1"/>
      <w:numFmt w:val="ordinal"/>
      <w:lvlText w:val="§%4"/>
      <w:lvlJc w:val="left"/>
      <w:pPr>
        <w:tabs>
          <w:tab w:val="num" w:pos="2520"/>
        </w:tabs>
        <w:ind w:left="2520"/>
      </w:pPr>
      <w:rPr>
        <w:rFonts w:cs="Times New Roman" w:hint="default"/>
        <w:color w:val="auto"/>
        <w:sz w:val="24"/>
        <w:szCs w:val="24"/>
      </w:rPr>
    </w:lvl>
    <w:lvl w:ilvl="4" w:tplc="811EBF5E">
      <w:start w:val="1"/>
      <w:numFmt w:val="lowerLetter"/>
      <w:lvlText w:val="%5."/>
      <w:lvlJc w:val="left"/>
      <w:pPr>
        <w:tabs>
          <w:tab w:val="num" w:pos="3600"/>
        </w:tabs>
        <w:ind w:left="3572" w:hanging="332"/>
      </w:pPr>
      <w:rPr>
        <w:rFonts w:cs="Times New Roman" w:hint="default"/>
        <w:sz w:val="24"/>
        <w:szCs w:val="24"/>
      </w:rPr>
    </w:lvl>
    <w:lvl w:ilvl="5" w:tplc="0416001B">
      <w:start w:val="1"/>
      <w:numFmt w:val="lowerRoman"/>
      <w:lvlText w:val="%6."/>
      <w:lvlJc w:val="right"/>
      <w:pPr>
        <w:tabs>
          <w:tab w:val="num" w:pos="4320"/>
        </w:tabs>
        <w:ind w:left="4320" w:hanging="180"/>
      </w:pPr>
      <w:rPr>
        <w:rFonts w:cs="Times New Roman"/>
      </w:rPr>
    </w:lvl>
    <w:lvl w:ilvl="6" w:tplc="B6928DD0">
      <w:start w:val="1"/>
      <w:numFmt w:val="ordinal"/>
      <w:lvlText w:val="§%7"/>
      <w:lvlJc w:val="left"/>
      <w:pPr>
        <w:tabs>
          <w:tab w:val="num" w:pos="5040"/>
        </w:tabs>
        <w:ind w:left="5040" w:hanging="360"/>
      </w:pPr>
      <w:rPr>
        <w:rFonts w:cs="Times New Roman" w:hint="default"/>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2D403AC"/>
    <w:multiLevelType w:val="multilevel"/>
    <w:tmpl w:val="7E80910E"/>
    <w:styleLink w:val="Estilo1"/>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3"/>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4"/>
      <w:numFmt w:val="decimal"/>
      <w:lvlText w:val="%3%54.6.2..1."/>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6" w15:restartNumberingAfterBreak="0">
    <w:nsid w:val="4B02521E"/>
    <w:multiLevelType w:val="hybridMultilevel"/>
    <w:tmpl w:val="33F4752C"/>
    <w:styleLink w:val="Listaatual11"/>
    <w:lvl w:ilvl="0" w:tplc="18E8BC96">
      <w:start w:val="1"/>
      <w:numFmt w:val="upperRoman"/>
      <w:lvlText w:val="CAPÍTULO %1"/>
      <w:lvlJc w:val="left"/>
      <w:pPr>
        <w:tabs>
          <w:tab w:val="num" w:pos="0"/>
        </w:tabs>
        <w:ind w:firstLine="357"/>
      </w:pPr>
      <w:rPr>
        <w:rFonts w:ascii="Times New Roman" w:hAnsi="Times New Roman" w:cs="Times New Roman" w:hint="default"/>
        <w:b/>
        <w:i w:val="0"/>
        <w:caps/>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3646AAF"/>
    <w:multiLevelType w:val="hybridMultilevel"/>
    <w:tmpl w:val="FCD07A5E"/>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8" w15:restartNumberingAfterBreak="0">
    <w:nsid w:val="558526F7"/>
    <w:multiLevelType w:val="hybridMultilevel"/>
    <w:tmpl w:val="2D22C3A4"/>
    <w:lvl w:ilvl="0" w:tplc="A0545E80">
      <w:start w:val="1"/>
      <w:numFmt w:val="upperRoman"/>
      <w:lvlText w:val="%1 - "/>
      <w:lvlJc w:val="left"/>
      <w:pPr>
        <w:tabs>
          <w:tab w:val="num" w:pos="1817"/>
        </w:tabs>
        <w:ind w:left="1080"/>
      </w:pPr>
      <w:rPr>
        <w:rFonts w:cs="Times New Roman" w:hint="default"/>
        <w:color w:val="auto"/>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5AA2350"/>
    <w:multiLevelType w:val="hybridMultilevel"/>
    <w:tmpl w:val="EC2CD606"/>
    <w:lvl w:ilvl="0" w:tplc="7A708AD0">
      <w:start w:val="1"/>
      <w:numFmt w:val="ordinal"/>
      <w:lvlText w:val="§%1"/>
      <w:lvlJc w:val="left"/>
      <w:pPr>
        <w:tabs>
          <w:tab w:val="num" w:pos="360"/>
        </w:tabs>
        <w:ind w:left="360" w:hanging="360"/>
      </w:pPr>
      <w:rPr>
        <w:rFonts w:ascii="Times New Roman" w:hAnsi="Times New Roman" w:cs="Times New Roman" w:hint="default"/>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878374D"/>
    <w:multiLevelType w:val="hybridMultilevel"/>
    <w:tmpl w:val="776043E6"/>
    <w:lvl w:ilvl="0" w:tplc="2BB29794">
      <w:start w:val="10"/>
      <w:numFmt w:val="decimal"/>
      <w:lvlText w:val="Art. %1."/>
      <w:lvlJc w:val="left"/>
      <w:pPr>
        <w:tabs>
          <w:tab w:val="num" w:pos="737"/>
        </w:tabs>
      </w:pPr>
      <w:rPr>
        <w:rFonts w:ascii="Times New Roman" w:hAnsi="Times New Roman" w:cs="Times New Roman" w:hint="default"/>
        <w:b w:val="0"/>
        <w:sz w:val="24"/>
        <w:szCs w:val="24"/>
      </w:rPr>
    </w:lvl>
    <w:lvl w:ilvl="1" w:tplc="7BD2A68E">
      <w:start w:val="1"/>
      <w:numFmt w:val="upperRoman"/>
      <w:lvlText w:val="%2 -"/>
      <w:lvlJc w:val="left"/>
      <w:pPr>
        <w:tabs>
          <w:tab w:val="num" w:pos="540"/>
        </w:tabs>
        <w:ind w:left="540"/>
      </w:pPr>
      <w:rPr>
        <w:rFonts w:cs="Times New Roman" w:hint="default"/>
        <w:sz w:val="24"/>
        <w:szCs w:val="24"/>
      </w:rPr>
    </w:lvl>
    <w:lvl w:ilvl="2" w:tplc="0FA44C56">
      <w:start w:val="1"/>
      <w:numFmt w:val="ordinal"/>
      <w:lvlText w:val="§%3"/>
      <w:lvlJc w:val="left"/>
      <w:pPr>
        <w:tabs>
          <w:tab w:val="num" w:pos="0"/>
        </w:tabs>
      </w:pPr>
      <w:rPr>
        <w:rFonts w:cs="Times New Roman" w:hint="default"/>
        <w:color w:val="auto"/>
        <w:sz w:val="24"/>
        <w:szCs w:val="24"/>
      </w:rPr>
    </w:lvl>
    <w:lvl w:ilvl="3" w:tplc="43603EDE">
      <w:start w:val="1"/>
      <w:numFmt w:val="ordinal"/>
      <w:lvlText w:val="§%4"/>
      <w:lvlJc w:val="left"/>
      <w:pPr>
        <w:tabs>
          <w:tab w:val="num" w:pos="2520"/>
        </w:tabs>
        <w:ind w:left="2520"/>
      </w:pPr>
      <w:rPr>
        <w:rFonts w:cs="Times New Roman" w:hint="default"/>
        <w:color w:val="auto"/>
        <w:sz w:val="24"/>
        <w:szCs w:val="24"/>
      </w:rPr>
    </w:lvl>
    <w:lvl w:ilvl="4" w:tplc="811EBF5E">
      <w:start w:val="1"/>
      <w:numFmt w:val="lowerLetter"/>
      <w:lvlText w:val="%5."/>
      <w:lvlJc w:val="left"/>
      <w:pPr>
        <w:tabs>
          <w:tab w:val="num" w:pos="3600"/>
        </w:tabs>
        <w:ind w:left="3572" w:hanging="332"/>
      </w:pPr>
      <w:rPr>
        <w:rFonts w:cs="Times New Roman" w:hint="default"/>
        <w:sz w:val="24"/>
        <w:szCs w:val="24"/>
      </w:rPr>
    </w:lvl>
    <w:lvl w:ilvl="5" w:tplc="A1ACC068">
      <w:start w:val="1"/>
      <w:numFmt w:val="upperRoman"/>
      <w:lvlText w:val="%6 -"/>
      <w:lvlJc w:val="left"/>
      <w:pPr>
        <w:tabs>
          <w:tab w:val="num" w:pos="4320"/>
        </w:tabs>
        <w:ind w:left="4320" w:hanging="180"/>
      </w:pPr>
      <w:rPr>
        <w:rFonts w:cs="Times New Roman" w:hint="default"/>
        <w:sz w:val="24"/>
        <w:szCs w:val="24"/>
      </w:rPr>
    </w:lvl>
    <w:lvl w:ilvl="6" w:tplc="0416000F">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03C354F"/>
    <w:multiLevelType w:val="hybridMultilevel"/>
    <w:tmpl w:val="2E18B1D8"/>
    <w:lvl w:ilvl="0" w:tplc="2BB29794">
      <w:start w:val="10"/>
      <w:numFmt w:val="decimal"/>
      <w:lvlText w:val="Art. %1."/>
      <w:lvlJc w:val="left"/>
      <w:pPr>
        <w:tabs>
          <w:tab w:val="num" w:pos="1872"/>
        </w:tabs>
      </w:pPr>
      <w:rPr>
        <w:rFonts w:ascii="Times New Roman" w:hAnsi="Times New Roman" w:cs="Times New Roman" w:hint="default"/>
        <w:b w:val="0"/>
        <w:sz w:val="24"/>
        <w:szCs w:val="24"/>
      </w:rPr>
    </w:lvl>
    <w:lvl w:ilvl="1" w:tplc="7BD2A68E">
      <w:start w:val="1"/>
      <w:numFmt w:val="upperRoman"/>
      <w:lvlText w:val="%2 -"/>
      <w:lvlJc w:val="left"/>
      <w:pPr>
        <w:tabs>
          <w:tab w:val="num" w:pos="1675"/>
        </w:tabs>
        <w:ind w:left="1675"/>
      </w:pPr>
      <w:rPr>
        <w:rFonts w:cs="Times New Roman" w:hint="default"/>
        <w:sz w:val="24"/>
        <w:szCs w:val="24"/>
      </w:rPr>
    </w:lvl>
    <w:lvl w:ilvl="2" w:tplc="0FA44C56">
      <w:start w:val="1"/>
      <w:numFmt w:val="ordinal"/>
      <w:lvlText w:val="§%3"/>
      <w:lvlJc w:val="left"/>
      <w:pPr>
        <w:tabs>
          <w:tab w:val="num" w:pos="1135"/>
        </w:tabs>
      </w:pPr>
      <w:rPr>
        <w:rFonts w:cs="Times New Roman" w:hint="default"/>
        <w:color w:val="auto"/>
        <w:sz w:val="24"/>
        <w:szCs w:val="24"/>
      </w:rPr>
    </w:lvl>
    <w:lvl w:ilvl="3" w:tplc="43603EDE">
      <w:start w:val="1"/>
      <w:numFmt w:val="ordinal"/>
      <w:lvlText w:val="§%4"/>
      <w:lvlJc w:val="left"/>
      <w:pPr>
        <w:tabs>
          <w:tab w:val="num" w:pos="3655"/>
        </w:tabs>
        <w:ind w:left="3655"/>
      </w:pPr>
      <w:rPr>
        <w:rFonts w:cs="Times New Roman" w:hint="default"/>
        <w:color w:val="auto"/>
        <w:sz w:val="24"/>
        <w:szCs w:val="24"/>
      </w:rPr>
    </w:lvl>
    <w:lvl w:ilvl="4" w:tplc="811EBF5E">
      <w:start w:val="1"/>
      <w:numFmt w:val="lowerLetter"/>
      <w:lvlText w:val="%5."/>
      <w:lvlJc w:val="left"/>
      <w:pPr>
        <w:tabs>
          <w:tab w:val="num" w:pos="4735"/>
        </w:tabs>
        <w:ind w:left="4707" w:hanging="332"/>
      </w:pPr>
      <w:rPr>
        <w:rFonts w:cs="Times New Roman" w:hint="default"/>
        <w:sz w:val="24"/>
        <w:szCs w:val="24"/>
      </w:rPr>
    </w:lvl>
    <w:lvl w:ilvl="5" w:tplc="0416001B">
      <w:start w:val="1"/>
      <w:numFmt w:val="lowerRoman"/>
      <w:lvlText w:val="%6."/>
      <w:lvlJc w:val="right"/>
      <w:pPr>
        <w:tabs>
          <w:tab w:val="num" w:pos="5455"/>
        </w:tabs>
        <w:ind w:left="5455" w:hanging="180"/>
      </w:pPr>
      <w:rPr>
        <w:rFonts w:cs="Times New Roman"/>
      </w:rPr>
    </w:lvl>
    <w:lvl w:ilvl="6" w:tplc="0416000F">
      <w:start w:val="1"/>
      <w:numFmt w:val="decimal"/>
      <w:lvlText w:val="%7."/>
      <w:lvlJc w:val="left"/>
      <w:pPr>
        <w:tabs>
          <w:tab w:val="num" w:pos="6175"/>
        </w:tabs>
        <w:ind w:left="6175" w:hanging="360"/>
      </w:pPr>
      <w:rPr>
        <w:rFonts w:cs="Times New Roman"/>
      </w:rPr>
    </w:lvl>
    <w:lvl w:ilvl="7" w:tplc="04160019" w:tentative="1">
      <w:start w:val="1"/>
      <w:numFmt w:val="lowerLetter"/>
      <w:lvlText w:val="%8."/>
      <w:lvlJc w:val="left"/>
      <w:pPr>
        <w:tabs>
          <w:tab w:val="num" w:pos="6895"/>
        </w:tabs>
        <w:ind w:left="6895" w:hanging="360"/>
      </w:pPr>
      <w:rPr>
        <w:rFonts w:cs="Times New Roman"/>
      </w:rPr>
    </w:lvl>
    <w:lvl w:ilvl="8" w:tplc="0416001B" w:tentative="1">
      <w:start w:val="1"/>
      <w:numFmt w:val="lowerRoman"/>
      <w:lvlText w:val="%9."/>
      <w:lvlJc w:val="right"/>
      <w:pPr>
        <w:tabs>
          <w:tab w:val="num" w:pos="7615"/>
        </w:tabs>
        <w:ind w:left="7615" w:hanging="180"/>
      </w:pPr>
      <w:rPr>
        <w:rFonts w:cs="Times New Roman"/>
      </w:rPr>
    </w:lvl>
  </w:abstractNum>
  <w:abstractNum w:abstractNumId="32" w15:restartNumberingAfterBreak="0">
    <w:nsid w:val="62A5283F"/>
    <w:multiLevelType w:val="hybridMultilevel"/>
    <w:tmpl w:val="4FB89CCA"/>
    <w:lvl w:ilvl="0" w:tplc="2BB29794">
      <w:start w:val="10"/>
      <w:numFmt w:val="decimal"/>
      <w:lvlText w:val="Art. %1."/>
      <w:lvlJc w:val="left"/>
      <w:pPr>
        <w:tabs>
          <w:tab w:val="num" w:pos="737"/>
        </w:tabs>
      </w:pPr>
      <w:rPr>
        <w:rFonts w:ascii="Times New Roman" w:hAnsi="Times New Roman" w:cs="Times New Roman" w:hint="default"/>
        <w:b w:val="0"/>
        <w:sz w:val="24"/>
        <w:szCs w:val="24"/>
      </w:rPr>
    </w:lvl>
    <w:lvl w:ilvl="1" w:tplc="7BD2A68E">
      <w:start w:val="1"/>
      <w:numFmt w:val="upperRoman"/>
      <w:lvlText w:val="%2 -"/>
      <w:lvlJc w:val="left"/>
      <w:pPr>
        <w:tabs>
          <w:tab w:val="num" w:pos="540"/>
        </w:tabs>
        <w:ind w:left="540"/>
      </w:pPr>
      <w:rPr>
        <w:rFonts w:cs="Times New Roman" w:hint="default"/>
        <w:sz w:val="24"/>
        <w:szCs w:val="24"/>
      </w:rPr>
    </w:lvl>
    <w:lvl w:ilvl="2" w:tplc="0FA44C56">
      <w:start w:val="1"/>
      <w:numFmt w:val="ordinal"/>
      <w:lvlText w:val="§%3"/>
      <w:lvlJc w:val="left"/>
      <w:pPr>
        <w:tabs>
          <w:tab w:val="num" w:pos="0"/>
        </w:tabs>
      </w:pPr>
      <w:rPr>
        <w:rFonts w:cs="Times New Roman" w:hint="default"/>
        <w:color w:val="auto"/>
        <w:sz w:val="24"/>
        <w:szCs w:val="24"/>
      </w:rPr>
    </w:lvl>
    <w:lvl w:ilvl="3" w:tplc="43603EDE">
      <w:start w:val="1"/>
      <w:numFmt w:val="ordinal"/>
      <w:lvlText w:val="§%4"/>
      <w:lvlJc w:val="left"/>
      <w:pPr>
        <w:tabs>
          <w:tab w:val="num" w:pos="2520"/>
        </w:tabs>
        <w:ind w:left="2520"/>
      </w:pPr>
      <w:rPr>
        <w:rFonts w:cs="Times New Roman" w:hint="default"/>
        <w:color w:val="auto"/>
        <w:sz w:val="24"/>
        <w:szCs w:val="24"/>
      </w:rPr>
    </w:lvl>
    <w:lvl w:ilvl="4" w:tplc="811EBF5E">
      <w:start w:val="1"/>
      <w:numFmt w:val="lowerLetter"/>
      <w:lvlText w:val="%5."/>
      <w:lvlJc w:val="left"/>
      <w:pPr>
        <w:tabs>
          <w:tab w:val="num" w:pos="3600"/>
        </w:tabs>
        <w:ind w:left="3572" w:hanging="332"/>
      </w:pPr>
      <w:rPr>
        <w:rFonts w:cs="Times New Roman" w:hint="default"/>
        <w:sz w:val="24"/>
        <w:szCs w:val="24"/>
      </w:rPr>
    </w:lvl>
    <w:lvl w:ilvl="5" w:tplc="166A4D1A">
      <w:start w:val="1"/>
      <w:numFmt w:val="upperRoman"/>
      <w:lvlText w:val="%6 -"/>
      <w:lvlJc w:val="left"/>
      <w:pPr>
        <w:tabs>
          <w:tab w:val="num" w:pos="4320"/>
        </w:tabs>
        <w:ind w:left="4320" w:hanging="180"/>
      </w:pPr>
      <w:rPr>
        <w:rFonts w:cs="Times New Roman" w:hint="default"/>
        <w:sz w:val="24"/>
        <w:szCs w:val="24"/>
      </w:rPr>
    </w:lvl>
    <w:lvl w:ilvl="6" w:tplc="0416000F">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56B7542"/>
    <w:multiLevelType w:val="hybridMultilevel"/>
    <w:tmpl w:val="7E0E4DE4"/>
    <w:lvl w:ilvl="0" w:tplc="2BB29794">
      <w:start w:val="10"/>
      <w:numFmt w:val="decimal"/>
      <w:lvlText w:val="Art. %1."/>
      <w:lvlJc w:val="left"/>
      <w:pPr>
        <w:tabs>
          <w:tab w:val="num" w:pos="737"/>
        </w:tabs>
      </w:pPr>
      <w:rPr>
        <w:rFonts w:ascii="Times New Roman" w:hAnsi="Times New Roman" w:cs="Times New Roman" w:hint="default"/>
        <w:b w:val="0"/>
        <w:sz w:val="24"/>
        <w:szCs w:val="24"/>
      </w:rPr>
    </w:lvl>
    <w:lvl w:ilvl="1" w:tplc="7BD2A68E">
      <w:start w:val="1"/>
      <w:numFmt w:val="upperRoman"/>
      <w:lvlText w:val="%2 -"/>
      <w:lvlJc w:val="left"/>
      <w:pPr>
        <w:tabs>
          <w:tab w:val="num" w:pos="540"/>
        </w:tabs>
        <w:ind w:left="540"/>
      </w:pPr>
      <w:rPr>
        <w:rFonts w:cs="Times New Roman" w:hint="default"/>
        <w:sz w:val="24"/>
        <w:szCs w:val="24"/>
      </w:rPr>
    </w:lvl>
    <w:lvl w:ilvl="2" w:tplc="0FA44C56">
      <w:start w:val="1"/>
      <w:numFmt w:val="ordinal"/>
      <w:lvlText w:val="§%3"/>
      <w:lvlJc w:val="left"/>
      <w:pPr>
        <w:tabs>
          <w:tab w:val="num" w:pos="0"/>
        </w:tabs>
      </w:pPr>
      <w:rPr>
        <w:rFonts w:cs="Times New Roman" w:hint="default"/>
        <w:color w:val="auto"/>
        <w:sz w:val="24"/>
        <w:szCs w:val="24"/>
      </w:rPr>
    </w:lvl>
    <w:lvl w:ilvl="3" w:tplc="43603EDE">
      <w:start w:val="1"/>
      <w:numFmt w:val="ordinal"/>
      <w:lvlText w:val="§%4"/>
      <w:lvlJc w:val="left"/>
      <w:pPr>
        <w:tabs>
          <w:tab w:val="num" w:pos="2520"/>
        </w:tabs>
        <w:ind w:left="2520"/>
      </w:pPr>
      <w:rPr>
        <w:rFonts w:cs="Times New Roman" w:hint="default"/>
        <w:color w:val="auto"/>
        <w:sz w:val="24"/>
        <w:szCs w:val="24"/>
      </w:rPr>
    </w:lvl>
    <w:lvl w:ilvl="4" w:tplc="811EBF5E">
      <w:start w:val="1"/>
      <w:numFmt w:val="lowerLetter"/>
      <w:lvlText w:val="%5."/>
      <w:lvlJc w:val="left"/>
      <w:pPr>
        <w:tabs>
          <w:tab w:val="num" w:pos="3600"/>
        </w:tabs>
        <w:ind w:left="3572" w:hanging="332"/>
      </w:pPr>
      <w:rPr>
        <w:rFonts w:cs="Times New Roman" w:hint="default"/>
        <w:sz w:val="24"/>
        <w:szCs w:val="24"/>
      </w:rPr>
    </w:lvl>
    <w:lvl w:ilvl="5" w:tplc="0416001B">
      <w:start w:val="1"/>
      <w:numFmt w:val="lowerRoman"/>
      <w:lvlText w:val="%6."/>
      <w:lvlJc w:val="right"/>
      <w:pPr>
        <w:tabs>
          <w:tab w:val="num" w:pos="4320"/>
        </w:tabs>
        <w:ind w:left="4320" w:hanging="180"/>
      </w:pPr>
      <w:rPr>
        <w:rFonts w:cs="Times New Roman"/>
      </w:rPr>
    </w:lvl>
    <w:lvl w:ilvl="6" w:tplc="B6928DD0">
      <w:start w:val="1"/>
      <w:numFmt w:val="ordinal"/>
      <w:lvlText w:val="§%7"/>
      <w:lvlJc w:val="left"/>
      <w:pPr>
        <w:tabs>
          <w:tab w:val="num" w:pos="5040"/>
        </w:tabs>
        <w:ind w:left="5040" w:hanging="360"/>
      </w:pPr>
      <w:rPr>
        <w:rFonts w:cs="Times New Roman" w:hint="default"/>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6B874E9"/>
    <w:multiLevelType w:val="hybridMultilevel"/>
    <w:tmpl w:val="9A42506E"/>
    <w:lvl w:ilvl="0" w:tplc="2BB29794">
      <w:start w:val="10"/>
      <w:numFmt w:val="decimal"/>
      <w:lvlText w:val="Art. %1."/>
      <w:lvlJc w:val="left"/>
      <w:pPr>
        <w:tabs>
          <w:tab w:val="num" w:pos="737"/>
        </w:tabs>
      </w:pPr>
      <w:rPr>
        <w:rFonts w:ascii="Times New Roman" w:hAnsi="Times New Roman" w:cs="Times New Roman" w:hint="default"/>
        <w:b w:val="0"/>
        <w:sz w:val="24"/>
        <w:szCs w:val="24"/>
      </w:rPr>
    </w:lvl>
    <w:lvl w:ilvl="1" w:tplc="7BD2A68E">
      <w:start w:val="1"/>
      <w:numFmt w:val="upperRoman"/>
      <w:lvlText w:val="%2 -"/>
      <w:lvlJc w:val="left"/>
      <w:pPr>
        <w:tabs>
          <w:tab w:val="num" w:pos="540"/>
        </w:tabs>
        <w:ind w:left="540"/>
      </w:pPr>
      <w:rPr>
        <w:rFonts w:cs="Times New Roman" w:hint="default"/>
        <w:sz w:val="24"/>
        <w:szCs w:val="24"/>
      </w:rPr>
    </w:lvl>
    <w:lvl w:ilvl="2" w:tplc="0FA44C56">
      <w:start w:val="1"/>
      <w:numFmt w:val="ordinal"/>
      <w:lvlText w:val="§%3"/>
      <w:lvlJc w:val="left"/>
      <w:pPr>
        <w:tabs>
          <w:tab w:val="num" w:pos="0"/>
        </w:tabs>
      </w:pPr>
      <w:rPr>
        <w:rFonts w:cs="Times New Roman" w:hint="default"/>
        <w:color w:val="auto"/>
        <w:sz w:val="24"/>
        <w:szCs w:val="24"/>
      </w:rPr>
    </w:lvl>
    <w:lvl w:ilvl="3" w:tplc="43603EDE">
      <w:start w:val="1"/>
      <w:numFmt w:val="ordinal"/>
      <w:lvlText w:val="§%4"/>
      <w:lvlJc w:val="left"/>
      <w:pPr>
        <w:tabs>
          <w:tab w:val="num" w:pos="2520"/>
        </w:tabs>
        <w:ind w:left="2520"/>
      </w:pPr>
      <w:rPr>
        <w:rFonts w:cs="Times New Roman" w:hint="default"/>
        <w:color w:val="auto"/>
        <w:sz w:val="24"/>
        <w:szCs w:val="24"/>
      </w:rPr>
    </w:lvl>
    <w:lvl w:ilvl="4" w:tplc="811EBF5E">
      <w:start w:val="1"/>
      <w:numFmt w:val="lowerLetter"/>
      <w:lvlText w:val="%5."/>
      <w:lvlJc w:val="left"/>
      <w:pPr>
        <w:tabs>
          <w:tab w:val="num" w:pos="3600"/>
        </w:tabs>
        <w:ind w:left="3572" w:hanging="332"/>
      </w:pPr>
      <w:rPr>
        <w:rFonts w:cs="Times New Roman" w:hint="default"/>
        <w:sz w:val="24"/>
        <w:szCs w:val="24"/>
      </w:rPr>
    </w:lvl>
    <w:lvl w:ilvl="5" w:tplc="A1ACC068">
      <w:start w:val="1"/>
      <w:numFmt w:val="upperRoman"/>
      <w:lvlText w:val="%6 -"/>
      <w:lvlJc w:val="left"/>
      <w:pPr>
        <w:tabs>
          <w:tab w:val="num" w:pos="4320"/>
        </w:tabs>
        <w:ind w:left="4320" w:hanging="180"/>
      </w:pPr>
      <w:rPr>
        <w:rFonts w:cs="Times New Roman" w:hint="default"/>
        <w:sz w:val="24"/>
        <w:szCs w:val="24"/>
      </w:rPr>
    </w:lvl>
    <w:lvl w:ilvl="6" w:tplc="0416000F">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73F27EC"/>
    <w:multiLevelType w:val="multilevel"/>
    <w:tmpl w:val="15F0EFD8"/>
    <w:styleLink w:val="Estilo11"/>
    <w:lvl w:ilvl="0">
      <w:start w:val="3"/>
      <w:numFmt w:val="decimal"/>
      <w:lvlText w:val="%1."/>
      <w:lvlJc w:val="left"/>
      <w:pPr>
        <w:tabs>
          <w:tab w:val="num" w:pos="360"/>
        </w:tabs>
        <w:ind w:left="360" w:hanging="360"/>
      </w:pPr>
      <w:rPr>
        <w:rFonts w:cs="Times New Roman" w:hint="default"/>
      </w:rPr>
    </w:lvl>
    <w:lvl w:ilvl="1">
      <w:start w:val="1"/>
      <w:numFmt w:val="decimal"/>
      <w:lvlRestart w:val="0"/>
      <w:isLg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4"/>
      <w:numFmt w:val="decimal"/>
      <w:lvlText w:val="%3%54.6.2..1."/>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6" w15:restartNumberingAfterBreak="0">
    <w:nsid w:val="67D1038B"/>
    <w:multiLevelType w:val="hybridMultilevel"/>
    <w:tmpl w:val="18083734"/>
    <w:lvl w:ilvl="0" w:tplc="A1ACC068">
      <w:start w:val="1"/>
      <w:numFmt w:val="upperRoman"/>
      <w:lvlText w:val="%1 -"/>
      <w:lvlJc w:val="left"/>
      <w:pPr>
        <w:tabs>
          <w:tab w:val="num" w:pos="0"/>
        </w:tabs>
      </w:pPr>
      <w:rPr>
        <w:rFonts w:cs="Times New Roman" w:hint="default"/>
        <w:sz w:val="24"/>
        <w:szCs w:val="24"/>
      </w:rPr>
    </w:lvl>
    <w:lvl w:ilvl="1" w:tplc="767E65AA">
      <w:start w:val="1"/>
      <w:numFmt w:val="ordinal"/>
      <w:lvlText w:val="§%2"/>
      <w:lvlJc w:val="left"/>
      <w:pPr>
        <w:tabs>
          <w:tab w:val="num" w:pos="1080"/>
        </w:tabs>
        <w:ind w:left="1080"/>
      </w:pPr>
      <w:rPr>
        <w:rFonts w:cs="Times New Roman" w:hint="default"/>
        <w:color w:val="auto"/>
        <w:sz w:val="24"/>
        <w:szCs w:val="24"/>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80C71C1"/>
    <w:multiLevelType w:val="hybridMultilevel"/>
    <w:tmpl w:val="B0FA0536"/>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8" w15:restartNumberingAfterBreak="0">
    <w:nsid w:val="68C92AB6"/>
    <w:multiLevelType w:val="hybridMultilevel"/>
    <w:tmpl w:val="A3441230"/>
    <w:lvl w:ilvl="0" w:tplc="767E65AA">
      <w:start w:val="1"/>
      <w:numFmt w:val="ordinal"/>
      <w:lvlText w:val="§%1"/>
      <w:lvlJc w:val="left"/>
      <w:pPr>
        <w:tabs>
          <w:tab w:val="num" w:pos="1080"/>
        </w:tabs>
        <w:ind w:left="1080"/>
      </w:pPr>
      <w:rPr>
        <w:rFonts w:cs="Times New Roman" w:hint="default"/>
        <w:color w:val="auto"/>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9" w15:restartNumberingAfterBreak="0">
    <w:nsid w:val="737B7931"/>
    <w:multiLevelType w:val="hybridMultilevel"/>
    <w:tmpl w:val="66C8A6C2"/>
    <w:lvl w:ilvl="0" w:tplc="F35820A8">
      <w:start w:val="1"/>
      <w:numFmt w:val="upperRoman"/>
      <w:lvlText w:val="%1 -"/>
      <w:lvlJc w:val="left"/>
      <w:pPr>
        <w:tabs>
          <w:tab w:val="num" w:pos="0"/>
        </w:tabs>
      </w:pPr>
      <w:rPr>
        <w:rFonts w:cs="Times New Roman" w:hint="default"/>
      </w:rPr>
    </w:lvl>
    <w:lvl w:ilvl="1" w:tplc="04160017">
      <w:start w:val="1"/>
      <w:numFmt w:val="lowerLetter"/>
      <w:lvlText w:val="%2)"/>
      <w:lvlJc w:val="left"/>
      <w:pPr>
        <w:tabs>
          <w:tab w:val="num" w:pos="1080"/>
        </w:tabs>
        <w:ind w:left="1080"/>
      </w:pPr>
      <w:rPr>
        <w:rFonts w:cs="Times New Roman" w:hint="default"/>
        <w:color w:val="auto"/>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5896B82"/>
    <w:multiLevelType w:val="hybridMultilevel"/>
    <w:tmpl w:val="329E35DA"/>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1" w15:restartNumberingAfterBreak="0">
    <w:nsid w:val="77956D30"/>
    <w:multiLevelType w:val="hybridMultilevel"/>
    <w:tmpl w:val="3AEE056A"/>
    <w:lvl w:ilvl="0" w:tplc="04160017">
      <w:start w:val="1"/>
      <w:numFmt w:val="lowerLetter"/>
      <w:lvlText w:val="%1)"/>
      <w:lvlJc w:val="left"/>
      <w:pPr>
        <w:ind w:left="1467" w:hanging="360"/>
      </w:pPr>
      <w:rPr>
        <w:rFonts w:cs="Times New Roman"/>
      </w:rPr>
    </w:lvl>
    <w:lvl w:ilvl="1" w:tplc="04160019" w:tentative="1">
      <w:start w:val="1"/>
      <w:numFmt w:val="lowerLetter"/>
      <w:lvlText w:val="%2."/>
      <w:lvlJc w:val="left"/>
      <w:pPr>
        <w:ind w:left="2187" w:hanging="360"/>
      </w:pPr>
      <w:rPr>
        <w:rFonts w:cs="Times New Roman"/>
      </w:rPr>
    </w:lvl>
    <w:lvl w:ilvl="2" w:tplc="0416001B" w:tentative="1">
      <w:start w:val="1"/>
      <w:numFmt w:val="lowerRoman"/>
      <w:lvlText w:val="%3."/>
      <w:lvlJc w:val="right"/>
      <w:pPr>
        <w:ind w:left="2907" w:hanging="180"/>
      </w:pPr>
      <w:rPr>
        <w:rFonts w:cs="Times New Roman"/>
      </w:rPr>
    </w:lvl>
    <w:lvl w:ilvl="3" w:tplc="0416000F" w:tentative="1">
      <w:start w:val="1"/>
      <w:numFmt w:val="decimal"/>
      <w:lvlText w:val="%4."/>
      <w:lvlJc w:val="left"/>
      <w:pPr>
        <w:ind w:left="3627" w:hanging="360"/>
      </w:pPr>
      <w:rPr>
        <w:rFonts w:cs="Times New Roman"/>
      </w:rPr>
    </w:lvl>
    <w:lvl w:ilvl="4" w:tplc="04160019" w:tentative="1">
      <w:start w:val="1"/>
      <w:numFmt w:val="lowerLetter"/>
      <w:lvlText w:val="%5."/>
      <w:lvlJc w:val="left"/>
      <w:pPr>
        <w:ind w:left="4347" w:hanging="360"/>
      </w:pPr>
      <w:rPr>
        <w:rFonts w:cs="Times New Roman"/>
      </w:rPr>
    </w:lvl>
    <w:lvl w:ilvl="5" w:tplc="0416001B" w:tentative="1">
      <w:start w:val="1"/>
      <w:numFmt w:val="lowerRoman"/>
      <w:lvlText w:val="%6."/>
      <w:lvlJc w:val="right"/>
      <w:pPr>
        <w:ind w:left="5067" w:hanging="180"/>
      </w:pPr>
      <w:rPr>
        <w:rFonts w:cs="Times New Roman"/>
      </w:rPr>
    </w:lvl>
    <w:lvl w:ilvl="6" w:tplc="0416000F" w:tentative="1">
      <w:start w:val="1"/>
      <w:numFmt w:val="decimal"/>
      <w:lvlText w:val="%7."/>
      <w:lvlJc w:val="left"/>
      <w:pPr>
        <w:ind w:left="5787" w:hanging="360"/>
      </w:pPr>
      <w:rPr>
        <w:rFonts w:cs="Times New Roman"/>
      </w:rPr>
    </w:lvl>
    <w:lvl w:ilvl="7" w:tplc="04160019" w:tentative="1">
      <w:start w:val="1"/>
      <w:numFmt w:val="lowerLetter"/>
      <w:lvlText w:val="%8."/>
      <w:lvlJc w:val="left"/>
      <w:pPr>
        <w:ind w:left="6507" w:hanging="360"/>
      </w:pPr>
      <w:rPr>
        <w:rFonts w:cs="Times New Roman"/>
      </w:rPr>
    </w:lvl>
    <w:lvl w:ilvl="8" w:tplc="0416001B" w:tentative="1">
      <w:start w:val="1"/>
      <w:numFmt w:val="lowerRoman"/>
      <w:lvlText w:val="%9."/>
      <w:lvlJc w:val="right"/>
      <w:pPr>
        <w:ind w:left="7227" w:hanging="180"/>
      </w:pPr>
      <w:rPr>
        <w:rFonts w:cs="Times New Roman"/>
      </w:rPr>
    </w:lvl>
  </w:abstractNum>
  <w:abstractNum w:abstractNumId="42" w15:restartNumberingAfterBreak="0">
    <w:nsid w:val="7AAA1E34"/>
    <w:multiLevelType w:val="hybridMultilevel"/>
    <w:tmpl w:val="D2BC1B9C"/>
    <w:lvl w:ilvl="0" w:tplc="04160001">
      <w:start w:val="1"/>
      <w:numFmt w:val="bullet"/>
      <w:lvlText w:val=""/>
      <w:lvlJc w:val="left"/>
      <w:pPr>
        <w:tabs>
          <w:tab w:val="num" w:pos="1571"/>
        </w:tabs>
        <w:ind w:left="1571" w:hanging="360"/>
      </w:pPr>
      <w:rPr>
        <w:rFonts w:ascii="Symbol" w:hAnsi="Symbol" w:hint="default"/>
      </w:rPr>
    </w:lvl>
    <w:lvl w:ilvl="1" w:tplc="04160003" w:tentative="1">
      <w:start w:val="1"/>
      <w:numFmt w:val="bullet"/>
      <w:lvlText w:val="o"/>
      <w:lvlJc w:val="left"/>
      <w:pPr>
        <w:tabs>
          <w:tab w:val="num" w:pos="2291"/>
        </w:tabs>
        <w:ind w:left="2291" w:hanging="360"/>
      </w:pPr>
      <w:rPr>
        <w:rFonts w:ascii="Courier New" w:hAnsi="Courier New" w:hint="default"/>
      </w:rPr>
    </w:lvl>
    <w:lvl w:ilvl="2" w:tplc="04160005" w:tentative="1">
      <w:start w:val="1"/>
      <w:numFmt w:val="bullet"/>
      <w:lvlText w:val=""/>
      <w:lvlJc w:val="left"/>
      <w:pPr>
        <w:tabs>
          <w:tab w:val="num" w:pos="3011"/>
        </w:tabs>
        <w:ind w:left="3011" w:hanging="360"/>
      </w:pPr>
      <w:rPr>
        <w:rFonts w:ascii="Wingdings" w:hAnsi="Wingdings" w:hint="default"/>
      </w:rPr>
    </w:lvl>
    <w:lvl w:ilvl="3" w:tplc="04160001" w:tentative="1">
      <w:start w:val="1"/>
      <w:numFmt w:val="bullet"/>
      <w:lvlText w:val=""/>
      <w:lvlJc w:val="left"/>
      <w:pPr>
        <w:tabs>
          <w:tab w:val="num" w:pos="3731"/>
        </w:tabs>
        <w:ind w:left="3731" w:hanging="360"/>
      </w:pPr>
      <w:rPr>
        <w:rFonts w:ascii="Symbol" w:hAnsi="Symbol" w:hint="default"/>
      </w:rPr>
    </w:lvl>
    <w:lvl w:ilvl="4" w:tplc="04160003" w:tentative="1">
      <w:start w:val="1"/>
      <w:numFmt w:val="bullet"/>
      <w:lvlText w:val="o"/>
      <w:lvlJc w:val="left"/>
      <w:pPr>
        <w:tabs>
          <w:tab w:val="num" w:pos="4451"/>
        </w:tabs>
        <w:ind w:left="4451" w:hanging="360"/>
      </w:pPr>
      <w:rPr>
        <w:rFonts w:ascii="Courier New" w:hAnsi="Courier New" w:hint="default"/>
      </w:rPr>
    </w:lvl>
    <w:lvl w:ilvl="5" w:tplc="04160005" w:tentative="1">
      <w:start w:val="1"/>
      <w:numFmt w:val="bullet"/>
      <w:lvlText w:val=""/>
      <w:lvlJc w:val="left"/>
      <w:pPr>
        <w:tabs>
          <w:tab w:val="num" w:pos="5171"/>
        </w:tabs>
        <w:ind w:left="5171" w:hanging="360"/>
      </w:pPr>
      <w:rPr>
        <w:rFonts w:ascii="Wingdings" w:hAnsi="Wingdings" w:hint="default"/>
      </w:rPr>
    </w:lvl>
    <w:lvl w:ilvl="6" w:tplc="04160001" w:tentative="1">
      <w:start w:val="1"/>
      <w:numFmt w:val="bullet"/>
      <w:lvlText w:val=""/>
      <w:lvlJc w:val="left"/>
      <w:pPr>
        <w:tabs>
          <w:tab w:val="num" w:pos="5891"/>
        </w:tabs>
        <w:ind w:left="5891" w:hanging="360"/>
      </w:pPr>
      <w:rPr>
        <w:rFonts w:ascii="Symbol" w:hAnsi="Symbol" w:hint="default"/>
      </w:rPr>
    </w:lvl>
    <w:lvl w:ilvl="7" w:tplc="04160003" w:tentative="1">
      <w:start w:val="1"/>
      <w:numFmt w:val="bullet"/>
      <w:lvlText w:val="o"/>
      <w:lvlJc w:val="left"/>
      <w:pPr>
        <w:tabs>
          <w:tab w:val="num" w:pos="6611"/>
        </w:tabs>
        <w:ind w:left="6611" w:hanging="360"/>
      </w:pPr>
      <w:rPr>
        <w:rFonts w:ascii="Courier New" w:hAnsi="Courier New" w:hint="default"/>
      </w:rPr>
    </w:lvl>
    <w:lvl w:ilvl="8" w:tplc="04160005" w:tentative="1">
      <w:start w:val="1"/>
      <w:numFmt w:val="bullet"/>
      <w:lvlText w:val=""/>
      <w:lvlJc w:val="left"/>
      <w:pPr>
        <w:tabs>
          <w:tab w:val="num" w:pos="7331"/>
        </w:tabs>
        <w:ind w:left="7331" w:hanging="360"/>
      </w:pPr>
      <w:rPr>
        <w:rFonts w:ascii="Wingdings" w:hAnsi="Wingdings" w:hint="default"/>
      </w:rPr>
    </w:lvl>
  </w:abstractNum>
  <w:abstractNum w:abstractNumId="43" w15:restartNumberingAfterBreak="0">
    <w:nsid w:val="7AF67D0C"/>
    <w:multiLevelType w:val="hybridMultilevel"/>
    <w:tmpl w:val="B2F8774A"/>
    <w:lvl w:ilvl="0" w:tplc="5B4E31D6">
      <w:start w:val="10"/>
      <w:numFmt w:val="decimal"/>
      <w:lvlText w:val="Art. %1."/>
      <w:lvlJc w:val="left"/>
      <w:pPr>
        <w:tabs>
          <w:tab w:val="num" w:pos="737"/>
        </w:tabs>
      </w:pPr>
      <w:rPr>
        <w:rFonts w:ascii="Times New Roman" w:hAnsi="Times New Roman" w:cs="Times New Roman" w:hint="default"/>
        <w:b w:val="0"/>
        <w:sz w:val="24"/>
        <w:szCs w:val="24"/>
      </w:rPr>
    </w:lvl>
    <w:lvl w:ilvl="1" w:tplc="A0545E80">
      <w:start w:val="1"/>
      <w:numFmt w:val="upperRoman"/>
      <w:lvlText w:val="%2 - "/>
      <w:lvlJc w:val="left"/>
      <w:pPr>
        <w:tabs>
          <w:tab w:val="num" w:pos="1817"/>
        </w:tabs>
        <w:ind w:left="1080"/>
      </w:pPr>
      <w:rPr>
        <w:rFonts w:cs="Times New Roman" w:hint="default"/>
        <w:b w:val="0"/>
        <w:color w:val="auto"/>
        <w:sz w:val="24"/>
        <w:szCs w:val="24"/>
      </w:rPr>
    </w:lvl>
    <w:lvl w:ilvl="2" w:tplc="435A6602">
      <w:start w:val="1"/>
      <w:numFmt w:val="ordinal"/>
      <w:lvlText w:val="§%3"/>
      <w:lvlJc w:val="left"/>
      <w:pPr>
        <w:tabs>
          <w:tab w:val="num" w:pos="2717"/>
        </w:tabs>
        <w:ind w:left="1980"/>
      </w:pPr>
      <w:rPr>
        <w:rFonts w:cs="Times New Roman" w:hint="default"/>
        <w:b w:val="0"/>
        <w:sz w:val="24"/>
        <w:szCs w:val="24"/>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B122250"/>
    <w:multiLevelType w:val="hybridMultilevel"/>
    <w:tmpl w:val="949CB3FE"/>
    <w:lvl w:ilvl="0" w:tplc="9D487866">
      <w:start w:val="1"/>
      <w:numFmt w:val="ordinal"/>
      <w:lvlText w:val="Art.%1"/>
      <w:lvlJc w:val="left"/>
      <w:pPr>
        <w:tabs>
          <w:tab w:val="num" w:pos="737"/>
        </w:tabs>
      </w:pPr>
      <w:rPr>
        <w:rFonts w:ascii="Times New Roman" w:hAnsi="Times New Roman" w:cs="Times New Roman" w:hint="default"/>
        <w:b w:val="0"/>
        <w:sz w:val="24"/>
      </w:rPr>
    </w:lvl>
    <w:lvl w:ilvl="1" w:tplc="668EE74A">
      <w:start w:val="10"/>
      <w:numFmt w:val="decimal"/>
      <w:lvlText w:val="Art. %2"/>
      <w:lvlJc w:val="left"/>
      <w:pPr>
        <w:tabs>
          <w:tab w:val="num" w:pos="851"/>
        </w:tabs>
      </w:pPr>
      <w:rPr>
        <w:rFonts w:cs="Times New Roman" w:hint="default"/>
        <w:b w:val="0"/>
        <w:sz w:val="24"/>
      </w:rPr>
    </w:lvl>
    <w:lvl w:ilvl="2" w:tplc="9F3433AE">
      <w:start w:val="1"/>
      <w:numFmt w:val="lowerLetter"/>
      <w:lvlText w:val="%3)"/>
      <w:lvlJc w:val="left"/>
      <w:pPr>
        <w:tabs>
          <w:tab w:val="num" w:pos="360"/>
        </w:tabs>
        <w:ind w:left="360" w:hanging="360"/>
      </w:pPr>
      <w:rPr>
        <w:rFonts w:ascii="Times New Roman" w:hAnsi="Times New Roman" w:cs="Times New Roman" w:hint="default"/>
        <w:sz w:val="24"/>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FE076C6"/>
    <w:multiLevelType w:val="hybridMultilevel"/>
    <w:tmpl w:val="9EB03B70"/>
    <w:lvl w:ilvl="0" w:tplc="7BD2A68E">
      <w:start w:val="1"/>
      <w:numFmt w:val="upperRoman"/>
      <w:lvlText w:val="%1 -"/>
      <w:lvlJc w:val="left"/>
      <w:pPr>
        <w:tabs>
          <w:tab w:val="num" w:pos="1675"/>
        </w:tabs>
        <w:ind w:left="1675"/>
      </w:pPr>
      <w:rPr>
        <w:rFonts w:cs="Times New Roman"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25"/>
  </w:num>
  <w:num w:numId="3">
    <w:abstractNumId w:val="35"/>
  </w:num>
  <w:num w:numId="4">
    <w:abstractNumId w:val="26"/>
  </w:num>
  <w:num w:numId="5">
    <w:abstractNumId w:val="11"/>
  </w:num>
  <w:num w:numId="6">
    <w:abstractNumId w:val="31"/>
  </w:num>
  <w:num w:numId="7">
    <w:abstractNumId w:val="44"/>
  </w:num>
  <w:num w:numId="8">
    <w:abstractNumId w:val="17"/>
  </w:num>
  <w:num w:numId="9">
    <w:abstractNumId w:val="9"/>
  </w:num>
  <w:num w:numId="10">
    <w:abstractNumId w:val="3"/>
  </w:num>
  <w:num w:numId="11">
    <w:abstractNumId w:val="36"/>
  </w:num>
  <w:num w:numId="12">
    <w:abstractNumId w:val="22"/>
  </w:num>
  <w:num w:numId="13">
    <w:abstractNumId w:val="21"/>
  </w:num>
  <w:num w:numId="14">
    <w:abstractNumId w:val="39"/>
  </w:num>
  <w:num w:numId="15">
    <w:abstractNumId w:val="2"/>
  </w:num>
  <w:num w:numId="16">
    <w:abstractNumId w:val="43"/>
  </w:num>
  <w:num w:numId="17">
    <w:abstractNumId w:val="28"/>
  </w:num>
  <w:num w:numId="18">
    <w:abstractNumId w:val="5"/>
  </w:num>
  <w:num w:numId="19">
    <w:abstractNumId w:val="19"/>
  </w:num>
  <w:num w:numId="20">
    <w:abstractNumId w:val="1"/>
  </w:num>
  <w:num w:numId="21">
    <w:abstractNumId w:val="13"/>
  </w:num>
  <w:num w:numId="22">
    <w:abstractNumId w:val="7"/>
  </w:num>
  <w:num w:numId="23">
    <w:abstractNumId w:val="29"/>
  </w:num>
  <w:num w:numId="24">
    <w:abstractNumId w:val="18"/>
  </w:num>
  <w:num w:numId="25">
    <w:abstractNumId w:val="16"/>
  </w:num>
  <w:num w:numId="26">
    <w:abstractNumId w:val="41"/>
  </w:num>
  <w:num w:numId="27">
    <w:abstractNumId w:val="27"/>
  </w:num>
  <w:num w:numId="28">
    <w:abstractNumId w:val="37"/>
  </w:num>
  <w:num w:numId="29">
    <w:abstractNumId w:val="40"/>
  </w:num>
  <w:num w:numId="30">
    <w:abstractNumId w:val="12"/>
  </w:num>
  <w:num w:numId="31">
    <w:abstractNumId w:val="32"/>
  </w:num>
  <w:num w:numId="32">
    <w:abstractNumId w:val="4"/>
  </w:num>
  <w:num w:numId="33">
    <w:abstractNumId w:val="34"/>
  </w:num>
  <w:num w:numId="34">
    <w:abstractNumId w:val="30"/>
  </w:num>
  <w:num w:numId="35">
    <w:abstractNumId w:val="24"/>
  </w:num>
  <w:num w:numId="36">
    <w:abstractNumId w:val="8"/>
  </w:num>
  <w:num w:numId="37">
    <w:abstractNumId w:val="33"/>
  </w:num>
  <w:num w:numId="38">
    <w:abstractNumId w:val="42"/>
  </w:num>
  <w:num w:numId="39">
    <w:abstractNumId w:val="20"/>
  </w:num>
  <w:num w:numId="40">
    <w:abstractNumId w:val="15"/>
  </w:num>
  <w:num w:numId="41">
    <w:abstractNumId w:val="14"/>
  </w:num>
  <w:num w:numId="42">
    <w:abstractNumId w:val="45"/>
  </w:num>
  <w:num w:numId="43">
    <w:abstractNumId w:val="10"/>
  </w:num>
  <w:num w:numId="44">
    <w:abstractNumId w:val="23"/>
  </w:num>
  <w:num w:numId="45">
    <w:abstractNumId w:val="6"/>
  </w:num>
  <w:num w:numId="46">
    <w:abstractNumId w:val="3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32DF9"/>
    <w:rsid w:val="0000088F"/>
    <w:rsid w:val="00000E1B"/>
    <w:rsid w:val="00001E10"/>
    <w:rsid w:val="00002AA6"/>
    <w:rsid w:val="00002BA2"/>
    <w:rsid w:val="00003567"/>
    <w:rsid w:val="000048F8"/>
    <w:rsid w:val="000064CB"/>
    <w:rsid w:val="0001050A"/>
    <w:rsid w:val="000107CD"/>
    <w:rsid w:val="00011DF0"/>
    <w:rsid w:val="00011F59"/>
    <w:rsid w:val="0001424B"/>
    <w:rsid w:val="0001510F"/>
    <w:rsid w:val="00015FEF"/>
    <w:rsid w:val="000166B2"/>
    <w:rsid w:val="00017896"/>
    <w:rsid w:val="00017F97"/>
    <w:rsid w:val="0002210C"/>
    <w:rsid w:val="000230EB"/>
    <w:rsid w:val="00024322"/>
    <w:rsid w:val="000274A6"/>
    <w:rsid w:val="0003189F"/>
    <w:rsid w:val="00031B00"/>
    <w:rsid w:val="000321F3"/>
    <w:rsid w:val="0003274C"/>
    <w:rsid w:val="000328E4"/>
    <w:rsid w:val="00034B2E"/>
    <w:rsid w:val="000352A1"/>
    <w:rsid w:val="00035390"/>
    <w:rsid w:val="0003560A"/>
    <w:rsid w:val="00035C4C"/>
    <w:rsid w:val="000371F1"/>
    <w:rsid w:val="000375B4"/>
    <w:rsid w:val="0003777F"/>
    <w:rsid w:val="0004079D"/>
    <w:rsid w:val="0004222B"/>
    <w:rsid w:val="000440A3"/>
    <w:rsid w:val="000445C0"/>
    <w:rsid w:val="0004466B"/>
    <w:rsid w:val="00044E71"/>
    <w:rsid w:val="000453EE"/>
    <w:rsid w:val="00045931"/>
    <w:rsid w:val="00045E00"/>
    <w:rsid w:val="000462EB"/>
    <w:rsid w:val="00046682"/>
    <w:rsid w:val="00046764"/>
    <w:rsid w:val="0004678B"/>
    <w:rsid w:val="00050A17"/>
    <w:rsid w:val="00052BB6"/>
    <w:rsid w:val="00055289"/>
    <w:rsid w:val="00056994"/>
    <w:rsid w:val="00057BCC"/>
    <w:rsid w:val="00061778"/>
    <w:rsid w:val="00062EB1"/>
    <w:rsid w:val="00063431"/>
    <w:rsid w:val="000647FF"/>
    <w:rsid w:val="00064AA2"/>
    <w:rsid w:val="00065412"/>
    <w:rsid w:val="00066D96"/>
    <w:rsid w:val="00067196"/>
    <w:rsid w:val="00067445"/>
    <w:rsid w:val="000674A2"/>
    <w:rsid w:val="0006753E"/>
    <w:rsid w:val="000713B9"/>
    <w:rsid w:val="00071EE5"/>
    <w:rsid w:val="00072DCF"/>
    <w:rsid w:val="000734C8"/>
    <w:rsid w:val="0007419A"/>
    <w:rsid w:val="000741CC"/>
    <w:rsid w:val="0007530B"/>
    <w:rsid w:val="00075E94"/>
    <w:rsid w:val="00076F11"/>
    <w:rsid w:val="000800CC"/>
    <w:rsid w:val="000822E0"/>
    <w:rsid w:val="00082CD7"/>
    <w:rsid w:val="00082EA5"/>
    <w:rsid w:val="00082F9B"/>
    <w:rsid w:val="00085900"/>
    <w:rsid w:val="00086F1E"/>
    <w:rsid w:val="0009070F"/>
    <w:rsid w:val="000916ED"/>
    <w:rsid w:val="000924B1"/>
    <w:rsid w:val="0009252C"/>
    <w:rsid w:val="00092B31"/>
    <w:rsid w:val="000952E1"/>
    <w:rsid w:val="0009603A"/>
    <w:rsid w:val="0009744F"/>
    <w:rsid w:val="000A0AF4"/>
    <w:rsid w:val="000A0B44"/>
    <w:rsid w:val="000A0CD9"/>
    <w:rsid w:val="000A0D19"/>
    <w:rsid w:val="000A1ACD"/>
    <w:rsid w:val="000A1C0D"/>
    <w:rsid w:val="000A2D47"/>
    <w:rsid w:val="000A325C"/>
    <w:rsid w:val="000A35DA"/>
    <w:rsid w:val="000A3C6D"/>
    <w:rsid w:val="000A3DA9"/>
    <w:rsid w:val="000A50DE"/>
    <w:rsid w:val="000A6C65"/>
    <w:rsid w:val="000A717C"/>
    <w:rsid w:val="000A7A90"/>
    <w:rsid w:val="000B0CC2"/>
    <w:rsid w:val="000B0D1B"/>
    <w:rsid w:val="000B2B1C"/>
    <w:rsid w:val="000B2D09"/>
    <w:rsid w:val="000B375E"/>
    <w:rsid w:val="000B46DC"/>
    <w:rsid w:val="000B53D0"/>
    <w:rsid w:val="000B5B34"/>
    <w:rsid w:val="000B6001"/>
    <w:rsid w:val="000B671C"/>
    <w:rsid w:val="000B7C3B"/>
    <w:rsid w:val="000B7D50"/>
    <w:rsid w:val="000C096A"/>
    <w:rsid w:val="000C10D1"/>
    <w:rsid w:val="000C1E8D"/>
    <w:rsid w:val="000C1F67"/>
    <w:rsid w:val="000C1FEC"/>
    <w:rsid w:val="000C2001"/>
    <w:rsid w:val="000C200B"/>
    <w:rsid w:val="000C3A6F"/>
    <w:rsid w:val="000C3AB7"/>
    <w:rsid w:val="000C3F5F"/>
    <w:rsid w:val="000C45E1"/>
    <w:rsid w:val="000C4840"/>
    <w:rsid w:val="000C6009"/>
    <w:rsid w:val="000D0E36"/>
    <w:rsid w:val="000D0E7E"/>
    <w:rsid w:val="000D1D09"/>
    <w:rsid w:val="000D24E7"/>
    <w:rsid w:val="000D2F27"/>
    <w:rsid w:val="000D38A1"/>
    <w:rsid w:val="000D3C25"/>
    <w:rsid w:val="000D4CDF"/>
    <w:rsid w:val="000D5391"/>
    <w:rsid w:val="000D56F4"/>
    <w:rsid w:val="000D6128"/>
    <w:rsid w:val="000D7C1D"/>
    <w:rsid w:val="000E0334"/>
    <w:rsid w:val="000E146B"/>
    <w:rsid w:val="000E3DF0"/>
    <w:rsid w:val="000E6188"/>
    <w:rsid w:val="000E6521"/>
    <w:rsid w:val="000E77CD"/>
    <w:rsid w:val="000E7E44"/>
    <w:rsid w:val="000F0315"/>
    <w:rsid w:val="000F108C"/>
    <w:rsid w:val="000F167C"/>
    <w:rsid w:val="000F398F"/>
    <w:rsid w:val="000F46F8"/>
    <w:rsid w:val="000F48D1"/>
    <w:rsid w:val="00100B53"/>
    <w:rsid w:val="001014C8"/>
    <w:rsid w:val="00102072"/>
    <w:rsid w:val="00102AA5"/>
    <w:rsid w:val="00103B5B"/>
    <w:rsid w:val="001047B8"/>
    <w:rsid w:val="001106ED"/>
    <w:rsid w:val="00110B9E"/>
    <w:rsid w:val="00112E3A"/>
    <w:rsid w:val="001133D0"/>
    <w:rsid w:val="0011369D"/>
    <w:rsid w:val="00113FF7"/>
    <w:rsid w:val="001141F1"/>
    <w:rsid w:val="00114964"/>
    <w:rsid w:val="00114A5E"/>
    <w:rsid w:val="00115394"/>
    <w:rsid w:val="00115A61"/>
    <w:rsid w:val="00115F4A"/>
    <w:rsid w:val="00116431"/>
    <w:rsid w:val="00120B2E"/>
    <w:rsid w:val="0012160C"/>
    <w:rsid w:val="00121AE1"/>
    <w:rsid w:val="00121B5B"/>
    <w:rsid w:val="00122B0E"/>
    <w:rsid w:val="00124A3D"/>
    <w:rsid w:val="00124FD9"/>
    <w:rsid w:val="00127A44"/>
    <w:rsid w:val="0013223D"/>
    <w:rsid w:val="00132282"/>
    <w:rsid w:val="00133821"/>
    <w:rsid w:val="00133A16"/>
    <w:rsid w:val="00136D27"/>
    <w:rsid w:val="00136ED3"/>
    <w:rsid w:val="0013726F"/>
    <w:rsid w:val="001373B8"/>
    <w:rsid w:val="001377CC"/>
    <w:rsid w:val="00137FD1"/>
    <w:rsid w:val="001419B2"/>
    <w:rsid w:val="001420A4"/>
    <w:rsid w:val="001430A6"/>
    <w:rsid w:val="0014455A"/>
    <w:rsid w:val="0014508F"/>
    <w:rsid w:val="0015176D"/>
    <w:rsid w:val="001532C7"/>
    <w:rsid w:val="00153C0E"/>
    <w:rsid w:val="0015435E"/>
    <w:rsid w:val="0015451A"/>
    <w:rsid w:val="00155448"/>
    <w:rsid w:val="00155738"/>
    <w:rsid w:val="00156943"/>
    <w:rsid w:val="001575E2"/>
    <w:rsid w:val="0015798A"/>
    <w:rsid w:val="001614ED"/>
    <w:rsid w:val="00162B2F"/>
    <w:rsid w:val="0016389C"/>
    <w:rsid w:val="00164792"/>
    <w:rsid w:val="00165D6A"/>
    <w:rsid w:val="00171FF3"/>
    <w:rsid w:val="00172009"/>
    <w:rsid w:val="00177223"/>
    <w:rsid w:val="00177AA8"/>
    <w:rsid w:val="00180C7C"/>
    <w:rsid w:val="00183098"/>
    <w:rsid w:val="00184D36"/>
    <w:rsid w:val="00185987"/>
    <w:rsid w:val="001859E7"/>
    <w:rsid w:val="001908AF"/>
    <w:rsid w:val="0019173A"/>
    <w:rsid w:val="001919FF"/>
    <w:rsid w:val="00194027"/>
    <w:rsid w:val="00194381"/>
    <w:rsid w:val="001961BA"/>
    <w:rsid w:val="001962B7"/>
    <w:rsid w:val="00196754"/>
    <w:rsid w:val="001969AA"/>
    <w:rsid w:val="001969BD"/>
    <w:rsid w:val="00197A9D"/>
    <w:rsid w:val="001A0209"/>
    <w:rsid w:val="001A272F"/>
    <w:rsid w:val="001A4A6B"/>
    <w:rsid w:val="001A61C7"/>
    <w:rsid w:val="001A6E78"/>
    <w:rsid w:val="001A7B31"/>
    <w:rsid w:val="001B0BDE"/>
    <w:rsid w:val="001B16B2"/>
    <w:rsid w:val="001B3D43"/>
    <w:rsid w:val="001B524A"/>
    <w:rsid w:val="001B7EEA"/>
    <w:rsid w:val="001C00CF"/>
    <w:rsid w:val="001C0C0A"/>
    <w:rsid w:val="001C1818"/>
    <w:rsid w:val="001C2AD7"/>
    <w:rsid w:val="001C2FCE"/>
    <w:rsid w:val="001C388C"/>
    <w:rsid w:val="001C4105"/>
    <w:rsid w:val="001C58AD"/>
    <w:rsid w:val="001C59D0"/>
    <w:rsid w:val="001C6247"/>
    <w:rsid w:val="001C6405"/>
    <w:rsid w:val="001C7D3F"/>
    <w:rsid w:val="001D0699"/>
    <w:rsid w:val="001D07C4"/>
    <w:rsid w:val="001D1D3F"/>
    <w:rsid w:val="001D1F53"/>
    <w:rsid w:val="001D25D1"/>
    <w:rsid w:val="001D52A3"/>
    <w:rsid w:val="001D54FD"/>
    <w:rsid w:val="001D7771"/>
    <w:rsid w:val="001E1252"/>
    <w:rsid w:val="001E12A8"/>
    <w:rsid w:val="001E1659"/>
    <w:rsid w:val="001E60C2"/>
    <w:rsid w:val="001E64C7"/>
    <w:rsid w:val="001E6C1C"/>
    <w:rsid w:val="001E7AC4"/>
    <w:rsid w:val="001E7DD0"/>
    <w:rsid w:val="001F1EEA"/>
    <w:rsid w:val="001F2608"/>
    <w:rsid w:val="001F328D"/>
    <w:rsid w:val="001F4AA6"/>
    <w:rsid w:val="001F5E56"/>
    <w:rsid w:val="001F71FB"/>
    <w:rsid w:val="00200997"/>
    <w:rsid w:val="002011CC"/>
    <w:rsid w:val="0020138D"/>
    <w:rsid w:val="002015DE"/>
    <w:rsid w:val="00202121"/>
    <w:rsid w:val="00204F27"/>
    <w:rsid w:val="00205CFD"/>
    <w:rsid w:val="00206BD1"/>
    <w:rsid w:val="00207E4F"/>
    <w:rsid w:val="002121A6"/>
    <w:rsid w:val="002126BF"/>
    <w:rsid w:val="002134A4"/>
    <w:rsid w:val="002152FA"/>
    <w:rsid w:val="0021584E"/>
    <w:rsid w:val="002159CC"/>
    <w:rsid w:val="00215FD9"/>
    <w:rsid w:val="00217350"/>
    <w:rsid w:val="002174D1"/>
    <w:rsid w:val="002176A0"/>
    <w:rsid w:val="002178E3"/>
    <w:rsid w:val="00221573"/>
    <w:rsid w:val="00223E99"/>
    <w:rsid w:val="00226DEF"/>
    <w:rsid w:val="002308FA"/>
    <w:rsid w:val="002323F4"/>
    <w:rsid w:val="00233BE8"/>
    <w:rsid w:val="00234AC2"/>
    <w:rsid w:val="002430A2"/>
    <w:rsid w:val="0024454B"/>
    <w:rsid w:val="00244CF8"/>
    <w:rsid w:val="0024614C"/>
    <w:rsid w:val="00246AE2"/>
    <w:rsid w:val="00247F4E"/>
    <w:rsid w:val="00251DD3"/>
    <w:rsid w:val="0025216C"/>
    <w:rsid w:val="002522FC"/>
    <w:rsid w:val="00252D30"/>
    <w:rsid w:val="002535EF"/>
    <w:rsid w:val="00253678"/>
    <w:rsid w:val="00253DE8"/>
    <w:rsid w:val="002542E7"/>
    <w:rsid w:val="00256A53"/>
    <w:rsid w:val="002608DE"/>
    <w:rsid w:val="00261179"/>
    <w:rsid w:val="002614DF"/>
    <w:rsid w:val="00261EF7"/>
    <w:rsid w:val="00262A73"/>
    <w:rsid w:val="0026380A"/>
    <w:rsid w:val="00264443"/>
    <w:rsid w:val="0026588A"/>
    <w:rsid w:val="00266FD1"/>
    <w:rsid w:val="002758CE"/>
    <w:rsid w:val="002759BD"/>
    <w:rsid w:val="00277240"/>
    <w:rsid w:val="002806E3"/>
    <w:rsid w:val="00280894"/>
    <w:rsid w:val="00281A4C"/>
    <w:rsid w:val="00282239"/>
    <w:rsid w:val="002826B1"/>
    <w:rsid w:val="00283C99"/>
    <w:rsid w:val="00283CD0"/>
    <w:rsid w:val="00283D32"/>
    <w:rsid w:val="002846EC"/>
    <w:rsid w:val="00285199"/>
    <w:rsid w:val="00285854"/>
    <w:rsid w:val="00287F63"/>
    <w:rsid w:val="0029161D"/>
    <w:rsid w:val="0029274F"/>
    <w:rsid w:val="002A333C"/>
    <w:rsid w:val="002A3C2A"/>
    <w:rsid w:val="002A3D90"/>
    <w:rsid w:val="002A52C8"/>
    <w:rsid w:val="002A536C"/>
    <w:rsid w:val="002A675D"/>
    <w:rsid w:val="002A70AC"/>
    <w:rsid w:val="002B03B9"/>
    <w:rsid w:val="002B068B"/>
    <w:rsid w:val="002B0F67"/>
    <w:rsid w:val="002B499F"/>
    <w:rsid w:val="002B6435"/>
    <w:rsid w:val="002B6702"/>
    <w:rsid w:val="002B679E"/>
    <w:rsid w:val="002C141D"/>
    <w:rsid w:val="002C1A1B"/>
    <w:rsid w:val="002C3EAD"/>
    <w:rsid w:val="002C400D"/>
    <w:rsid w:val="002C4F46"/>
    <w:rsid w:val="002C5105"/>
    <w:rsid w:val="002C553E"/>
    <w:rsid w:val="002C6A31"/>
    <w:rsid w:val="002C7A3A"/>
    <w:rsid w:val="002D0340"/>
    <w:rsid w:val="002D0908"/>
    <w:rsid w:val="002D09BE"/>
    <w:rsid w:val="002D0B94"/>
    <w:rsid w:val="002D137A"/>
    <w:rsid w:val="002D14A1"/>
    <w:rsid w:val="002D4087"/>
    <w:rsid w:val="002D5212"/>
    <w:rsid w:val="002D65DA"/>
    <w:rsid w:val="002D7494"/>
    <w:rsid w:val="002D791E"/>
    <w:rsid w:val="002E0C05"/>
    <w:rsid w:val="002E119B"/>
    <w:rsid w:val="002E1387"/>
    <w:rsid w:val="002E18AF"/>
    <w:rsid w:val="002E4696"/>
    <w:rsid w:val="002E602D"/>
    <w:rsid w:val="002F0D8E"/>
    <w:rsid w:val="002F11CD"/>
    <w:rsid w:val="002F1465"/>
    <w:rsid w:val="002F1889"/>
    <w:rsid w:val="002F1D0F"/>
    <w:rsid w:val="002F2440"/>
    <w:rsid w:val="002F4768"/>
    <w:rsid w:val="002F4C42"/>
    <w:rsid w:val="002F5743"/>
    <w:rsid w:val="002F641F"/>
    <w:rsid w:val="002F7280"/>
    <w:rsid w:val="00302013"/>
    <w:rsid w:val="00303C59"/>
    <w:rsid w:val="00304FF5"/>
    <w:rsid w:val="00306F70"/>
    <w:rsid w:val="00307A5A"/>
    <w:rsid w:val="0031099C"/>
    <w:rsid w:val="00310AC5"/>
    <w:rsid w:val="00311014"/>
    <w:rsid w:val="00314BFF"/>
    <w:rsid w:val="00315E06"/>
    <w:rsid w:val="003160A5"/>
    <w:rsid w:val="00316C63"/>
    <w:rsid w:val="00317376"/>
    <w:rsid w:val="0032271A"/>
    <w:rsid w:val="003228F7"/>
    <w:rsid w:val="00323AAA"/>
    <w:rsid w:val="00324AEA"/>
    <w:rsid w:val="003250A3"/>
    <w:rsid w:val="0032526E"/>
    <w:rsid w:val="003257B1"/>
    <w:rsid w:val="003262E6"/>
    <w:rsid w:val="0032690E"/>
    <w:rsid w:val="00326DEB"/>
    <w:rsid w:val="00326E8F"/>
    <w:rsid w:val="00327424"/>
    <w:rsid w:val="0032790C"/>
    <w:rsid w:val="00330D24"/>
    <w:rsid w:val="00334C43"/>
    <w:rsid w:val="003352A3"/>
    <w:rsid w:val="00337C3B"/>
    <w:rsid w:val="00337CB8"/>
    <w:rsid w:val="0034086C"/>
    <w:rsid w:val="00342D64"/>
    <w:rsid w:val="00343A75"/>
    <w:rsid w:val="0034421F"/>
    <w:rsid w:val="0034526B"/>
    <w:rsid w:val="00345C6C"/>
    <w:rsid w:val="00350B5E"/>
    <w:rsid w:val="00351502"/>
    <w:rsid w:val="003523A1"/>
    <w:rsid w:val="00354AB8"/>
    <w:rsid w:val="0036070F"/>
    <w:rsid w:val="00360B8B"/>
    <w:rsid w:val="00362590"/>
    <w:rsid w:val="003629F4"/>
    <w:rsid w:val="00363A95"/>
    <w:rsid w:val="00364E43"/>
    <w:rsid w:val="0036640E"/>
    <w:rsid w:val="003664BF"/>
    <w:rsid w:val="0037006D"/>
    <w:rsid w:val="00370FAA"/>
    <w:rsid w:val="00373321"/>
    <w:rsid w:val="0037496B"/>
    <w:rsid w:val="00375B0E"/>
    <w:rsid w:val="00375D7E"/>
    <w:rsid w:val="0037667A"/>
    <w:rsid w:val="003775E1"/>
    <w:rsid w:val="0038328E"/>
    <w:rsid w:val="003836C2"/>
    <w:rsid w:val="00383D05"/>
    <w:rsid w:val="00384704"/>
    <w:rsid w:val="003856CA"/>
    <w:rsid w:val="00386139"/>
    <w:rsid w:val="0038663D"/>
    <w:rsid w:val="00386765"/>
    <w:rsid w:val="0039105E"/>
    <w:rsid w:val="00391358"/>
    <w:rsid w:val="0039159A"/>
    <w:rsid w:val="0039286C"/>
    <w:rsid w:val="003948C3"/>
    <w:rsid w:val="00396120"/>
    <w:rsid w:val="003977DF"/>
    <w:rsid w:val="003A06B4"/>
    <w:rsid w:val="003A22ED"/>
    <w:rsid w:val="003A51A0"/>
    <w:rsid w:val="003A525D"/>
    <w:rsid w:val="003A5323"/>
    <w:rsid w:val="003A5473"/>
    <w:rsid w:val="003A6036"/>
    <w:rsid w:val="003A6DA4"/>
    <w:rsid w:val="003A705A"/>
    <w:rsid w:val="003A756E"/>
    <w:rsid w:val="003B0CFF"/>
    <w:rsid w:val="003B3C4D"/>
    <w:rsid w:val="003B42EA"/>
    <w:rsid w:val="003B4631"/>
    <w:rsid w:val="003C0275"/>
    <w:rsid w:val="003C0ED2"/>
    <w:rsid w:val="003C1FF0"/>
    <w:rsid w:val="003C2FE0"/>
    <w:rsid w:val="003C52CD"/>
    <w:rsid w:val="003C7296"/>
    <w:rsid w:val="003D19DA"/>
    <w:rsid w:val="003D1AF1"/>
    <w:rsid w:val="003D4E85"/>
    <w:rsid w:val="003D51D7"/>
    <w:rsid w:val="003D5B20"/>
    <w:rsid w:val="003E1AB4"/>
    <w:rsid w:val="003E234E"/>
    <w:rsid w:val="003E2860"/>
    <w:rsid w:val="003E368B"/>
    <w:rsid w:val="003E3921"/>
    <w:rsid w:val="003E3AF9"/>
    <w:rsid w:val="003E44C9"/>
    <w:rsid w:val="003E4AF0"/>
    <w:rsid w:val="003E4EA3"/>
    <w:rsid w:val="003E564E"/>
    <w:rsid w:val="003E56BB"/>
    <w:rsid w:val="003E64B3"/>
    <w:rsid w:val="003E7562"/>
    <w:rsid w:val="003F3810"/>
    <w:rsid w:val="003F3FFA"/>
    <w:rsid w:val="003F40F7"/>
    <w:rsid w:val="003F65B1"/>
    <w:rsid w:val="003F664B"/>
    <w:rsid w:val="003F6B39"/>
    <w:rsid w:val="003F7125"/>
    <w:rsid w:val="004003B9"/>
    <w:rsid w:val="00400990"/>
    <w:rsid w:val="00401968"/>
    <w:rsid w:val="004022F3"/>
    <w:rsid w:val="00405714"/>
    <w:rsid w:val="004062AB"/>
    <w:rsid w:val="004062E2"/>
    <w:rsid w:val="0040636D"/>
    <w:rsid w:val="004069AE"/>
    <w:rsid w:val="00407AE6"/>
    <w:rsid w:val="00412A4E"/>
    <w:rsid w:val="00412D8D"/>
    <w:rsid w:val="00413703"/>
    <w:rsid w:val="00413A04"/>
    <w:rsid w:val="00413A29"/>
    <w:rsid w:val="00414EA2"/>
    <w:rsid w:val="00416656"/>
    <w:rsid w:val="0041794A"/>
    <w:rsid w:val="0042224D"/>
    <w:rsid w:val="00422513"/>
    <w:rsid w:val="004228A0"/>
    <w:rsid w:val="0042347E"/>
    <w:rsid w:val="00424F03"/>
    <w:rsid w:val="00426C3F"/>
    <w:rsid w:val="00430A68"/>
    <w:rsid w:val="00430BED"/>
    <w:rsid w:val="00431B8E"/>
    <w:rsid w:val="00431BB1"/>
    <w:rsid w:val="00431E86"/>
    <w:rsid w:val="004322BB"/>
    <w:rsid w:val="004327A4"/>
    <w:rsid w:val="004331AC"/>
    <w:rsid w:val="0043519E"/>
    <w:rsid w:val="0043567E"/>
    <w:rsid w:val="00435ACF"/>
    <w:rsid w:val="00437632"/>
    <w:rsid w:val="004376CE"/>
    <w:rsid w:val="00437ABA"/>
    <w:rsid w:val="00440457"/>
    <w:rsid w:val="004406E9"/>
    <w:rsid w:val="004407AD"/>
    <w:rsid w:val="00440CCD"/>
    <w:rsid w:val="004419C8"/>
    <w:rsid w:val="00441A31"/>
    <w:rsid w:val="00442566"/>
    <w:rsid w:val="00442E07"/>
    <w:rsid w:val="00445EFB"/>
    <w:rsid w:val="00446E56"/>
    <w:rsid w:val="004473D0"/>
    <w:rsid w:val="004506C9"/>
    <w:rsid w:val="00450756"/>
    <w:rsid w:val="0045075D"/>
    <w:rsid w:val="00454A9F"/>
    <w:rsid w:val="004555CE"/>
    <w:rsid w:val="00456D3B"/>
    <w:rsid w:val="00460518"/>
    <w:rsid w:val="0046167F"/>
    <w:rsid w:val="00463270"/>
    <w:rsid w:val="00463529"/>
    <w:rsid w:val="00463A3E"/>
    <w:rsid w:val="004640DA"/>
    <w:rsid w:val="00470145"/>
    <w:rsid w:val="004715ED"/>
    <w:rsid w:val="004728C8"/>
    <w:rsid w:val="00472C14"/>
    <w:rsid w:val="00472C75"/>
    <w:rsid w:val="004733E7"/>
    <w:rsid w:val="004761F6"/>
    <w:rsid w:val="00477CC2"/>
    <w:rsid w:val="0048260E"/>
    <w:rsid w:val="00482E79"/>
    <w:rsid w:val="00483BB4"/>
    <w:rsid w:val="00484CB0"/>
    <w:rsid w:val="00485795"/>
    <w:rsid w:val="00485EDB"/>
    <w:rsid w:val="00486E3B"/>
    <w:rsid w:val="00487212"/>
    <w:rsid w:val="00491C7E"/>
    <w:rsid w:val="00491E08"/>
    <w:rsid w:val="00492756"/>
    <w:rsid w:val="0049410E"/>
    <w:rsid w:val="004950A1"/>
    <w:rsid w:val="004A1DD9"/>
    <w:rsid w:val="004A2122"/>
    <w:rsid w:val="004A235E"/>
    <w:rsid w:val="004A2C68"/>
    <w:rsid w:val="004A50A0"/>
    <w:rsid w:val="004A5441"/>
    <w:rsid w:val="004A5A9B"/>
    <w:rsid w:val="004B2588"/>
    <w:rsid w:val="004B3F27"/>
    <w:rsid w:val="004B51E5"/>
    <w:rsid w:val="004B63E3"/>
    <w:rsid w:val="004B66AD"/>
    <w:rsid w:val="004B6BAE"/>
    <w:rsid w:val="004B7BF9"/>
    <w:rsid w:val="004C006A"/>
    <w:rsid w:val="004C028C"/>
    <w:rsid w:val="004C1204"/>
    <w:rsid w:val="004C2038"/>
    <w:rsid w:val="004C2B73"/>
    <w:rsid w:val="004C2CAF"/>
    <w:rsid w:val="004C2D09"/>
    <w:rsid w:val="004C4064"/>
    <w:rsid w:val="004C4BBA"/>
    <w:rsid w:val="004C5DE2"/>
    <w:rsid w:val="004C60FB"/>
    <w:rsid w:val="004D0271"/>
    <w:rsid w:val="004D0A03"/>
    <w:rsid w:val="004D0E11"/>
    <w:rsid w:val="004D1635"/>
    <w:rsid w:val="004D1D94"/>
    <w:rsid w:val="004D21B4"/>
    <w:rsid w:val="004D27A0"/>
    <w:rsid w:val="004D3788"/>
    <w:rsid w:val="004D4752"/>
    <w:rsid w:val="004D4E85"/>
    <w:rsid w:val="004D5D60"/>
    <w:rsid w:val="004D6EC5"/>
    <w:rsid w:val="004D6FA2"/>
    <w:rsid w:val="004D7EE6"/>
    <w:rsid w:val="004E1353"/>
    <w:rsid w:val="004E1A67"/>
    <w:rsid w:val="004E3A08"/>
    <w:rsid w:val="004E44F4"/>
    <w:rsid w:val="004E4C8D"/>
    <w:rsid w:val="004E4F5B"/>
    <w:rsid w:val="004E5A65"/>
    <w:rsid w:val="004E76A4"/>
    <w:rsid w:val="004F2FFF"/>
    <w:rsid w:val="004F464A"/>
    <w:rsid w:val="004F5F25"/>
    <w:rsid w:val="004F67F8"/>
    <w:rsid w:val="00500ADE"/>
    <w:rsid w:val="00501274"/>
    <w:rsid w:val="0050189D"/>
    <w:rsid w:val="00504078"/>
    <w:rsid w:val="00511AA3"/>
    <w:rsid w:val="0051204D"/>
    <w:rsid w:val="005128F5"/>
    <w:rsid w:val="00512921"/>
    <w:rsid w:val="00513A0B"/>
    <w:rsid w:val="005151E3"/>
    <w:rsid w:val="00516485"/>
    <w:rsid w:val="00516545"/>
    <w:rsid w:val="00520C68"/>
    <w:rsid w:val="00520DE6"/>
    <w:rsid w:val="00520FE2"/>
    <w:rsid w:val="00521C72"/>
    <w:rsid w:val="005222DB"/>
    <w:rsid w:val="005226A9"/>
    <w:rsid w:val="00522C00"/>
    <w:rsid w:val="00522CEC"/>
    <w:rsid w:val="00523CE9"/>
    <w:rsid w:val="005249A3"/>
    <w:rsid w:val="0052566D"/>
    <w:rsid w:val="00526019"/>
    <w:rsid w:val="00526411"/>
    <w:rsid w:val="0052737D"/>
    <w:rsid w:val="005302FE"/>
    <w:rsid w:val="00531507"/>
    <w:rsid w:val="005315B6"/>
    <w:rsid w:val="005328F4"/>
    <w:rsid w:val="00532F98"/>
    <w:rsid w:val="00533AF0"/>
    <w:rsid w:val="00535253"/>
    <w:rsid w:val="00535FD0"/>
    <w:rsid w:val="005366C5"/>
    <w:rsid w:val="00537B45"/>
    <w:rsid w:val="0054073E"/>
    <w:rsid w:val="00543A1E"/>
    <w:rsid w:val="00543BF2"/>
    <w:rsid w:val="005440DF"/>
    <w:rsid w:val="005442D8"/>
    <w:rsid w:val="00545B67"/>
    <w:rsid w:val="00545C06"/>
    <w:rsid w:val="0054614D"/>
    <w:rsid w:val="005466FB"/>
    <w:rsid w:val="00546A70"/>
    <w:rsid w:val="00550438"/>
    <w:rsid w:val="00551B35"/>
    <w:rsid w:val="00551F89"/>
    <w:rsid w:val="005523D8"/>
    <w:rsid w:val="00552C2C"/>
    <w:rsid w:val="00555232"/>
    <w:rsid w:val="005556A1"/>
    <w:rsid w:val="005564BE"/>
    <w:rsid w:val="00556529"/>
    <w:rsid w:val="00556EE0"/>
    <w:rsid w:val="005621F0"/>
    <w:rsid w:val="00562B5A"/>
    <w:rsid w:val="00564FAA"/>
    <w:rsid w:val="0056606F"/>
    <w:rsid w:val="00567389"/>
    <w:rsid w:val="00573ED1"/>
    <w:rsid w:val="00575BD5"/>
    <w:rsid w:val="005766FE"/>
    <w:rsid w:val="00576B62"/>
    <w:rsid w:val="0057736F"/>
    <w:rsid w:val="00582B8C"/>
    <w:rsid w:val="00582FC3"/>
    <w:rsid w:val="005830C8"/>
    <w:rsid w:val="00583C8D"/>
    <w:rsid w:val="00585306"/>
    <w:rsid w:val="00585BD2"/>
    <w:rsid w:val="005864DE"/>
    <w:rsid w:val="0058675E"/>
    <w:rsid w:val="00587F29"/>
    <w:rsid w:val="005919FC"/>
    <w:rsid w:val="00592195"/>
    <w:rsid w:val="005921CA"/>
    <w:rsid w:val="00593D71"/>
    <w:rsid w:val="00594364"/>
    <w:rsid w:val="00595917"/>
    <w:rsid w:val="00595EF7"/>
    <w:rsid w:val="00596BB6"/>
    <w:rsid w:val="005972AC"/>
    <w:rsid w:val="00597C65"/>
    <w:rsid w:val="005A165D"/>
    <w:rsid w:val="005A30EB"/>
    <w:rsid w:val="005A40AF"/>
    <w:rsid w:val="005A482B"/>
    <w:rsid w:val="005A4E6A"/>
    <w:rsid w:val="005A506C"/>
    <w:rsid w:val="005A76E2"/>
    <w:rsid w:val="005B0E72"/>
    <w:rsid w:val="005B1C2F"/>
    <w:rsid w:val="005B1D3D"/>
    <w:rsid w:val="005B1E90"/>
    <w:rsid w:val="005B4DBA"/>
    <w:rsid w:val="005B666F"/>
    <w:rsid w:val="005C1B49"/>
    <w:rsid w:val="005C2425"/>
    <w:rsid w:val="005C2FFF"/>
    <w:rsid w:val="005C4471"/>
    <w:rsid w:val="005C4F65"/>
    <w:rsid w:val="005C60ED"/>
    <w:rsid w:val="005C6303"/>
    <w:rsid w:val="005D05C0"/>
    <w:rsid w:val="005D0D5F"/>
    <w:rsid w:val="005D0EBF"/>
    <w:rsid w:val="005D11D7"/>
    <w:rsid w:val="005D33BA"/>
    <w:rsid w:val="005D3BFE"/>
    <w:rsid w:val="005D4775"/>
    <w:rsid w:val="005D60C6"/>
    <w:rsid w:val="005D7B60"/>
    <w:rsid w:val="005E020D"/>
    <w:rsid w:val="005E11FF"/>
    <w:rsid w:val="005E1285"/>
    <w:rsid w:val="005E2C58"/>
    <w:rsid w:val="005E2E69"/>
    <w:rsid w:val="005E4453"/>
    <w:rsid w:val="005E59F0"/>
    <w:rsid w:val="005E6FB8"/>
    <w:rsid w:val="005E7DE1"/>
    <w:rsid w:val="005F0FDA"/>
    <w:rsid w:val="005F28BA"/>
    <w:rsid w:val="005F32CD"/>
    <w:rsid w:val="005F33D5"/>
    <w:rsid w:val="005F7A61"/>
    <w:rsid w:val="006000F0"/>
    <w:rsid w:val="006010BA"/>
    <w:rsid w:val="006016B4"/>
    <w:rsid w:val="00602AF7"/>
    <w:rsid w:val="00603070"/>
    <w:rsid w:val="0060519A"/>
    <w:rsid w:val="006055CA"/>
    <w:rsid w:val="00605CE8"/>
    <w:rsid w:val="00605E77"/>
    <w:rsid w:val="006119A7"/>
    <w:rsid w:val="00611AF7"/>
    <w:rsid w:val="00611BF0"/>
    <w:rsid w:val="00612932"/>
    <w:rsid w:val="00612AAA"/>
    <w:rsid w:val="00612C3C"/>
    <w:rsid w:val="0061316A"/>
    <w:rsid w:val="00613E9C"/>
    <w:rsid w:val="00617183"/>
    <w:rsid w:val="00621B27"/>
    <w:rsid w:val="00621B90"/>
    <w:rsid w:val="0062436A"/>
    <w:rsid w:val="00624C2C"/>
    <w:rsid w:val="00630532"/>
    <w:rsid w:val="00631466"/>
    <w:rsid w:val="00632C69"/>
    <w:rsid w:val="00633C45"/>
    <w:rsid w:val="00633F0F"/>
    <w:rsid w:val="006347F1"/>
    <w:rsid w:val="006349C6"/>
    <w:rsid w:val="006358D9"/>
    <w:rsid w:val="00635AD1"/>
    <w:rsid w:val="0063650E"/>
    <w:rsid w:val="0063658A"/>
    <w:rsid w:val="00640C1A"/>
    <w:rsid w:val="0064101F"/>
    <w:rsid w:val="00641443"/>
    <w:rsid w:val="00641F80"/>
    <w:rsid w:val="006446E7"/>
    <w:rsid w:val="0064495C"/>
    <w:rsid w:val="00645CA0"/>
    <w:rsid w:val="00650182"/>
    <w:rsid w:val="006502E6"/>
    <w:rsid w:val="00651161"/>
    <w:rsid w:val="006524BB"/>
    <w:rsid w:val="006524F9"/>
    <w:rsid w:val="00654928"/>
    <w:rsid w:val="0065555C"/>
    <w:rsid w:val="00655A35"/>
    <w:rsid w:val="006602E5"/>
    <w:rsid w:val="00660CE0"/>
    <w:rsid w:val="006645DA"/>
    <w:rsid w:val="0066568D"/>
    <w:rsid w:val="00666323"/>
    <w:rsid w:val="00667D06"/>
    <w:rsid w:val="00667E4E"/>
    <w:rsid w:val="0067001A"/>
    <w:rsid w:val="00670487"/>
    <w:rsid w:val="0067098E"/>
    <w:rsid w:val="00671B36"/>
    <w:rsid w:val="00672403"/>
    <w:rsid w:val="0067254D"/>
    <w:rsid w:val="006726F6"/>
    <w:rsid w:val="006741F2"/>
    <w:rsid w:val="0067600F"/>
    <w:rsid w:val="0067683B"/>
    <w:rsid w:val="00677A87"/>
    <w:rsid w:val="00680505"/>
    <w:rsid w:val="00680F26"/>
    <w:rsid w:val="00681BED"/>
    <w:rsid w:val="00682C5B"/>
    <w:rsid w:val="00685B0D"/>
    <w:rsid w:val="00686227"/>
    <w:rsid w:val="00686870"/>
    <w:rsid w:val="00686C26"/>
    <w:rsid w:val="006877DF"/>
    <w:rsid w:val="00693798"/>
    <w:rsid w:val="0069429D"/>
    <w:rsid w:val="006943F5"/>
    <w:rsid w:val="00694718"/>
    <w:rsid w:val="00696521"/>
    <w:rsid w:val="0069671C"/>
    <w:rsid w:val="00696C41"/>
    <w:rsid w:val="00696E60"/>
    <w:rsid w:val="006976B9"/>
    <w:rsid w:val="006977D6"/>
    <w:rsid w:val="006A0488"/>
    <w:rsid w:val="006A13FF"/>
    <w:rsid w:val="006A39DD"/>
    <w:rsid w:val="006A56A1"/>
    <w:rsid w:val="006A5885"/>
    <w:rsid w:val="006A592E"/>
    <w:rsid w:val="006A61B0"/>
    <w:rsid w:val="006A6B0D"/>
    <w:rsid w:val="006A6D31"/>
    <w:rsid w:val="006B10A1"/>
    <w:rsid w:val="006B17F2"/>
    <w:rsid w:val="006B7A53"/>
    <w:rsid w:val="006B7A9F"/>
    <w:rsid w:val="006C048A"/>
    <w:rsid w:val="006C0598"/>
    <w:rsid w:val="006C1B94"/>
    <w:rsid w:val="006C1FCD"/>
    <w:rsid w:val="006C21BB"/>
    <w:rsid w:val="006C2525"/>
    <w:rsid w:val="006C2EE4"/>
    <w:rsid w:val="006C374D"/>
    <w:rsid w:val="006C43D4"/>
    <w:rsid w:val="006C4B38"/>
    <w:rsid w:val="006C4E00"/>
    <w:rsid w:val="006C53AD"/>
    <w:rsid w:val="006C544F"/>
    <w:rsid w:val="006C54B8"/>
    <w:rsid w:val="006C59EB"/>
    <w:rsid w:val="006C5C33"/>
    <w:rsid w:val="006C5D30"/>
    <w:rsid w:val="006C76B8"/>
    <w:rsid w:val="006D0979"/>
    <w:rsid w:val="006D0FA1"/>
    <w:rsid w:val="006D1296"/>
    <w:rsid w:val="006D2F78"/>
    <w:rsid w:val="006D334A"/>
    <w:rsid w:val="006D33EC"/>
    <w:rsid w:val="006D4D72"/>
    <w:rsid w:val="006D526B"/>
    <w:rsid w:val="006D5E20"/>
    <w:rsid w:val="006E02B4"/>
    <w:rsid w:val="006E089C"/>
    <w:rsid w:val="006E1015"/>
    <w:rsid w:val="006E4035"/>
    <w:rsid w:val="006E4310"/>
    <w:rsid w:val="006E4489"/>
    <w:rsid w:val="006E4F08"/>
    <w:rsid w:val="006E5697"/>
    <w:rsid w:val="006E5735"/>
    <w:rsid w:val="006E7256"/>
    <w:rsid w:val="006E79D9"/>
    <w:rsid w:val="006F0692"/>
    <w:rsid w:val="006F06B2"/>
    <w:rsid w:val="006F1580"/>
    <w:rsid w:val="006F1660"/>
    <w:rsid w:val="006F258D"/>
    <w:rsid w:val="006F2820"/>
    <w:rsid w:val="006F3130"/>
    <w:rsid w:val="006F4516"/>
    <w:rsid w:val="006F48ED"/>
    <w:rsid w:val="006F4B36"/>
    <w:rsid w:val="006F518A"/>
    <w:rsid w:val="006F6BFE"/>
    <w:rsid w:val="0070012C"/>
    <w:rsid w:val="0070053B"/>
    <w:rsid w:val="007008DB"/>
    <w:rsid w:val="00700F66"/>
    <w:rsid w:val="007026BC"/>
    <w:rsid w:val="007038CB"/>
    <w:rsid w:val="0070477F"/>
    <w:rsid w:val="007058B1"/>
    <w:rsid w:val="00707AB2"/>
    <w:rsid w:val="00712982"/>
    <w:rsid w:val="00712CAD"/>
    <w:rsid w:val="00714390"/>
    <w:rsid w:val="00715624"/>
    <w:rsid w:val="00715F81"/>
    <w:rsid w:val="00717B7D"/>
    <w:rsid w:val="00721F51"/>
    <w:rsid w:val="00724AAF"/>
    <w:rsid w:val="007255D2"/>
    <w:rsid w:val="0072625A"/>
    <w:rsid w:val="00726689"/>
    <w:rsid w:val="007269FB"/>
    <w:rsid w:val="00726E5B"/>
    <w:rsid w:val="00727485"/>
    <w:rsid w:val="0073080D"/>
    <w:rsid w:val="00730920"/>
    <w:rsid w:val="00731347"/>
    <w:rsid w:val="007316E0"/>
    <w:rsid w:val="00733F43"/>
    <w:rsid w:val="00734569"/>
    <w:rsid w:val="00735700"/>
    <w:rsid w:val="00735C21"/>
    <w:rsid w:val="0073612E"/>
    <w:rsid w:val="0073614A"/>
    <w:rsid w:val="00742762"/>
    <w:rsid w:val="00742E07"/>
    <w:rsid w:val="0074413E"/>
    <w:rsid w:val="007447BD"/>
    <w:rsid w:val="00744A16"/>
    <w:rsid w:val="007458C1"/>
    <w:rsid w:val="00751058"/>
    <w:rsid w:val="00751180"/>
    <w:rsid w:val="007516FB"/>
    <w:rsid w:val="00752640"/>
    <w:rsid w:val="00752BFF"/>
    <w:rsid w:val="0075381D"/>
    <w:rsid w:val="0075593D"/>
    <w:rsid w:val="00755D00"/>
    <w:rsid w:val="00760033"/>
    <w:rsid w:val="0076013E"/>
    <w:rsid w:val="00760451"/>
    <w:rsid w:val="007610AB"/>
    <w:rsid w:val="007619F4"/>
    <w:rsid w:val="00761F54"/>
    <w:rsid w:val="0076235B"/>
    <w:rsid w:val="0076293E"/>
    <w:rsid w:val="0076303E"/>
    <w:rsid w:val="00763117"/>
    <w:rsid w:val="007634B3"/>
    <w:rsid w:val="007635BE"/>
    <w:rsid w:val="007653C2"/>
    <w:rsid w:val="00767493"/>
    <w:rsid w:val="007707EB"/>
    <w:rsid w:val="007718DD"/>
    <w:rsid w:val="00771F09"/>
    <w:rsid w:val="007727FB"/>
    <w:rsid w:val="007742F1"/>
    <w:rsid w:val="0077454E"/>
    <w:rsid w:val="007746D5"/>
    <w:rsid w:val="00774E59"/>
    <w:rsid w:val="00775795"/>
    <w:rsid w:val="00775F84"/>
    <w:rsid w:val="007767C0"/>
    <w:rsid w:val="0077785A"/>
    <w:rsid w:val="00780168"/>
    <w:rsid w:val="0078117D"/>
    <w:rsid w:val="007811DB"/>
    <w:rsid w:val="0078382D"/>
    <w:rsid w:val="00784D84"/>
    <w:rsid w:val="00786184"/>
    <w:rsid w:val="007864A4"/>
    <w:rsid w:val="0078655F"/>
    <w:rsid w:val="00790977"/>
    <w:rsid w:val="007922C9"/>
    <w:rsid w:val="00792827"/>
    <w:rsid w:val="00792ABA"/>
    <w:rsid w:val="007936A6"/>
    <w:rsid w:val="007937CF"/>
    <w:rsid w:val="0079404F"/>
    <w:rsid w:val="007947B3"/>
    <w:rsid w:val="0079626A"/>
    <w:rsid w:val="00796CA0"/>
    <w:rsid w:val="00797921"/>
    <w:rsid w:val="007A0716"/>
    <w:rsid w:val="007A07A5"/>
    <w:rsid w:val="007A2CF4"/>
    <w:rsid w:val="007A3ED6"/>
    <w:rsid w:val="007A4C94"/>
    <w:rsid w:val="007A4CBC"/>
    <w:rsid w:val="007A5CD8"/>
    <w:rsid w:val="007B6EED"/>
    <w:rsid w:val="007B7100"/>
    <w:rsid w:val="007B7AAA"/>
    <w:rsid w:val="007B7AF5"/>
    <w:rsid w:val="007B7EB5"/>
    <w:rsid w:val="007B7ED7"/>
    <w:rsid w:val="007C1165"/>
    <w:rsid w:val="007C2000"/>
    <w:rsid w:val="007C30BF"/>
    <w:rsid w:val="007C4D4D"/>
    <w:rsid w:val="007C4D69"/>
    <w:rsid w:val="007C6540"/>
    <w:rsid w:val="007C781E"/>
    <w:rsid w:val="007D03FA"/>
    <w:rsid w:val="007D0BBF"/>
    <w:rsid w:val="007D11D1"/>
    <w:rsid w:val="007D184C"/>
    <w:rsid w:val="007D1DB1"/>
    <w:rsid w:val="007D34C6"/>
    <w:rsid w:val="007D3D62"/>
    <w:rsid w:val="007D4D09"/>
    <w:rsid w:val="007D4F36"/>
    <w:rsid w:val="007D64D1"/>
    <w:rsid w:val="007D7D9F"/>
    <w:rsid w:val="007E0219"/>
    <w:rsid w:val="007E2834"/>
    <w:rsid w:val="007E38FC"/>
    <w:rsid w:val="007E45B9"/>
    <w:rsid w:val="007F0E37"/>
    <w:rsid w:val="007F3B6F"/>
    <w:rsid w:val="007F49FE"/>
    <w:rsid w:val="007F4E39"/>
    <w:rsid w:val="007F5302"/>
    <w:rsid w:val="0080070B"/>
    <w:rsid w:val="00801157"/>
    <w:rsid w:val="00801601"/>
    <w:rsid w:val="00804676"/>
    <w:rsid w:val="00806470"/>
    <w:rsid w:val="00806682"/>
    <w:rsid w:val="00810810"/>
    <w:rsid w:val="00811402"/>
    <w:rsid w:val="00814888"/>
    <w:rsid w:val="00817999"/>
    <w:rsid w:val="00823A97"/>
    <w:rsid w:val="00825DF5"/>
    <w:rsid w:val="0082679A"/>
    <w:rsid w:val="0083503D"/>
    <w:rsid w:val="0083516A"/>
    <w:rsid w:val="00835241"/>
    <w:rsid w:val="00835DE7"/>
    <w:rsid w:val="00835DE9"/>
    <w:rsid w:val="00836289"/>
    <w:rsid w:val="0084107E"/>
    <w:rsid w:val="0084295C"/>
    <w:rsid w:val="00842DEC"/>
    <w:rsid w:val="008466A7"/>
    <w:rsid w:val="00846992"/>
    <w:rsid w:val="00847792"/>
    <w:rsid w:val="00847A7E"/>
    <w:rsid w:val="00847EE3"/>
    <w:rsid w:val="00850181"/>
    <w:rsid w:val="0085064E"/>
    <w:rsid w:val="00851084"/>
    <w:rsid w:val="00851FEA"/>
    <w:rsid w:val="00852467"/>
    <w:rsid w:val="008524B0"/>
    <w:rsid w:val="0085291D"/>
    <w:rsid w:val="00852C7B"/>
    <w:rsid w:val="00853095"/>
    <w:rsid w:val="00853349"/>
    <w:rsid w:val="00853401"/>
    <w:rsid w:val="00853DBC"/>
    <w:rsid w:val="008544F8"/>
    <w:rsid w:val="00855831"/>
    <w:rsid w:val="00855DC9"/>
    <w:rsid w:val="008568B1"/>
    <w:rsid w:val="00857556"/>
    <w:rsid w:val="00857F85"/>
    <w:rsid w:val="00860A14"/>
    <w:rsid w:val="00860ECD"/>
    <w:rsid w:val="00861662"/>
    <w:rsid w:val="00861BF3"/>
    <w:rsid w:val="008621A2"/>
    <w:rsid w:val="00863218"/>
    <w:rsid w:val="008648CA"/>
    <w:rsid w:val="0086507D"/>
    <w:rsid w:val="00865819"/>
    <w:rsid w:val="0086705B"/>
    <w:rsid w:val="00870061"/>
    <w:rsid w:val="008707E6"/>
    <w:rsid w:val="00870A56"/>
    <w:rsid w:val="00870C7D"/>
    <w:rsid w:val="0087106B"/>
    <w:rsid w:val="008714B9"/>
    <w:rsid w:val="00873DAF"/>
    <w:rsid w:val="008752DD"/>
    <w:rsid w:val="008772EE"/>
    <w:rsid w:val="008776E9"/>
    <w:rsid w:val="00880D1D"/>
    <w:rsid w:val="0088167B"/>
    <w:rsid w:val="00882509"/>
    <w:rsid w:val="0088254F"/>
    <w:rsid w:val="008825E7"/>
    <w:rsid w:val="00883351"/>
    <w:rsid w:val="00883511"/>
    <w:rsid w:val="00883D79"/>
    <w:rsid w:val="0088441B"/>
    <w:rsid w:val="0088579E"/>
    <w:rsid w:val="00885AB6"/>
    <w:rsid w:val="00886126"/>
    <w:rsid w:val="00887071"/>
    <w:rsid w:val="008876F0"/>
    <w:rsid w:val="008908E7"/>
    <w:rsid w:val="00890CE4"/>
    <w:rsid w:val="00892356"/>
    <w:rsid w:val="0089314E"/>
    <w:rsid w:val="00893FD9"/>
    <w:rsid w:val="00895473"/>
    <w:rsid w:val="0089666C"/>
    <w:rsid w:val="008968A1"/>
    <w:rsid w:val="008969E0"/>
    <w:rsid w:val="0089714E"/>
    <w:rsid w:val="00897BEC"/>
    <w:rsid w:val="008A2B28"/>
    <w:rsid w:val="008A2EA6"/>
    <w:rsid w:val="008A33D1"/>
    <w:rsid w:val="008A3CC5"/>
    <w:rsid w:val="008A46FB"/>
    <w:rsid w:val="008A5B17"/>
    <w:rsid w:val="008A686E"/>
    <w:rsid w:val="008A6FB3"/>
    <w:rsid w:val="008B1EB1"/>
    <w:rsid w:val="008B2039"/>
    <w:rsid w:val="008B3E6D"/>
    <w:rsid w:val="008B453E"/>
    <w:rsid w:val="008B64B6"/>
    <w:rsid w:val="008B662B"/>
    <w:rsid w:val="008B6CCD"/>
    <w:rsid w:val="008C204F"/>
    <w:rsid w:val="008C50DF"/>
    <w:rsid w:val="008C69F8"/>
    <w:rsid w:val="008C7006"/>
    <w:rsid w:val="008C72AF"/>
    <w:rsid w:val="008D0AC4"/>
    <w:rsid w:val="008D1442"/>
    <w:rsid w:val="008D1EF2"/>
    <w:rsid w:val="008D27DB"/>
    <w:rsid w:val="008D3084"/>
    <w:rsid w:val="008D7C56"/>
    <w:rsid w:val="008E06E8"/>
    <w:rsid w:val="008E08E6"/>
    <w:rsid w:val="008E0B84"/>
    <w:rsid w:val="008E2C5C"/>
    <w:rsid w:val="008E3AE9"/>
    <w:rsid w:val="008E481E"/>
    <w:rsid w:val="008E4F6D"/>
    <w:rsid w:val="008E56BC"/>
    <w:rsid w:val="008E5D0C"/>
    <w:rsid w:val="008E6F54"/>
    <w:rsid w:val="008E7515"/>
    <w:rsid w:val="008E7D19"/>
    <w:rsid w:val="008F00C6"/>
    <w:rsid w:val="008F047E"/>
    <w:rsid w:val="008F17E4"/>
    <w:rsid w:val="008F1B42"/>
    <w:rsid w:val="008F1FDA"/>
    <w:rsid w:val="008F2C0B"/>
    <w:rsid w:val="008F3006"/>
    <w:rsid w:val="008F508C"/>
    <w:rsid w:val="008F5E1A"/>
    <w:rsid w:val="008F6CB2"/>
    <w:rsid w:val="008F6E31"/>
    <w:rsid w:val="008F7A4A"/>
    <w:rsid w:val="0090089E"/>
    <w:rsid w:val="00901364"/>
    <w:rsid w:val="009027CB"/>
    <w:rsid w:val="00903317"/>
    <w:rsid w:val="00903750"/>
    <w:rsid w:val="009049A9"/>
    <w:rsid w:val="009056B3"/>
    <w:rsid w:val="00905B0C"/>
    <w:rsid w:val="00906969"/>
    <w:rsid w:val="0091043A"/>
    <w:rsid w:val="009104F6"/>
    <w:rsid w:val="00910F98"/>
    <w:rsid w:val="009119C7"/>
    <w:rsid w:val="00915D74"/>
    <w:rsid w:val="0091745D"/>
    <w:rsid w:val="00920648"/>
    <w:rsid w:val="00920C46"/>
    <w:rsid w:val="00921425"/>
    <w:rsid w:val="009233D9"/>
    <w:rsid w:val="009239CD"/>
    <w:rsid w:val="009245CA"/>
    <w:rsid w:val="00924D44"/>
    <w:rsid w:val="0092553B"/>
    <w:rsid w:val="0092685D"/>
    <w:rsid w:val="00926BFF"/>
    <w:rsid w:val="00926D6F"/>
    <w:rsid w:val="00927CE8"/>
    <w:rsid w:val="009302A5"/>
    <w:rsid w:val="009302CE"/>
    <w:rsid w:val="00930D40"/>
    <w:rsid w:val="00931BBF"/>
    <w:rsid w:val="00931E6B"/>
    <w:rsid w:val="009325FF"/>
    <w:rsid w:val="00933EF0"/>
    <w:rsid w:val="00936C09"/>
    <w:rsid w:val="00940BCE"/>
    <w:rsid w:val="00941733"/>
    <w:rsid w:val="009427D1"/>
    <w:rsid w:val="00942E8D"/>
    <w:rsid w:val="00942F6A"/>
    <w:rsid w:val="00943144"/>
    <w:rsid w:val="0094382D"/>
    <w:rsid w:val="0094436C"/>
    <w:rsid w:val="009443B6"/>
    <w:rsid w:val="009444E1"/>
    <w:rsid w:val="009446B5"/>
    <w:rsid w:val="00944AF3"/>
    <w:rsid w:val="00944EC1"/>
    <w:rsid w:val="00945A5B"/>
    <w:rsid w:val="0094750C"/>
    <w:rsid w:val="00950127"/>
    <w:rsid w:val="0095483F"/>
    <w:rsid w:val="0095520F"/>
    <w:rsid w:val="009566A9"/>
    <w:rsid w:val="00956E64"/>
    <w:rsid w:val="0096012D"/>
    <w:rsid w:val="00961C99"/>
    <w:rsid w:val="009637A5"/>
    <w:rsid w:val="009637BC"/>
    <w:rsid w:val="00964A92"/>
    <w:rsid w:val="00964E68"/>
    <w:rsid w:val="0096713A"/>
    <w:rsid w:val="00971020"/>
    <w:rsid w:val="009714C2"/>
    <w:rsid w:val="009718AE"/>
    <w:rsid w:val="00971FA7"/>
    <w:rsid w:val="00973F7C"/>
    <w:rsid w:val="0097427F"/>
    <w:rsid w:val="00974431"/>
    <w:rsid w:val="00974D9C"/>
    <w:rsid w:val="00974E8B"/>
    <w:rsid w:val="00975EE3"/>
    <w:rsid w:val="00977C0A"/>
    <w:rsid w:val="00981787"/>
    <w:rsid w:val="00981BD6"/>
    <w:rsid w:val="0098474F"/>
    <w:rsid w:val="00984F31"/>
    <w:rsid w:val="00985DA2"/>
    <w:rsid w:val="00986FCC"/>
    <w:rsid w:val="009902FE"/>
    <w:rsid w:val="00990310"/>
    <w:rsid w:val="00990CCB"/>
    <w:rsid w:val="00990F27"/>
    <w:rsid w:val="00990F90"/>
    <w:rsid w:val="00993DFE"/>
    <w:rsid w:val="00994078"/>
    <w:rsid w:val="009943FB"/>
    <w:rsid w:val="0099440F"/>
    <w:rsid w:val="00996AFD"/>
    <w:rsid w:val="00997CAB"/>
    <w:rsid w:val="009A0715"/>
    <w:rsid w:val="009A1FDA"/>
    <w:rsid w:val="009A2107"/>
    <w:rsid w:val="009A33A8"/>
    <w:rsid w:val="009A36F8"/>
    <w:rsid w:val="009A3B3A"/>
    <w:rsid w:val="009A4E39"/>
    <w:rsid w:val="009A62EF"/>
    <w:rsid w:val="009A7A94"/>
    <w:rsid w:val="009B33E8"/>
    <w:rsid w:val="009B3581"/>
    <w:rsid w:val="009C1A75"/>
    <w:rsid w:val="009C2CA6"/>
    <w:rsid w:val="009C3177"/>
    <w:rsid w:val="009C3E46"/>
    <w:rsid w:val="009C4DBE"/>
    <w:rsid w:val="009C4E6C"/>
    <w:rsid w:val="009C5B52"/>
    <w:rsid w:val="009C6A9C"/>
    <w:rsid w:val="009C6CD9"/>
    <w:rsid w:val="009C6EE1"/>
    <w:rsid w:val="009D0770"/>
    <w:rsid w:val="009D0D35"/>
    <w:rsid w:val="009D0DDE"/>
    <w:rsid w:val="009D281B"/>
    <w:rsid w:val="009D2CD7"/>
    <w:rsid w:val="009D3A0F"/>
    <w:rsid w:val="009D5BE1"/>
    <w:rsid w:val="009D780B"/>
    <w:rsid w:val="009D7FA8"/>
    <w:rsid w:val="009E14FB"/>
    <w:rsid w:val="009E1A69"/>
    <w:rsid w:val="009E3A79"/>
    <w:rsid w:val="009E5B20"/>
    <w:rsid w:val="009E66FB"/>
    <w:rsid w:val="009E7DCF"/>
    <w:rsid w:val="009F00FD"/>
    <w:rsid w:val="009F18DF"/>
    <w:rsid w:val="009F2D05"/>
    <w:rsid w:val="009F31EE"/>
    <w:rsid w:val="009F5448"/>
    <w:rsid w:val="009F58AA"/>
    <w:rsid w:val="009F5F9D"/>
    <w:rsid w:val="009F6C79"/>
    <w:rsid w:val="00A0075D"/>
    <w:rsid w:val="00A00768"/>
    <w:rsid w:val="00A015B1"/>
    <w:rsid w:val="00A01D3D"/>
    <w:rsid w:val="00A01D43"/>
    <w:rsid w:val="00A026A2"/>
    <w:rsid w:val="00A06302"/>
    <w:rsid w:val="00A06544"/>
    <w:rsid w:val="00A06634"/>
    <w:rsid w:val="00A06E75"/>
    <w:rsid w:val="00A1074B"/>
    <w:rsid w:val="00A108DE"/>
    <w:rsid w:val="00A130D3"/>
    <w:rsid w:val="00A1348F"/>
    <w:rsid w:val="00A14663"/>
    <w:rsid w:val="00A14BE7"/>
    <w:rsid w:val="00A14D7D"/>
    <w:rsid w:val="00A14F6D"/>
    <w:rsid w:val="00A15161"/>
    <w:rsid w:val="00A16223"/>
    <w:rsid w:val="00A1684E"/>
    <w:rsid w:val="00A168C8"/>
    <w:rsid w:val="00A16B69"/>
    <w:rsid w:val="00A204C2"/>
    <w:rsid w:val="00A225FF"/>
    <w:rsid w:val="00A24FBE"/>
    <w:rsid w:val="00A25C98"/>
    <w:rsid w:val="00A268C3"/>
    <w:rsid w:val="00A27EBA"/>
    <w:rsid w:val="00A316D6"/>
    <w:rsid w:val="00A32682"/>
    <w:rsid w:val="00A345AD"/>
    <w:rsid w:val="00A35019"/>
    <w:rsid w:val="00A3533F"/>
    <w:rsid w:val="00A36314"/>
    <w:rsid w:val="00A375BB"/>
    <w:rsid w:val="00A37E04"/>
    <w:rsid w:val="00A40CE3"/>
    <w:rsid w:val="00A40DB0"/>
    <w:rsid w:val="00A4202B"/>
    <w:rsid w:val="00A424DF"/>
    <w:rsid w:val="00A42AF9"/>
    <w:rsid w:val="00A43020"/>
    <w:rsid w:val="00A43895"/>
    <w:rsid w:val="00A45A7F"/>
    <w:rsid w:val="00A45DA4"/>
    <w:rsid w:val="00A45DBD"/>
    <w:rsid w:val="00A46288"/>
    <w:rsid w:val="00A465E2"/>
    <w:rsid w:val="00A46E28"/>
    <w:rsid w:val="00A476B1"/>
    <w:rsid w:val="00A47FC2"/>
    <w:rsid w:val="00A50C3A"/>
    <w:rsid w:val="00A52795"/>
    <w:rsid w:val="00A53450"/>
    <w:rsid w:val="00A53FD6"/>
    <w:rsid w:val="00A54CA0"/>
    <w:rsid w:val="00A55864"/>
    <w:rsid w:val="00A6006D"/>
    <w:rsid w:val="00A60797"/>
    <w:rsid w:val="00A614FD"/>
    <w:rsid w:val="00A61864"/>
    <w:rsid w:val="00A61BFA"/>
    <w:rsid w:val="00A627A4"/>
    <w:rsid w:val="00A636B3"/>
    <w:rsid w:val="00A648B2"/>
    <w:rsid w:val="00A6639D"/>
    <w:rsid w:val="00A66AD4"/>
    <w:rsid w:val="00A67A0F"/>
    <w:rsid w:val="00A721D3"/>
    <w:rsid w:val="00A72A40"/>
    <w:rsid w:val="00A73088"/>
    <w:rsid w:val="00A74AE4"/>
    <w:rsid w:val="00A76791"/>
    <w:rsid w:val="00A80BF7"/>
    <w:rsid w:val="00A81810"/>
    <w:rsid w:val="00A81E74"/>
    <w:rsid w:val="00A8204D"/>
    <w:rsid w:val="00A839C2"/>
    <w:rsid w:val="00A84353"/>
    <w:rsid w:val="00A84437"/>
    <w:rsid w:val="00A850B5"/>
    <w:rsid w:val="00A85245"/>
    <w:rsid w:val="00A853C5"/>
    <w:rsid w:val="00A8731E"/>
    <w:rsid w:val="00A87BD0"/>
    <w:rsid w:val="00A916AD"/>
    <w:rsid w:val="00A93480"/>
    <w:rsid w:val="00A93711"/>
    <w:rsid w:val="00A93AE3"/>
    <w:rsid w:val="00A94C64"/>
    <w:rsid w:val="00A95100"/>
    <w:rsid w:val="00A9563C"/>
    <w:rsid w:val="00A97141"/>
    <w:rsid w:val="00A979D7"/>
    <w:rsid w:val="00AA12C5"/>
    <w:rsid w:val="00AA1A31"/>
    <w:rsid w:val="00AA289D"/>
    <w:rsid w:val="00AA421F"/>
    <w:rsid w:val="00AA43FA"/>
    <w:rsid w:val="00AA700A"/>
    <w:rsid w:val="00AB076E"/>
    <w:rsid w:val="00AB33A0"/>
    <w:rsid w:val="00AB3A83"/>
    <w:rsid w:val="00AB4B20"/>
    <w:rsid w:val="00AB4EE2"/>
    <w:rsid w:val="00AB5E77"/>
    <w:rsid w:val="00AB72D2"/>
    <w:rsid w:val="00AB7D7F"/>
    <w:rsid w:val="00AC2090"/>
    <w:rsid w:val="00AC21BA"/>
    <w:rsid w:val="00AC229C"/>
    <w:rsid w:val="00AC2473"/>
    <w:rsid w:val="00AC2DAE"/>
    <w:rsid w:val="00AC4816"/>
    <w:rsid w:val="00AC484B"/>
    <w:rsid w:val="00AC4B75"/>
    <w:rsid w:val="00AC67FC"/>
    <w:rsid w:val="00AD153D"/>
    <w:rsid w:val="00AD2725"/>
    <w:rsid w:val="00AD5271"/>
    <w:rsid w:val="00AD66E8"/>
    <w:rsid w:val="00AD6B6A"/>
    <w:rsid w:val="00AD721D"/>
    <w:rsid w:val="00AE01A0"/>
    <w:rsid w:val="00AE056E"/>
    <w:rsid w:val="00AE06BB"/>
    <w:rsid w:val="00AE1019"/>
    <w:rsid w:val="00AE162B"/>
    <w:rsid w:val="00AE3143"/>
    <w:rsid w:val="00AE3169"/>
    <w:rsid w:val="00AE35BF"/>
    <w:rsid w:val="00AE3E4D"/>
    <w:rsid w:val="00AE43FF"/>
    <w:rsid w:val="00AE5032"/>
    <w:rsid w:val="00AE589A"/>
    <w:rsid w:val="00AE61BA"/>
    <w:rsid w:val="00AE65B0"/>
    <w:rsid w:val="00AE7006"/>
    <w:rsid w:val="00AE7091"/>
    <w:rsid w:val="00AE75B4"/>
    <w:rsid w:val="00AF0C4B"/>
    <w:rsid w:val="00AF2141"/>
    <w:rsid w:val="00AF290C"/>
    <w:rsid w:val="00AF34BC"/>
    <w:rsid w:val="00AF4208"/>
    <w:rsid w:val="00AF45A6"/>
    <w:rsid w:val="00AF5DAC"/>
    <w:rsid w:val="00AF7603"/>
    <w:rsid w:val="00B00FC9"/>
    <w:rsid w:val="00B0175D"/>
    <w:rsid w:val="00B0355A"/>
    <w:rsid w:val="00B035F7"/>
    <w:rsid w:val="00B04BF0"/>
    <w:rsid w:val="00B054BF"/>
    <w:rsid w:val="00B06C06"/>
    <w:rsid w:val="00B07220"/>
    <w:rsid w:val="00B0776B"/>
    <w:rsid w:val="00B07A6B"/>
    <w:rsid w:val="00B11B96"/>
    <w:rsid w:val="00B13302"/>
    <w:rsid w:val="00B13683"/>
    <w:rsid w:val="00B139CA"/>
    <w:rsid w:val="00B13F03"/>
    <w:rsid w:val="00B15456"/>
    <w:rsid w:val="00B1545C"/>
    <w:rsid w:val="00B15985"/>
    <w:rsid w:val="00B17115"/>
    <w:rsid w:val="00B17968"/>
    <w:rsid w:val="00B17A4B"/>
    <w:rsid w:val="00B204B8"/>
    <w:rsid w:val="00B206B1"/>
    <w:rsid w:val="00B20718"/>
    <w:rsid w:val="00B2074F"/>
    <w:rsid w:val="00B211B4"/>
    <w:rsid w:val="00B21235"/>
    <w:rsid w:val="00B22967"/>
    <w:rsid w:val="00B2487A"/>
    <w:rsid w:val="00B24EA8"/>
    <w:rsid w:val="00B2637D"/>
    <w:rsid w:val="00B2681B"/>
    <w:rsid w:val="00B27CF0"/>
    <w:rsid w:val="00B308DB"/>
    <w:rsid w:val="00B31122"/>
    <w:rsid w:val="00B31359"/>
    <w:rsid w:val="00B31F5B"/>
    <w:rsid w:val="00B320A6"/>
    <w:rsid w:val="00B32594"/>
    <w:rsid w:val="00B332AC"/>
    <w:rsid w:val="00B33773"/>
    <w:rsid w:val="00B34799"/>
    <w:rsid w:val="00B34955"/>
    <w:rsid w:val="00B355AC"/>
    <w:rsid w:val="00B357AB"/>
    <w:rsid w:val="00B35AE8"/>
    <w:rsid w:val="00B3679D"/>
    <w:rsid w:val="00B36D65"/>
    <w:rsid w:val="00B410F1"/>
    <w:rsid w:val="00B41597"/>
    <w:rsid w:val="00B41740"/>
    <w:rsid w:val="00B42D98"/>
    <w:rsid w:val="00B4347F"/>
    <w:rsid w:val="00B46CF3"/>
    <w:rsid w:val="00B47560"/>
    <w:rsid w:val="00B47B10"/>
    <w:rsid w:val="00B47D52"/>
    <w:rsid w:val="00B516F1"/>
    <w:rsid w:val="00B517AC"/>
    <w:rsid w:val="00B5280D"/>
    <w:rsid w:val="00B52B75"/>
    <w:rsid w:val="00B536C9"/>
    <w:rsid w:val="00B54552"/>
    <w:rsid w:val="00B619D6"/>
    <w:rsid w:val="00B62C43"/>
    <w:rsid w:val="00B62E4E"/>
    <w:rsid w:val="00B63584"/>
    <w:rsid w:val="00B6457E"/>
    <w:rsid w:val="00B64D76"/>
    <w:rsid w:val="00B66023"/>
    <w:rsid w:val="00B667B3"/>
    <w:rsid w:val="00B66BC6"/>
    <w:rsid w:val="00B670BA"/>
    <w:rsid w:val="00B67C80"/>
    <w:rsid w:val="00B67E80"/>
    <w:rsid w:val="00B701FD"/>
    <w:rsid w:val="00B70473"/>
    <w:rsid w:val="00B710A1"/>
    <w:rsid w:val="00B711B1"/>
    <w:rsid w:val="00B717A9"/>
    <w:rsid w:val="00B71820"/>
    <w:rsid w:val="00B71DD2"/>
    <w:rsid w:val="00B732F3"/>
    <w:rsid w:val="00B7393F"/>
    <w:rsid w:val="00B73D43"/>
    <w:rsid w:val="00B7425F"/>
    <w:rsid w:val="00B7643E"/>
    <w:rsid w:val="00B80647"/>
    <w:rsid w:val="00B80ACA"/>
    <w:rsid w:val="00B80FD0"/>
    <w:rsid w:val="00B82506"/>
    <w:rsid w:val="00B83954"/>
    <w:rsid w:val="00B844EB"/>
    <w:rsid w:val="00B859ED"/>
    <w:rsid w:val="00B862E8"/>
    <w:rsid w:val="00B86AD5"/>
    <w:rsid w:val="00B8788D"/>
    <w:rsid w:val="00B90F92"/>
    <w:rsid w:val="00B9122D"/>
    <w:rsid w:val="00B91247"/>
    <w:rsid w:val="00B93931"/>
    <w:rsid w:val="00B94521"/>
    <w:rsid w:val="00B945A8"/>
    <w:rsid w:val="00B9586A"/>
    <w:rsid w:val="00B972C4"/>
    <w:rsid w:val="00B97754"/>
    <w:rsid w:val="00BA0C1C"/>
    <w:rsid w:val="00BA17B8"/>
    <w:rsid w:val="00BA1EFD"/>
    <w:rsid w:val="00BA214B"/>
    <w:rsid w:val="00BA3A98"/>
    <w:rsid w:val="00BA43CF"/>
    <w:rsid w:val="00BA4472"/>
    <w:rsid w:val="00BA53F8"/>
    <w:rsid w:val="00BA6BC0"/>
    <w:rsid w:val="00BA6E8D"/>
    <w:rsid w:val="00BA6FFC"/>
    <w:rsid w:val="00BA7177"/>
    <w:rsid w:val="00BA7364"/>
    <w:rsid w:val="00BA782E"/>
    <w:rsid w:val="00BA7D8D"/>
    <w:rsid w:val="00BB1691"/>
    <w:rsid w:val="00BB1875"/>
    <w:rsid w:val="00BB2190"/>
    <w:rsid w:val="00BB21E4"/>
    <w:rsid w:val="00BB33A8"/>
    <w:rsid w:val="00BB3485"/>
    <w:rsid w:val="00BB417E"/>
    <w:rsid w:val="00BB43EB"/>
    <w:rsid w:val="00BB4CD5"/>
    <w:rsid w:val="00BB4D4A"/>
    <w:rsid w:val="00BB50F3"/>
    <w:rsid w:val="00BB75FA"/>
    <w:rsid w:val="00BC06A3"/>
    <w:rsid w:val="00BC19D9"/>
    <w:rsid w:val="00BC3C6E"/>
    <w:rsid w:val="00BC514F"/>
    <w:rsid w:val="00BC5A60"/>
    <w:rsid w:val="00BC5E92"/>
    <w:rsid w:val="00BC613E"/>
    <w:rsid w:val="00BC66F7"/>
    <w:rsid w:val="00BC67E1"/>
    <w:rsid w:val="00BC6C11"/>
    <w:rsid w:val="00BD0028"/>
    <w:rsid w:val="00BD28A8"/>
    <w:rsid w:val="00BD669C"/>
    <w:rsid w:val="00BD6941"/>
    <w:rsid w:val="00BD7826"/>
    <w:rsid w:val="00BD7ABB"/>
    <w:rsid w:val="00BD7C3B"/>
    <w:rsid w:val="00BE205C"/>
    <w:rsid w:val="00BE2A46"/>
    <w:rsid w:val="00BE36E0"/>
    <w:rsid w:val="00BE3A6F"/>
    <w:rsid w:val="00BE6133"/>
    <w:rsid w:val="00BF011A"/>
    <w:rsid w:val="00BF1D36"/>
    <w:rsid w:val="00BF2848"/>
    <w:rsid w:val="00BF3EF2"/>
    <w:rsid w:val="00BF57D4"/>
    <w:rsid w:val="00BF661A"/>
    <w:rsid w:val="00BF6CCD"/>
    <w:rsid w:val="00BF7313"/>
    <w:rsid w:val="00C00B9A"/>
    <w:rsid w:val="00C00EBB"/>
    <w:rsid w:val="00C01F2B"/>
    <w:rsid w:val="00C038E8"/>
    <w:rsid w:val="00C07AC0"/>
    <w:rsid w:val="00C07E66"/>
    <w:rsid w:val="00C07F42"/>
    <w:rsid w:val="00C10F89"/>
    <w:rsid w:val="00C11996"/>
    <w:rsid w:val="00C11C26"/>
    <w:rsid w:val="00C12C30"/>
    <w:rsid w:val="00C12FA3"/>
    <w:rsid w:val="00C131AC"/>
    <w:rsid w:val="00C142A1"/>
    <w:rsid w:val="00C1646C"/>
    <w:rsid w:val="00C16529"/>
    <w:rsid w:val="00C17273"/>
    <w:rsid w:val="00C20E2A"/>
    <w:rsid w:val="00C21889"/>
    <w:rsid w:val="00C22143"/>
    <w:rsid w:val="00C2371D"/>
    <w:rsid w:val="00C24692"/>
    <w:rsid w:val="00C24888"/>
    <w:rsid w:val="00C25B23"/>
    <w:rsid w:val="00C27435"/>
    <w:rsid w:val="00C31378"/>
    <w:rsid w:val="00C32B95"/>
    <w:rsid w:val="00C339D0"/>
    <w:rsid w:val="00C3547B"/>
    <w:rsid w:val="00C36B92"/>
    <w:rsid w:val="00C407F7"/>
    <w:rsid w:val="00C4176A"/>
    <w:rsid w:val="00C42D5B"/>
    <w:rsid w:val="00C434C2"/>
    <w:rsid w:val="00C44185"/>
    <w:rsid w:val="00C44FCD"/>
    <w:rsid w:val="00C4719F"/>
    <w:rsid w:val="00C472B5"/>
    <w:rsid w:val="00C5073B"/>
    <w:rsid w:val="00C518B5"/>
    <w:rsid w:val="00C52BDF"/>
    <w:rsid w:val="00C52D9A"/>
    <w:rsid w:val="00C53470"/>
    <w:rsid w:val="00C535E4"/>
    <w:rsid w:val="00C56C81"/>
    <w:rsid w:val="00C62014"/>
    <w:rsid w:val="00C62D4C"/>
    <w:rsid w:val="00C646B4"/>
    <w:rsid w:val="00C664F7"/>
    <w:rsid w:val="00C66881"/>
    <w:rsid w:val="00C66A2F"/>
    <w:rsid w:val="00C711F5"/>
    <w:rsid w:val="00C73423"/>
    <w:rsid w:val="00C7739D"/>
    <w:rsid w:val="00C77C18"/>
    <w:rsid w:val="00C80E66"/>
    <w:rsid w:val="00C83E0A"/>
    <w:rsid w:val="00C84EE5"/>
    <w:rsid w:val="00C8584A"/>
    <w:rsid w:val="00C87950"/>
    <w:rsid w:val="00C87A07"/>
    <w:rsid w:val="00C90368"/>
    <w:rsid w:val="00C91808"/>
    <w:rsid w:val="00C92609"/>
    <w:rsid w:val="00C94773"/>
    <w:rsid w:val="00C95BB2"/>
    <w:rsid w:val="00C97B65"/>
    <w:rsid w:val="00C97CDF"/>
    <w:rsid w:val="00CA0450"/>
    <w:rsid w:val="00CB04EB"/>
    <w:rsid w:val="00CB0BC0"/>
    <w:rsid w:val="00CB0C50"/>
    <w:rsid w:val="00CB0D43"/>
    <w:rsid w:val="00CB0D5F"/>
    <w:rsid w:val="00CB1458"/>
    <w:rsid w:val="00CB2CB1"/>
    <w:rsid w:val="00CB364A"/>
    <w:rsid w:val="00CB3E08"/>
    <w:rsid w:val="00CB5351"/>
    <w:rsid w:val="00CB7443"/>
    <w:rsid w:val="00CC05A6"/>
    <w:rsid w:val="00CC0791"/>
    <w:rsid w:val="00CC1ECC"/>
    <w:rsid w:val="00CC5142"/>
    <w:rsid w:val="00CC6002"/>
    <w:rsid w:val="00CC66E0"/>
    <w:rsid w:val="00CC6853"/>
    <w:rsid w:val="00CC7003"/>
    <w:rsid w:val="00CC77D5"/>
    <w:rsid w:val="00CC7BB3"/>
    <w:rsid w:val="00CD10AC"/>
    <w:rsid w:val="00CD22C0"/>
    <w:rsid w:val="00CD34DE"/>
    <w:rsid w:val="00CD3600"/>
    <w:rsid w:val="00CD4287"/>
    <w:rsid w:val="00CD45F1"/>
    <w:rsid w:val="00CD4F21"/>
    <w:rsid w:val="00CD7A44"/>
    <w:rsid w:val="00CE144F"/>
    <w:rsid w:val="00CE1887"/>
    <w:rsid w:val="00CE282A"/>
    <w:rsid w:val="00CE4AC6"/>
    <w:rsid w:val="00CE55D2"/>
    <w:rsid w:val="00CE56D1"/>
    <w:rsid w:val="00CE6B1D"/>
    <w:rsid w:val="00CF1B92"/>
    <w:rsid w:val="00CF1FD6"/>
    <w:rsid w:val="00CF2D04"/>
    <w:rsid w:val="00CF33BA"/>
    <w:rsid w:val="00CF6B93"/>
    <w:rsid w:val="00D006EE"/>
    <w:rsid w:val="00D00736"/>
    <w:rsid w:val="00D0096F"/>
    <w:rsid w:val="00D00AB7"/>
    <w:rsid w:val="00D01DBA"/>
    <w:rsid w:val="00D0327C"/>
    <w:rsid w:val="00D04CA5"/>
    <w:rsid w:val="00D05121"/>
    <w:rsid w:val="00D0523C"/>
    <w:rsid w:val="00D120FE"/>
    <w:rsid w:val="00D123C4"/>
    <w:rsid w:val="00D1334A"/>
    <w:rsid w:val="00D134EB"/>
    <w:rsid w:val="00D15A85"/>
    <w:rsid w:val="00D17151"/>
    <w:rsid w:val="00D178F6"/>
    <w:rsid w:val="00D17B46"/>
    <w:rsid w:val="00D17B84"/>
    <w:rsid w:val="00D204EA"/>
    <w:rsid w:val="00D20B25"/>
    <w:rsid w:val="00D214FC"/>
    <w:rsid w:val="00D222B8"/>
    <w:rsid w:val="00D23035"/>
    <w:rsid w:val="00D233C5"/>
    <w:rsid w:val="00D23403"/>
    <w:rsid w:val="00D23970"/>
    <w:rsid w:val="00D24B82"/>
    <w:rsid w:val="00D25FC2"/>
    <w:rsid w:val="00D264E8"/>
    <w:rsid w:val="00D31991"/>
    <w:rsid w:val="00D32186"/>
    <w:rsid w:val="00D32DF9"/>
    <w:rsid w:val="00D33212"/>
    <w:rsid w:val="00D33448"/>
    <w:rsid w:val="00D3351E"/>
    <w:rsid w:val="00D348BE"/>
    <w:rsid w:val="00D351D4"/>
    <w:rsid w:val="00D35D57"/>
    <w:rsid w:val="00D36E0B"/>
    <w:rsid w:val="00D37FAD"/>
    <w:rsid w:val="00D4098B"/>
    <w:rsid w:val="00D4247B"/>
    <w:rsid w:val="00D4331F"/>
    <w:rsid w:val="00D43C93"/>
    <w:rsid w:val="00D444CB"/>
    <w:rsid w:val="00D4475B"/>
    <w:rsid w:val="00D47675"/>
    <w:rsid w:val="00D47A3B"/>
    <w:rsid w:val="00D50FF4"/>
    <w:rsid w:val="00D51F0F"/>
    <w:rsid w:val="00D54066"/>
    <w:rsid w:val="00D56084"/>
    <w:rsid w:val="00D5728F"/>
    <w:rsid w:val="00D620F9"/>
    <w:rsid w:val="00D632D6"/>
    <w:rsid w:val="00D6342E"/>
    <w:rsid w:val="00D63869"/>
    <w:rsid w:val="00D638F2"/>
    <w:rsid w:val="00D64A1D"/>
    <w:rsid w:val="00D65B10"/>
    <w:rsid w:val="00D6607D"/>
    <w:rsid w:val="00D665C4"/>
    <w:rsid w:val="00D67508"/>
    <w:rsid w:val="00D7000E"/>
    <w:rsid w:val="00D70A78"/>
    <w:rsid w:val="00D71107"/>
    <w:rsid w:val="00D7181C"/>
    <w:rsid w:val="00D71F49"/>
    <w:rsid w:val="00D71F82"/>
    <w:rsid w:val="00D72047"/>
    <w:rsid w:val="00D760BC"/>
    <w:rsid w:val="00D7789B"/>
    <w:rsid w:val="00D810A2"/>
    <w:rsid w:val="00D82DF5"/>
    <w:rsid w:val="00D85009"/>
    <w:rsid w:val="00D86768"/>
    <w:rsid w:val="00D870D8"/>
    <w:rsid w:val="00D87565"/>
    <w:rsid w:val="00D87CA0"/>
    <w:rsid w:val="00D9048F"/>
    <w:rsid w:val="00D90B6D"/>
    <w:rsid w:val="00D91542"/>
    <w:rsid w:val="00D91B9E"/>
    <w:rsid w:val="00D9231B"/>
    <w:rsid w:val="00D9305A"/>
    <w:rsid w:val="00D937C7"/>
    <w:rsid w:val="00D946EF"/>
    <w:rsid w:val="00D95F53"/>
    <w:rsid w:val="00DA147D"/>
    <w:rsid w:val="00DA1C98"/>
    <w:rsid w:val="00DA2E30"/>
    <w:rsid w:val="00DA3F8A"/>
    <w:rsid w:val="00DA57DA"/>
    <w:rsid w:val="00DA598D"/>
    <w:rsid w:val="00DA6880"/>
    <w:rsid w:val="00DA74AD"/>
    <w:rsid w:val="00DB136A"/>
    <w:rsid w:val="00DB3C39"/>
    <w:rsid w:val="00DB657B"/>
    <w:rsid w:val="00DC014C"/>
    <w:rsid w:val="00DC0EA9"/>
    <w:rsid w:val="00DC0F05"/>
    <w:rsid w:val="00DC125C"/>
    <w:rsid w:val="00DC13C4"/>
    <w:rsid w:val="00DC1F36"/>
    <w:rsid w:val="00DC3E63"/>
    <w:rsid w:val="00DC3FF5"/>
    <w:rsid w:val="00DC7574"/>
    <w:rsid w:val="00DC75C1"/>
    <w:rsid w:val="00DD2E5D"/>
    <w:rsid w:val="00DD30A7"/>
    <w:rsid w:val="00DD6252"/>
    <w:rsid w:val="00DD79E9"/>
    <w:rsid w:val="00DD7A38"/>
    <w:rsid w:val="00DE2260"/>
    <w:rsid w:val="00DE23DA"/>
    <w:rsid w:val="00DE2504"/>
    <w:rsid w:val="00DE3663"/>
    <w:rsid w:val="00DE5079"/>
    <w:rsid w:val="00DE52D8"/>
    <w:rsid w:val="00DE53DC"/>
    <w:rsid w:val="00DE773E"/>
    <w:rsid w:val="00DE7761"/>
    <w:rsid w:val="00DF1607"/>
    <w:rsid w:val="00DF2904"/>
    <w:rsid w:val="00DF3540"/>
    <w:rsid w:val="00DF4C3D"/>
    <w:rsid w:val="00DF4CBC"/>
    <w:rsid w:val="00DF4F25"/>
    <w:rsid w:val="00DF51EE"/>
    <w:rsid w:val="00DF611E"/>
    <w:rsid w:val="00DF6922"/>
    <w:rsid w:val="00DF6928"/>
    <w:rsid w:val="00E020E3"/>
    <w:rsid w:val="00E033B0"/>
    <w:rsid w:val="00E03ECF"/>
    <w:rsid w:val="00E043A5"/>
    <w:rsid w:val="00E050C8"/>
    <w:rsid w:val="00E055DB"/>
    <w:rsid w:val="00E05D4D"/>
    <w:rsid w:val="00E05EBC"/>
    <w:rsid w:val="00E074F0"/>
    <w:rsid w:val="00E107E1"/>
    <w:rsid w:val="00E12D1D"/>
    <w:rsid w:val="00E1314E"/>
    <w:rsid w:val="00E13EA9"/>
    <w:rsid w:val="00E16D89"/>
    <w:rsid w:val="00E17861"/>
    <w:rsid w:val="00E17E53"/>
    <w:rsid w:val="00E20F72"/>
    <w:rsid w:val="00E210DE"/>
    <w:rsid w:val="00E22074"/>
    <w:rsid w:val="00E2367C"/>
    <w:rsid w:val="00E25A94"/>
    <w:rsid w:val="00E3036D"/>
    <w:rsid w:val="00E3064A"/>
    <w:rsid w:val="00E30D42"/>
    <w:rsid w:val="00E32E5B"/>
    <w:rsid w:val="00E33755"/>
    <w:rsid w:val="00E342E0"/>
    <w:rsid w:val="00E360DB"/>
    <w:rsid w:val="00E40DD9"/>
    <w:rsid w:val="00E4169F"/>
    <w:rsid w:val="00E443AC"/>
    <w:rsid w:val="00E44507"/>
    <w:rsid w:val="00E4493A"/>
    <w:rsid w:val="00E45BBD"/>
    <w:rsid w:val="00E47117"/>
    <w:rsid w:val="00E500EC"/>
    <w:rsid w:val="00E50572"/>
    <w:rsid w:val="00E5065B"/>
    <w:rsid w:val="00E5534B"/>
    <w:rsid w:val="00E602BB"/>
    <w:rsid w:val="00E60A26"/>
    <w:rsid w:val="00E612F0"/>
    <w:rsid w:val="00E62E53"/>
    <w:rsid w:val="00E63734"/>
    <w:rsid w:val="00E643B8"/>
    <w:rsid w:val="00E64460"/>
    <w:rsid w:val="00E644FD"/>
    <w:rsid w:val="00E6613E"/>
    <w:rsid w:val="00E667A6"/>
    <w:rsid w:val="00E67740"/>
    <w:rsid w:val="00E7162C"/>
    <w:rsid w:val="00E735B0"/>
    <w:rsid w:val="00E74BC7"/>
    <w:rsid w:val="00E7635B"/>
    <w:rsid w:val="00E76964"/>
    <w:rsid w:val="00E76FA1"/>
    <w:rsid w:val="00E80643"/>
    <w:rsid w:val="00E80708"/>
    <w:rsid w:val="00E81121"/>
    <w:rsid w:val="00E8374B"/>
    <w:rsid w:val="00E844CC"/>
    <w:rsid w:val="00E84FEB"/>
    <w:rsid w:val="00E87BE0"/>
    <w:rsid w:val="00E87F2D"/>
    <w:rsid w:val="00E91583"/>
    <w:rsid w:val="00E923CC"/>
    <w:rsid w:val="00E93AA2"/>
    <w:rsid w:val="00E95138"/>
    <w:rsid w:val="00E953F6"/>
    <w:rsid w:val="00EA1985"/>
    <w:rsid w:val="00EA3D19"/>
    <w:rsid w:val="00EA475A"/>
    <w:rsid w:val="00EA5869"/>
    <w:rsid w:val="00EA602A"/>
    <w:rsid w:val="00EA69A6"/>
    <w:rsid w:val="00EB1839"/>
    <w:rsid w:val="00EB1A47"/>
    <w:rsid w:val="00EB2297"/>
    <w:rsid w:val="00EB2642"/>
    <w:rsid w:val="00EB4F22"/>
    <w:rsid w:val="00EB5541"/>
    <w:rsid w:val="00EB63C5"/>
    <w:rsid w:val="00EC0CF0"/>
    <w:rsid w:val="00EC4E57"/>
    <w:rsid w:val="00EC533F"/>
    <w:rsid w:val="00EC5E96"/>
    <w:rsid w:val="00ED0CA2"/>
    <w:rsid w:val="00ED2760"/>
    <w:rsid w:val="00ED31C8"/>
    <w:rsid w:val="00ED3907"/>
    <w:rsid w:val="00ED412B"/>
    <w:rsid w:val="00ED55C2"/>
    <w:rsid w:val="00ED75EB"/>
    <w:rsid w:val="00EE03CA"/>
    <w:rsid w:val="00EE04E6"/>
    <w:rsid w:val="00EE07ED"/>
    <w:rsid w:val="00EE09A0"/>
    <w:rsid w:val="00EE114D"/>
    <w:rsid w:val="00EE268F"/>
    <w:rsid w:val="00EE26F9"/>
    <w:rsid w:val="00EE2DCE"/>
    <w:rsid w:val="00EE3230"/>
    <w:rsid w:val="00EE42BD"/>
    <w:rsid w:val="00EE55A4"/>
    <w:rsid w:val="00EF1BD3"/>
    <w:rsid w:val="00EF2041"/>
    <w:rsid w:val="00EF256B"/>
    <w:rsid w:val="00EF2BD3"/>
    <w:rsid w:val="00EF2DA2"/>
    <w:rsid w:val="00EF32B5"/>
    <w:rsid w:val="00EF3434"/>
    <w:rsid w:val="00EF4887"/>
    <w:rsid w:val="00EF4CC9"/>
    <w:rsid w:val="00EF6021"/>
    <w:rsid w:val="00EF7C8A"/>
    <w:rsid w:val="00F001D2"/>
    <w:rsid w:val="00F00654"/>
    <w:rsid w:val="00F00DF9"/>
    <w:rsid w:val="00F025CA"/>
    <w:rsid w:val="00F029D4"/>
    <w:rsid w:val="00F05A38"/>
    <w:rsid w:val="00F05D2A"/>
    <w:rsid w:val="00F06321"/>
    <w:rsid w:val="00F10EA5"/>
    <w:rsid w:val="00F11C18"/>
    <w:rsid w:val="00F121D7"/>
    <w:rsid w:val="00F12CC7"/>
    <w:rsid w:val="00F12CD1"/>
    <w:rsid w:val="00F160D2"/>
    <w:rsid w:val="00F170BF"/>
    <w:rsid w:val="00F21B63"/>
    <w:rsid w:val="00F221E5"/>
    <w:rsid w:val="00F234B2"/>
    <w:rsid w:val="00F24451"/>
    <w:rsid w:val="00F25344"/>
    <w:rsid w:val="00F25DF6"/>
    <w:rsid w:val="00F26ADA"/>
    <w:rsid w:val="00F27303"/>
    <w:rsid w:val="00F2761F"/>
    <w:rsid w:val="00F30088"/>
    <w:rsid w:val="00F32096"/>
    <w:rsid w:val="00F327C4"/>
    <w:rsid w:val="00F3355D"/>
    <w:rsid w:val="00F34D84"/>
    <w:rsid w:val="00F35CCC"/>
    <w:rsid w:val="00F4026E"/>
    <w:rsid w:val="00F41761"/>
    <w:rsid w:val="00F41802"/>
    <w:rsid w:val="00F41D89"/>
    <w:rsid w:val="00F422FC"/>
    <w:rsid w:val="00F4292F"/>
    <w:rsid w:val="00F43C60"/>
    <w:rsid w:val="00F43E73"/>
    <w:rsid w:val="00F44047"/>
    <w:rsid w:val="00F446E0"/>
    <w:rsid w:val="00F449F6"/>
    <w:rsid w:val="00F46592"/>
    <w:rsid w:val="00F47A74"/>
    <w:rsid w:val="00F50493"/>
    <w:rsid w:val="00F51623"/>
    <w:rsid w:val="00F5384C"/>
    <w:rsid w:val="00F5453D"/>
    <w:rsid w:val="00F549D3"/>
    <w:rsid w:val="00F55585"/>
    <w:rsid w:val="00F56C8D"/>
    <w:rsid w:val="00F60372"/>
    <w:rsid w:val="00F6063A"/>
    <w:rsid w:val="00F61F74"/>
    <w:rsid w:val="00F62293"/>
    <w:rsid w:val="00F63EE2"/>
    <w:rsid w:val="00F64ABC"/>
    <w:rsid w:val="00F64E08"/>
    <w:rsid w:val="00F650C6"/>
    <w:rsid w:val="00F65581"/>
    <w:rsid w:val="00F65BBB"/>
    <w:rsid w:val="00F6602F"/>
    <w:rsid w:val="00F66BA8"/>
    <w:rsid w:val="00F66E90"/>
    <w:rsid w:val="00F705A5"/>
    <w:rsid w:val="00F70A4F"/>
    <w:rsid w:val="00F71B4F"/>
    <w:rsid w:val="00F72C4A"/>
    <w:rsid w:val="00F800FD"/>
    <w:rsid w:val="00F8526E"/>
    <w:rsid w:val="00F85772"/>
    <w:rsid w:val="00F85782"/>
    <w:rsid w:val="00F90313"/>
    <w:rsid w:val="00F908DC"/>
    <w:rsid w:val="00F915D0"/>
    <w:rsid w:val="00F91E59"/>
    <w:rsid w:val="00F9232D"/>
    <w:rsid w:val="00F92342"/>
    <w:rsid w:val="00F92E3E"/>
    <w:rsid w:val="00F92EFF"/>
    <w:rsid w:val="00F93B92"/>
    <w:rsid w:val="00F95EA7"/>
    <w:rsid w:val="00F96B69"/>
    <w:rsid w:val="00F976D3"/>
    <w:rsid w:val="00F979E7"/>
    <w:rsid w:val="00FA22CC"/>
    <w:rsid w:val="00FA25D7"/>
    <w:rsid w:val="00FA2892"/>
    <w:rsid w:val="00FA3CE6"/>
    <w:rsid w:val="00FA59EE"/>
    <w:rsid w:val="00FA5D64"/>
    <w:rsid w:val="00FA7696"/>
    <w:rsid w:val="00FA7C66"/>
    <w:rsid w:val="00FA7D80"/>
    <w:rsid w:val="00FB047B"/>
    <w:rsid w:val="00FB3BEF"/>
    <w:rsid w:val="00FB46E8"/>
    <w:rsid w:val="00FB6E36"/>
    <w:rsid w:val="00FC096B"/>
    <w:rsid w:val="00FC1413"/>
    <w:rsid w:val="00FC1DD7"/>
    <w:rsid w:val="00FC1DF6"/>
    <w:rsid w:val="00FC5233"/>
    <w:rsid w:val="00FC549A"/>
    <w:rsid w:val="00FC57F9"/>
    <w:rsid w:val="00FC5850"/>
    <w:rsid w:val="00FC5A73"/>
    <w:rsid w:val="00FC6B08"/>
    <w:rsid w:val="00FC7187"/>
    <w:rsid w:val="00FC7C29"/>
    <w:rsid w:val="00FD0279"/>
    <w:rsid w:val="00FD1310"/>
    <w:rsid w:val="00FD214F"/>
    <w:rsid w:val="00FD319D"/>
    <w:rsid w:val="00FD373E"/>
    <w:rsid w:val="00FD4904"/>
    <w:rsid w:val="00FD5680"/>
    <w:rsid w:val="00FD5781"/>
    <w:rsid w:val="00FD674C"/>
    <w:rsid w:val="00FD6860"/>
    <w:rsid w:val="00FD7BAA"/>
    <w:rsid w:val="00FE2D4F"/>
    <w:rsid w:val="00FE3776"/>
    <w:rsid w:val="00FE3F1D"/>
    <w:rsid w:val="00FE637D"/>
    <w:rsid w:val="00FE73D8"/>
    <w:rsid w:val="00FF12EC"/>
    <w:rsid w:val="00FF18B6"/>
    <w:rsid w:val="00FF2979"/>
    <w:rsid w:val="00FF2B9B"/>
    <w:rsid w:val="00FF34C9"/>
    <w:rsid w:val="00FF3893"/>
    <w:rsid w:val="00FF470E"/>
    <w:rsid w:val="00FF5C0F"/>
    <w:rsid w:val="00FF6705"/>
    <w:rsid w:val="00FF6E06"/>
    <w:rsid w:val="00FF6E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iPriority="0" w:unhideWhenUsed="1"/>
    <w:lsdException w:name="Table Grid"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B23"/>
    <w:rPr>
      <w:sz w:val="24"/>
      <w:szCs w:val="24"/>
    </w:rPr>
  </w:style>
  <w:style w:type="paragraph" w:styleId="Ttulo1">
    <w:name w:val="heading 1"/>
    <w:basedOn w:val="Normal"/>
    <w:next w:val="Normal"/>
    <w:link w:val="Ttulo1Char"/>
    <w:uiPriority w:val="99"/>
    <w:qFormat/>
    <w:rsid w:val="00D32DF9"/>
    <w:pPr>
      <w:keepNext/>
      <w:jc w:val="center"/>
      <w:outlineLvl w:val="0"/>
    </w:pPr>
    <w:rPr>
      <w:rFonts w:ascii="Cambria" w:hAnsi="Cambria"/>
      <w:b/>
      <w:bCs/>
      <w:kern w:val="32"/>
      <w:sz w:val="32"/>
      <w:szCs w:val="32"/>
    </w:rPr>
  </w:style>
  <w:style w:type="paragraph" w:styleId="Ttulo2">
    <w:name w:val="heading 2"/>
    <w:basedOn w:val="Normal"/>
    <w:next w:val="Normal"/>
    <w:link w:val="Ttulo2Char"/>
    <w:uiPriority w:val="99"/>
    <w:qFormat/>
    <w:rsid w:val="00D32DF9"/>
    <w:pPr>
      <w:keepNext/>
      <w:jc w:val="center"/>
      <w:outlineLvl w:val="1"/>
    </w:pPr>
    <w:rPr>
      <w:rFonts w:ascii="Cambria" w:hAnsi="Cambria"/>
      <w:b/>
      <w:bCs/>
      <w:i/>
      <w:iCs/>
      <w:sz w:val="28"/>
      <w:szCs w:val="28"/>
    </w:rPr>
  </w:style>
  <w:style w:type="paragraph" w:styleId="Ttulo3">
    <w:name w:val="heading 3"/>
    <w:basedOn w:val="Normal"/>
    <w:next w:val="Normal"/>
    <w:link w:val="Ttulo3Char"/>
    <w:uiPriority w:val="9"/>
    <w:qFormat/>
    <w:rsid w:val="00D32DF9"/>
    <w:pPr>
      <w:keepNext/>
      <w:jc w:val="center"/>
      <w:outlineLvl w:val="2"/>
    </w:pPr>
    <w:rPr>
      <w:b/>
      <w:sz w:val="26"/>
      <w:szCs w:val="20"/>
    </w:rPr>
  </w:style>
  <w:style w:type="paragraph" w:styleId="Ttulo4">
    <w:name w:val="heading 4"/>
    <w:basedOn w:val="Normal"/>
    <w:next w:val="Normal"/>
    <w:link w:val="Ttulo4Char"/>
    <w:uiPriority w:val="9"/>
    <w:qFormat/>
    <w:rsid w:val="00D32DF9"/>
    <w:pPr>
      <w:keepNext/>
      <w:numPr>
        <w:ilvl w:val="3"/>
        <w:numId w:val="1"/>
      </w:numPr>
      <w:spacing w:before="240" w:after="60"/>
      <w:outlineLvl w:val="3"/>
    </w:pPr>
    <w:rPr>
      <w:b/>
      <w:bCs/>
      <w:sz w:val="28"/>
      <w:szCs w:val="28"/>
    </w:rPr>
  </w:style>
  <w:style w:type="paragraph" w:styleId="Ttulo5">
    <w:name w:val="heading 5"/>
    <w:basedOn w:val="Normal"/>
    <w:next w:val="Normal"/>
    <w:link w:val="Ttulo5Char"/>
    <w:uiPriority w:val="9"/>
    <w:qFormat/>
    <w:rsid w:val="00D32DF9"/>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
    <w:qFormat/>
    <w:rsid w:val="00D32DF9"/>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qFormat/>
    <w:rsid w:val="00D32DF9"/>
    <w:pPr>
      <w:numPr>
        <w:ilvl w:val="6"/>
        <w:numId w:val="1"/>
      </w:numPr>
      <w:spacing w:before="240" w:after="60"/>
      <w:outlineLvl w:val="6"/>
    </w:pPr>
  </w:style>
  <w:style w:type="paragraph" w:styleId="Ttulo8">
    <w:name w:val="heading 8"/>
    <w:basedOn w:val="Normal"/>
    <w:next w:val="Normal"/>
    <w:link w:val="Ttulo8Char"/>
    <w:uiPriority w:val="9"/>
    <w:qFormat/>
    <w:rsid w:val="00D32DF9"/>
    <w:pPr>
      <w:numPr>
        <w:ilvl w:val="7"/>
        <w:numId w:val="1"/>
      </w:numPr>
      <w:spacing w:before="240" w:after="60"/>
      <w:outlineLvl w:val="7"/>
    </w:pPr>
    <w:rPr>
      <w:i/>
      <w:iCs/>
    </w:rPr>
  </w:style>
  <w:style w:type="paragraph" w:styleId="Ttulo9">
    <w:name w:val="heading 9"/>
    <w:basedOn w:val="Normal"/>
    <w:next w:val="Normal"/>
    <w:link w:val="Ttulo9Char"/>
    <w:uiPriority w:val="9"/>
    <w:qFormat/>
    <w:rsid w:val="00D32DF9"/>
    <w:pPr>
      <w:numPr>
        <w:ilvl w:val="8"/>
        <w:numId w:val="1"/>
      </w:numPr>
      <w:spacing w:before="240" w:after="60"/>
      <w:outlineLvl w:val="8"/>
    </w:pPr>
    <w:rPr>
      <w:rFonts w:ascii="Arial" w:hAnsi="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B54552"/>
    <w:rPr>
      <w:rFonts w:ascii="Cambria" w:hAnsi="Cambria" w:cs="Times New Roman"/>
      <w:b/>
      <w:kern w:val="32"/>
      <w:sz w:val="32"/>
    </w:rPr>
  </w:style>
  <w:style w:type="character" w:customStyle="1" w:styleId="Ttulo2Char">
    <w:name w:val="Título 2 Char"/>
    <w:basedOn w:val="Fontepargpadro"/>
    <w:link w:val="Ttulo2"/>
    <w:uiPriority w:val="99"/>
    <w:semiHidden/>
    <w:locked/>
    <w:rsid w:val="00B54552"/>
    <w:rPr>
      <w:rFonts w:ascii="Cambria" w:hAnsi="Cambria" w:cs="Times New Roman"/>
      <w:b/>
      <w:i/>
      <w:sz w:val="28"/>
    </w:rPr>
  </w:style>
  <w:style w:type="character" w:customStyle="1" w:styleId="Ttulo3Char">
    <w:name w:val="Título 3 Char"/>
    <w:basedOn w:val="Fontepargpadro"/>
    <w:link w:val="Ttulo3"/>
    <w:uiPriority w:val="9"/>
    <w:locked/>
    <w:rsid w:val="003775E1"/>
    <w:rPr>
      <w:rFonts w:cs="Times New Roman"/>
      <w:b/>
      <w:sz w:val="26"/>
      <w:lang w:val="pt-BR" w:eastAsia="pt-BR"/>
    </w:rPr>
  </w:style>
  <w:style w:type="character" w:customStyle="1" w:styleId="Ttulo4Char">
    <w:name w:val="Título 4 Char"/>
    <w:basedOn w:val="Fontepargpadro"/>
    <w:link w:val="Ttulo4"/>
    <w:uiPriority w:val="9"/>
    <w:locked/>
    <w:rsid w:val="00B54552"/>
    <w:rPr>
      <w:rFonts w:cs="Times New Roman"/>
      <w:b/>
      <w:sz w:val="28"/>
    </w:rPr>
  </w:style>
  <w:style w:type="character" w:customStyle="1" w:styleId="Ttulo5Char">
    <w:name w:val="Título 5 Char"/>
    <w:basedOn w:val="Fontepargpadro"/>
    <w:link w:val="Ttulo5"/>
    <w:uiPriority w:val="9"/>
    <w:locked/>
    <w:rsid w:val="00B54552"/>
    <w:rPr>
      <w:rFonts w:cs="Times New Roman"/>
      <w:b/>
      <w:i/>
      <w:sz w:val="26"/>
    </w:rPr>
  </w:style>
  <w:style w:type="character" w:customStyle="1" w:styleId="Ttulo6Char">
    <w:name w:val="Título 6 Char"/>
    <w:basedOn w:val="Fontepargpadro"/>
    <w:link w:val="Ttulo6"/>
    <w:uiPriority w:val="9"/>
    <w:locked/>
    <w:rsid w:val="00B54552"/>
    <w:rPr>
      <w:rFonts w:cs="Times New Roman"/>
      <w:b/>
      <w:sz w:val="22"/>
    </w:rPr>
  </w:style>
  <w:style w:type="character" w:customStyle="1" w:styleId="Ttulo7Char">
    <w:name w:val="Título 7 Char"/>
    <w:basedOn w:val="Fontepargpadro"/>
    <w:link w:val="Ttulo7"/>
    <w:uiPriority w:val="9"/>
    <w:locked/>
    <w:rsid w:val="00B54552"/>
    <w:rPr>
      <w:rFonts w:cs="Times New Roman"/>
      <w:sz w:val="24"/>
    </w:rPr>
  </w:style>
  <w:style w:type="character" w:customStyle="1" w:styleId="Ttulo8Char">
    <w:name w:val="Título 8 Char"/>
    <w:basedOn w:val="Fontepargpadro"/>
    <w:link w:val="Ttulo8"/>
    <w:uiPriority w:val="9"/>
    <w:locked/>
    <w:rsid w:val="00B54552"/>
    <w:rPr>
      <w:rFonts w:cs="Times New Roman"/>
      <w:i/>
      <w:sz w:val="24"/>
    </w:rPr>
  </w:style>
  <w:style w:type="character" w:customStyle="1" w:styleId="Ttulo9Char">
    <w:name w:val="Título 9 Char"/>
    <w:basedOn w:val="Fontepargpadro"/>
    <w:link w:val="Ttulo9"/>
    <w:uiPriority w:val="9"/>
    <w:locked/>
    <w:rsid w:val="00B54552"/>
    <w:rPr>
      <w:rFonts w:ascii="Arial" w:hAnsi="Arial" w:cs="Times New Roman"/>
      <w:sz w:val="22"/>
    </w:rPr>
  </w:style>
  <w:style w:type="paragraph" w:styleId="Corpodetexto">
    <w:name w:val="Body Text"/>
    <w:basedOn w:val="Normal"/>
    <w:link w:val="CorpodetextoChar"/>
    <w:uiPriority w:val="99"/>
    <w:rsid w:val="00D32DF9"/>
    <w:rPr>
      <w:sz w:val="28"/>
      <w:szCs w:val="20"/>
    </w:rPr>
  </w:style>
  <w:style w:type="character" w:customStyle="1" w:styleId="CorpodetextoChar">
    <w:name w:val="Corpo de texto Char"/>
    <w:basedOn w:val="Fontepargpadro"/>
    <w:link w:val="Corpodetexto"/>
    <w:uiPriority w:val="99"/>
    <w:locked/>
    <w:rsid w:val="00D32DF9"/>
    <w:rPr>
      <w:rFonts w:cs="Times New Roman"/>
      <w:sz w:val="28"/>
      <w:lang w:val="pt-BR" w:eastAsia="pt-BR"/>
    </w:rPr>
  </w:style>
  <w:style w:type="paragraph" w:styleId="NormalWeb">
    <w:name w:val="Normal (Web)"/>
    <w:basedOn w:val="Normal"/>
    <w:uiPriority w:val="99"/>
    <w:rsid w:val="00D32DF9"/>
    <w:pPr>
      <w:spacing w:before="100" w:beforeAutospacing="1" w:after="100" w:afterAutospacing="1"/>
    </w:pPr>
    <w:rPr>
      <w:rFonts w:ascii="Tahoma" w:hAnsi="Tahoma" w:cs="Tahoma"/>
      <w:color w:val="000000"/>
      <w:sz w:val="16"/>
      <w:szCs w:val="16"/>
    </w:rPr>
  </w:style>
  <w:style w:type="character" w:styleId="Hyperlink">
    <w:name w:val="Hyperlink"/>
    <w:basedOn w:val="Fontepargpadro"/>
    <w:uiPriority w:val="99"/>
    <w:rsid w:val="00D32DF9"/>
    <w:rPr>
      <w:rFonts w:cs="Times New Roman"/>
      <w:color w:val="0000FF"/>
      <w:u w:val="single"/>
    </w:rPr>
  </w:style>
  <w:style w:type="character" w:customStyle="1" w:styleId="karenbrisolla">
    <w:name w:val="karen.brisolla"/>
    <w:semiHidden/>
    <w:rsid w:val="00D32DF9"/>
    <w:rPr>
      <w:rFonts w:ascii="Arial" w:hAnsi="Arial"/>
      <w:color w:val="000080"/>
      <w:sz w:val="20"/>
    </w:rPr>
  </w:style>
  <w:style w:type="character" w:styleId="Forte">
    <w:name w:val="Strong"/>
    <w:basedOn w:val="Fontepargpadro"/>
    <w:uiPriority w:val="22"/>
    <w:qFormat/>
    <w:rsid w:val="00D32DF9"/>
    <w:rPr>
      <w:rFonts w:cs="Times New Roman"/>
      <w:b/>
    </w:rPr>
  </w:style>
  <w:style w:type="character" w:styleId="Refdecomentrio">
    <w:name w:val="annotation reference"/>
    <w:basedOn w:val="Fontepargpadro"/>
    <w:uiPriority w:val="99"/>
    <w:semiHidden/>
    <w:rsid w:val="00D32DF9"/>
    <w:rPr>
      <w:rFonts w:cs="Times New Roman"/>
      <w:sz w:val="16"/>
    </w:rPr>
  </w:style>
  <w:style w:type="paragraph" w:styleId="Textodecomentrio">
    <w:name w:val="annotation text"/>
    <w:basedOn w:val="Normal"/>
    <w:link w:val="TextodecomentrioChar"/>
    <w:uiPriority w:val="99"/>
    <w:rsid w:val="00D32DF9"/>
    <w:rPr>
      <w:sz w:val="20"/>
      <w:szCs w:val="20"/>
    </w:rPr>
  </w:style>
  <w:style w:type="character" w:customStyle="1" w:styleId="TextodecomentrioChar">
    <w:name w:val="Texto de comentário Char"/>
    <w:basedOn w:val="Fontepargpadro"/>
    <w:link w:val="Textodecomentrio"/>
    <w:uiPriority w:val="99"/>
    <w:locked/>
    <w:rsid w:val="00B54552"/>
    <w:rPr>
      <w:rFonts w:cs="Times New Roman"/>
      <w:sz w:val="20"/>
    </w:rPr>
  </w:style>
  <w:style w:type="paragraph" w:styleId="Textodebalo">
    <w:name w:val="Balloon Text"/>
    <w:basedOn w:val="Normal"/>
    <w:link w:val="TextodebaloChar"/>
    <w:uiPriority w:val="99"/>
    <w:semiHidden/>
    <w:rsid w:val="00D32DF9"/>
    <w:rPr>
      <w:sz w:val="2"/>
      <w:szCs w:val="20"/>
    </w:rPr>
  </w:style>
  <w:style w:type="character" w:customStyle="1" w:styleId="TextodebaloChar">
    <w:name w:val="Texto de balão Char"/>
    <w:basedOn w:val="Fontepargpadro"/>
    <w:link w:val="Textodebalo"/>
    <w:uiPriority w:val="99"/>
    <w:semiHidden/>
    <w:locked/>
    <w:rsid w:val="00B54552"/>
    <w:rPr>
      <w:rFonts w:cs="Times New Roman"/>
      <w:sz w:val="2"/>
    </w:rPr>
  </w:style>
  <w:style w:type="table" w:styleId="Tabelacomgrade">
    <w:name w:val="Table Grid"/>
    <w:basedOn w:val="Tabelanormal"/>
    <w:uiPriority w:val="59"/>
    <w:rsid w:val="00D32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rsid w:val="00D32DF9"/>
    <w:pPr>
      <w:jc w:val="both"/>
    </w:pPr>
    <w:rPr>
      <w:sz w:val="20"/>
    </w:rPr>
  </w:style>
  <w:style w:type="paragraph" w:styleId="Sumrio2">
    <w:name w:val="toc 2"/>
    <w:basedOn w:val="Normal"/>
    <w:next w:val="Normal"/>
    <w:autoRedefine/>
    <w:uiPriority w:val="39"/>
    <w:rsid w:val="00D32DF9"/>
    <w:pPr>
      <w:ind w:left="238"/>
      <w:jc w:val="both"/>
    </w:pPr>
    <w:rPr>
      <w:sz w:val="18"/>
    </w:rPr>
  </w:style>
  <w:style w:type="paragraph" w:styleId="Cabealho">
    <w:name w:val="header"/>
    <w:basedOn w:val="Normal"/>
    <w:link w:val="CabealhoChar"/>
    <w:uiPriority w:val="99"/>
    <w:rsid w:val="00D32DF9"/>
    <w:pPr>
      <w:tabs>
        <w:tab w:val="center" w:pos="4419"/>
        <w:tab w:val="right" w:pos="8838"/>
      </w:tabs>
    </w:pPr>
  </w:style>
  <w:style w:type="character" w:customStyle="1" w:styleId="CabealhoChar">
    <w:name w:val="Cabeçalho Char"/>
    <w:basedOn w:val="Fontepargpadro"/>
    <w:link w:val="Cabealho"/>
    <w:uiPriority w:val="99"/>
    <w:semiHidden/>
    <w:locked/>
    <w:rsid w:val="00B54552"/>
    <w:rPr>
      <w:rFonts w:cs="Times New Roman"/>
      <w:sz w:val="24"/>
    </w:rPr>
  </w:style>
  <w:style w:type="paragraph" w:styleId="Sumrio3">
    <w:name w:val="toc 3"/>
    <w:basedOn w:val="Normal"/>
    <w:next w:val="Normal"/>
    <w:autoRedefine/>
    <w:uiPriority w:val="39"/>
    <w:rsid w:val="00D32DF9"/>
    <w:pPr>
      <w:ind w:left="480"/>
    </w:pPr>
    <w:rPr>
      <w:sz w:val="16"/>
    </w:rPr>
  </w:style>
  <w:style w:type="character" w:customStyle="1" w:styleId="varleysousa">
    <w:name w:val="varley.sousa"/>
    <w:uiPriority w:val="99"/>
    <w:semiHidden/>
    <w:rsid w:val="00D32DF9"/>
    <w:rPr>
      <w:rFonts w:ascii="Arial" w:hAnsi="Arial"/>
      <w:color w:val="auto"/>
      <w:sz w:val="20"/>
    </w:rPr>
  </w:style>
  <w:style w:type="paragraph" w:styleId="Rodap">
    <w:name w:val="footer"/>
    <w:basedOn w:val="Normal"/>
    <w:link w:val="RodapChar"/>
    <w:uiPriority w:val="99"/>
    <w:rsid w:val="00B24EA8"/>
    <w:pPr>
      <w:tabs>
        <w:tab w:val="center" w:pos="4252"/>
        <w:tab w:val="right" w:pos="8504"/>
      </w:tabs>
    </w:pPr>
  </w:style>
  <w:style w:type="character" w:customStyle="1" w:styleId="RodapChar">
    <w:name w:val="Rodapé Char"/>
    <w:basedOn w:val="Fontepargpadro"/>
    <w:link w:val="Rodap"/>
    <w:uiPriority w:val="99"/>
    <w:locked/>
    <w:rsid w:val="00B54552"/>
    <w:rPr>
      <w:rFonts w:cs="Times New Roman"/>
      <w:sz w:val="24"/>
    </w:rPr>
  </w:style>
  <w:style w:type="character" w:styleId="Nmerodepgina">
    <w:name w:val="page number"/>
    <w:basedOn w:val="Fontepargpadro"/>
    <w:uiPriority w:val="99"/>
    <w:rsid w:val="00B24EA8"/>
    <w:rPr>
      <w:rFonts w:cs="Times New Roman"/>
    </w:rPr>
  </w:style>
  <w:style w:type="paragraph" w:customStyle="1" w:styleId="Default">
    <w:name w:val="Default"/>
    <w:rsid w:val="00BF57D4"/>
    <w:pPr>
      <w:autoSpaceDE w:val="0"/>
      <w:autoSpaceDN w:val="0"/>
      <w:adjustRightInd w:val="0"/>
    </w:pPr>
    <w:rPr>
      <w:rFonts w:ascii="Cordia New" w:hAnsi="Cordia New" w:cs="Cordia New"/>
      <w:color w:val="000000"/>
      <w:sz w:val="24"/>
      <w:szCs w:val="24"/>
      <w:lang w:bidi="th-TH"/>
    </w:rPr>
  </w:style>
  <w:style w:type="paragraph" w:styleId="Assuntodocomentrio">
    <w:name w:val="annotation subject"/>
    <w:basedOn w:val="Textodecomentrio"/>
    <w:next w:val="Textodecomentrio"/>
    <w:link w:val="AssuntodocomentrioChar"/>
    <w:uiPriority w:val="99"/>
    <w:semiHidden/>
    <w:rsid w:val="00FF470E"/>
    <w:rPr>
      <w:b/>
      <w:bCs/>
    </w:rPr>
  </w:style>
  <w:style w:type="character" w:customStyle="1" w:styleId="AssuntodocomentrioChar">
    <w:name w:val="Assunto do comentário Char"/>
    <w:basedOn w:val="TextodecomentrioChar"/>
    <w:link w:val="Assuntodocomentrio"/>
    <w:uiPriority w:val="99"/>
    <w:semiHidden/>
    <w:locked/>
    <w:rsid w:val="00B54552"/>
    <w:rPr>
      <w:rFonts w:cs="Times New Roman"/>
      <w:b/>
      <w:sz w:val="20"/>
    </w:rPr>
  </w:style>
  <w:style w:type="character" w:customStyle="1" w:styleId="spelle">
    <w:name w:val="spelle"/>
    <w:uiPriority w:val="99"/>
    <w:rsid w:val="00E67740"/>
  </w:style>
  <w:style w:type="character" w:styleId="HiperlinkVisitado">
    <w:name w:val="FollowedHyperlink"/>
    <w:basedOn w:val="Fontepargpadro"/>
    <w:uiPriority w:val="99"/>
    <w:rsid w:val="006B17F2"/>
    <w:rPr>
      <w:rFonts w:cs="Times New Roman"/>
      <w:color w:val="800080"/>
      <w:u w:val="single"/>
    </w:rPr>
  </w:style>
  <w:style w:type="character" w:customStyle="1" w:styleId="VarleySousa0">
    <w:name w:val="Varley.Sousa"/>
    <w:uiPriority w:val="99"/>
    <w:semiHidden/>
    <w:rsid w:val="002B679E"/>
    <w:rPr>
      <w:rFonts w:ascii="Arial" w:hAnsi="Arial"/>
      <w:color w:val="auto"/>
      <w:sz w:val="20"/>
    </w:rPr>
  </w:style>
  <w:style w:type="paragraph" w:styleId="Sumrio4">
    <w:name w:val="toc 4"/>
    <w:basedOn w:val="Normal"/>
    <w:next w:val="Normal"/>
    <w:autoRedefine/>
    <w:uiPriority w:val="39"/>
    <w:rsid w:val="00E87BE0"/>
    <w:pPr>
      <w:ind w:left="720"/>
    </w:pPr>
  </w:style>
  <w:style w:type="paragraph" w:styleId="Sumrio5">
    <w:name w:val="toc 5"/>
    <w:basedOn w:val="Normal"/>
    <w:next w:val="Normal"/>
    <w:autoRedefine/>
    <w:uiPriority w:val="39"/>
    <w:semiHidden/>
    <w:rsid w:val="00E87BE0"/>
    <w:pPr>
      <w:ind w:left="960"/>
    </w:pPr>
  </w:style>
  <w:style w:type="paragraph" w:styleId="Sumrio6">
    <w:name w:val="toc 6"/>
    <w:basedOn w:val="Normal"/>
    <w:next w:val="Normal"/>
    <w:autoRedefine/>
    <w:uiPriority w:val="39"/>
    <w:semiHidden/>
    <w:rsid w:val="00E87BE0"/>
    <w:pPr>
      <w:ind w:left="1200"/>
    </w:pPr>
  </w:style>
  <w:style w:type="paragraph" w:styleId="Sumrio7">
    <w:name w:val="toc 7"/>
    <w:basedOn w:val="Normal"/>
    <w:next w:val="Normal"/>
    <w:autoRedefine/>
    <w:uiPriority w:val="39"/>
    <w:semiHidden/>
    <w:rsid w:val="00E87BE0"/>
    <w:pPr>
      <w:ind w:left="1440"/>
    </w:pPr>
  </w:style>
  <w:style w:type="paragraph" w:styleId="Sumrio8">
    <w:name w:val="toc 8"/>
    <w:basedOn w:val="Normal"/>
    <w:next w:val="Normal"/>
    <w:autoRedefine/>
    <w:uiPriority w:val="39"/>
    <w:semiHidden/>
    <w:rsid w:val="00E87BE0"/>
    <w:pPr>
      <w:ind w:left="1680"/>
    </w:pPr>
  </w:style>
  <w:style w:type="paragraph" w:styleId="Sumrio9">
    <w:name w:val="toc 9"/>
    <w:basedOn w:val="Normal"/>
    <w:next w:val="Normal"/>
    <w:autoRedefine/>
    <w:uiPriority w:val="39"/>
    <w:semiHidden/>
    <w:rsid w:val="00E87BE0"/>
    <w:pPr>
      <w:ind w:left="1920"/>
    </w:pPr>
  </w:style>
  <w:style w:type="paragraph" w:styleId="PargrafodaLista">
    <w:name w:val="List Paragraph"/>
    <w:basedOn w:val="Normal"/>
    <w:uiPriority w:val="99"/>
    <w:qFormat/>
    <w:rsid w:val="00472C75"/>
    <w:pPr>
      <w:ind w:left="708"/>
    </w:pPr>
  </w:style>
  <w:style w:type="paragraph" w:styleId="Reviso">
    <w:name w:val="Revision"/>
    <w:hidden/>
    <w:uiPriority w:val="99"/>
    <w:semiHidden/>
    <w:rsid w:val="009902FE"/>
    <w:rPr>
      <w:sz w:val="24"/>
      <w:szCs w:val="24"/>
    </w:rPr>
  </w:style>
  <w:style w:type="paragraph" w:customStyle="1" w:styleId="MMTopic1">
    <w:name w:val="MM Topic 1"/>
    <w:basedOn w:val="Ttulo1"/>
    <w:rsid w:val="00B710A1"/>
    <w:pPr>
      <w:numPr>
        <w:numId w:val="9"/>
      </w:numPr>
      <w:tabs>
        <w:tab w:val="clear" w:pos="360"/>
      </w:tabs>
      <w:spacing w:before="240" w:after="60" w:line="360" w:lineRule="auto"/>
      <w:jc w:val="left"/>
    </w:pPr>
    <w:rPr>
      <w:rFonts w:ascii="Arial" w:hAnsi="Arial"/>
      <w:caps/>
    </w:rPr>
  </w:style>
  <w:style w:type="paragraph" w:customStyle="1" w:styleId="MMTopic2">
    <w:name w:val="MM Topic 2"/>
    <w:basedOn w:val="Ttulo2"/>
    <w:rsid w:val="00B710A1"/>
    <w:pPr>
      <w:numPr>
        <w:ilvl w:val="1"/>
        <w:numId w:val="9"/>
      </w:numPr>
      <w:spacing w:before="240" w:after="60" w:line="360" w:lineRule="auto"/>
      <w:jc w:val="left"/>
    </w:pPr>
    <w:rPr>
      <w:rFonts w:ascii="Arial" w:hAnsi="Arial"/>
      <w:i w:val="0"/>
      <w:smallCaps/>
    </w:rPr>
  </w:style>
  <w:style w:type="paragraph" w:customStyle="1" w:styleId="MMTopic3">
    <w:name w:val="MM Topic 3"/>
    <w:basedOn w:val="Ttulo3"/>
    <w:rsid w:val="00B710A1"/>
    <w:pPr>
      <w:numPr>
        <w:ilvl w:val="2"/>
        <w:numId w:val="9"/>
      </w:numPr>
      <w:spacing w:before="240" w:after="60"/>
      <w:jc w:val="left"/>
    </w:pPr>
    <w:rPr>
      <w:rFonts w:ascii="Arial" w:hAnsi="Arial"/>
    </w:rPr>
  </w:style>
  <w:style w:type="paragraph" w:customStyle="1" w:styleId="MMTopic4">
    <w:name w:val="MM Topic 4"/>
    <w:basedOn w:val="Ttulo4"/>
    <w:rsid w:val="00B710A1"/>
    <w:pPr>
      <w:numPr>
        <w:numId w:val="9"/>
      </w:numPr>
      <w:spacing w:before="120" w:after="120"/>
      <w:ind w:left="0"/>
      <w:jc w:val="center"/>
    </w:pPr>
    <w:rPr>
      <w:sz w:val="24"/>
    </w:rPr>
  </w:style>
  <w:style w:type="paragraph" w:customStyle="1" w:styleId="MMTopic5">
    <w:name w:val="MM Topic 5"/>
    <w:basedOn w:val="Ttulo5"/>
    <w:rsid w:val="00B710A1"/>
    <w:pPr>
      <w:numPr>
        <w:numId w:val="9"/>
      </w:numPr>
      <w:ind w:left="0"/>
    </w:pPr>
  </w:style>
  <w:style w:type="paragraph" w:customStyle="1" w:styleId="MMTopic6">
    <w:name w:val="MM Topic 6"/>
    <w:basedOn w:val="Ttulo6"/>
    <w:rsid w:val="00B710A1"/>
    <w:pPr>
      <w:numPr>
        <w:numId w:val="9"/>
      </w:numPr>
      <w:ind w:left="0"/>
    </w:pPr>
  </w:style>
  <w:style w:type="paragraph" w:customStyle="1" w:styleId="MMTopic7">
    <w:name w:val="MM Topic 7"/>
    <w:basedOn w:val="Ttulo7"/>
    <w:rsid w:val="00B710A1"/>
    <w:pPr>
      <w:numPr>
        <w:numId w:val="9"/>
      </w:numPr>
      <w:ind w:left="0"/>
    </w:pPr>
  </w:style>
  <w:style w:type="paragraph" w:customStyle="1" w:styleId="MMTopic8">
    <w:name w:val="MM Topic 8"/>
    <w:basedOn w:val="Ttulo8"/>
    <w:rsid w:val="00B710A1"/>
    <w:pPr>
      <w:numPr>
        <w:numId w:val="9"/>
      </w:numPr>
      <w:ind w:left="0"/>
    </w:pPr>
  </w:style>
  <w:style w:type="paragraph" w:customStyle="1" w:styleId="MMTopic9">
    <w:name w:val="MM Topic 9"/>
    <w:basedOn w:val="Ttulo9"/>
    <w:rsid w:val="00B710A1"/>
    <w:pPr>
      <w:numPr>
        <w:numId w:val="9"/>
      </w:numPr>
      <w:ind w:left="0"/>
    </w:pPr>
  </w:style>
  <w:style w:type="paragraph" w:customStyle="1" w:styleId="forms">
    <w:name w:val="forms"/>
    <w:basedOn w:val="Ttulo2"/>
    <w:rsid w:val="00B710A1"/>
    <w:pPr>
      <w:suppressAutoHyphens/>
      <w:spacing w:before="40" w:after="40" w:line="360" w:lineRule="auto"/>
      <w:jc w:val="left"/>
    </w:pPr>
    <w:rPr>
      <w:rFonts w:ascii="Arial" w:hAnsi="Arial"/>
      <w:bCs w:val="0"/>
      <w:iCs w:val="0"/>
      <w:smallCaps/>
      <w:sz w:val="16"/>
      <w:szCs w:val="20"/>
      <w:lang w:eastAsia="ar-SA"/>
    </w:rPr>
  </w:style>
  <w:style w:type="character" w:styleId="nfase">
    <w:name w:val="Emphasis"/>
    <w:basedOn w:val="Fontepargpadro"/>
    <w:uiPriority w:val="20"/>
    <w:qFormat/>
    <w:rsid w:val="00B710A1"/>
    <w:rPr>
      <w:rFonts w:cs="Times New Roman"/>
      <w:b/>
    </w:rPr>
  </w:style>
  <w:style w:type="paragraph" w:styleId="Recuodecorpodetexto">
    <w:name w:val="Body Text Indent"/>
    <w:basedOn w:val="Normal"/>
    <w:link w:val="RecuodecorpodetextoChar"/>
    <w:uiPriority w:val="99"/>
    <w:locked/>
    <w:rsid w:val="00B710A1"/>
    <w:pPr>
      <w:spacing w:after="120"/>
      <w:ind w:left="283"/>
    </w:pPr>
  </w:style>
  <w:style w:type="character" w:customStyle="1" w:styleId="RecuodecorpodetextoChar">
    <w:name w:val="Recuo de corpo de texto Char"/>
    <w:basedOn w:val="Fontepargpadro"/>
    <w:link w:val="Recuodecorpodetexto"/>
    <w:uiPriority w:val="99"/>
    <w:locked/>
    <w:rsid w:val="00B710A1"/>
    <w:rPr>
      <w:rFonts w:cs="Times New Roman"/>
      <w:sz w:val="24"/>
    </w:rPr>
  </w:style>
  <w:style w:type="character" w:customStyle="1" w:styleId="JackelineTeixeira">
    <w:name w:val="Jackeline.Teixeira"/>
    <w:semiHidden/>
    <w:rsid w:val="00B710A1"/>
    <w:rPr>
      <w:rFonts w:ascii="Arial" w:hAnsi="Arial"/>
      <w:color w:val="000080"/>
      <w:sz w:val="20"/>
    </w:rPr>
  </w:style>
  <w:style w:type="paragraph" w:customStyle="1" w:styleId="textocenter">
    <w:name w:val="texto_center"/>
    <w:basedOn w:val="Normal"/>
    <w:rsid w:val="00B710A1"/>
    <w:pPr>
      <w:spacing w:before="100" w:beforeAutospacing="1" w:after="100" w:afterAutospacing="1"/>
      <w:jc w:val="center"/>
    </w:pPr>
    <w:rPr>
      <w:rFonts w:ascii="Arial" w:hAnsi="Arial" w:cs="Arial"/>
      <w:color w:val="000000"/>
      <w:sz w:val="10"/>
      <w:szCs w:val="10"/>
    </w:rPr>
  </w:style>
  <w:style w:type="character" w:customStyle="1" w:styleId="denisegoncalves">
    <w:name w:val="denise.goncalves"/>
    <w:semiHidden/>
    <w:rsid w:val="00B710A1"/>
    <w:rPr>
      <w:rFonts w:ascii="Arial" w:hAnsi="Arial"/>
      <w:color w:val="000080"/>
      <w:sz w:val="20"/>
    </w:rPr>
  </w:style>
  <w:style w:type="character" w:customStyle="1" w:styleId="apple-style-span">
    <w:name w:val="apple-style-span"/>
    <w:basedOn w:val="Fontepargpadro"/>
    <w:rsid w:val="00B710A1"/>
    <w:rPr>
      <w:rFonts w:cs="Times New Roman"/>
    </w:rPr>
  </w:style>
  <w:style w:type="character" w:customStyle="1" w:styleId="Hipervnculo">
    <w:name w:val="Hipervínculo"/>
    <w:rsid w:val="00BC67E1"/>
    <w:rPr>
      <w:color w:val="000000"/>
    </w:rPr>
  </w:style>
  <w:style w:type="paragraph" w:customStyle="1" w:styleId="TDC1">
    <w:name w:val="TDC 1"/>
    <w:basedOn w:val="Normal"/>
    <w:next w:val="Normal"/>
    <w:rsid w:val="00136ED3"/>
    <w:pPr>
      <w:autoSpaceDE w:val="0"/>
      <w:autoSpaceDN w:val="0"/>
      <w:adjustRightInd w:val="0"/>
    </w:pPr>
    <w:rPr>
      <w:rFonts w:ascii="Arial" w:hAnsi="Arial"/>
    </w:rPr>
  </w:style>
  <w:style w:type="numbering" w:customStyle="1" w:styleId="Estilo1">
    <w:name w:val="Estilo1"/>
    <w:pPr>
      <w:numPr>
        <w:numId w:val="2"/>
      </w:numPr>
    </w:pPr>
  </w:style>
  <w:style w:type="numbering" w:customStyle="1" w:styleId="Listaatual11">
    <w:name w:val="Lista atual11"/>
    <w:pPr>
      <w:numPr>
        <w:numId w:val="4"/>
      </w:numPr>
    </w:pPr>
  </w:style>
  <w:style w:type="numbering" w:customStyle="1" w:styleId="Estilo11">
    <w:name w:val="Estilo1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536199">
      <w:marLeft w:val="0"/>
      <w:marRight w:val="0"/>
      <w:marTop w:val="0"/>
      <w:marBottom w:val="0"/>
      <w:divBdr>
        <w:top w:val="none" w:sz="0" w:space="0" w:color="auto"/>
        <w:left w:val="none" w:sz="0" w:space="0" w:color="auto"/>
        <w:bottom w:val="none" w:sz="0" w:space="0" w:color="auto"/>
        <w:right w:val="none" w:sz="0" w:space="0" w:color="auto"/>
      </w:divBdr>
    </w:div>
    <w:div w:id="1407536200">
      <w:marLeft w:val="0"/>
      <w:marRight w:val="0"/>
      <w:marTop w:val="0"/>
      <w:marBottom w:val="0"/>
      <w:divBdr>
        <w:top w:val="none" w:sz="0" w:space="0" w:color="auto"/>
        <w:left w:val="none" w:sz="0" w:space="0" w:color="auto"/>
        <w:bottom w:val="none" w:sz="0" w:space="0" w:color="auto"/>
        <w:right w:val="none" w:sz="0" w:space="0" w:color="auto"/>
      </w:divBdr>
    </w:div>
    <w:div w:id="1407536202">
      <w:marLeft w:val="0"/>
      <w:marRight w:val="0"/>
      <w:marTop w:val="0"/>
      <w:marBottom w:val="0"/>
      <w:divBdr>
        <w:top w:val="none" w:sz="0" w:space="0" w:color="auto"/>
        <w:left w:val="none" w:sz="0" w:space="0" w:color="auto"/>
        <w:bottom w:val="none" w:sz="0" w:space="0" w:color="auto"/>
        <w:right w:val="none" w:sz="0" w:space="0" w:color="auto"/>
      </w:divBdr>
    </w:div>
    <w:div w:id="1407536217">
      <w:marLeft w:val="0"/>
      <w:marRight w:val="0"/>
      <w:marTop w:val="0"/>
      <w:marBottom w:val="0"/>
      <w:divBdr>
        <w:top w:val="none" w:sz="0" w:space="0" w:color="auto"/>
        <w:left w:val="none" w:sz="0" w:space="0" w:color="auto"/>
        <w:bottom w:val="none" w:sz="0" w:space="0" w:color="auto"/>
        <w:right w:val="none" w:sz="0" w:space="0" w:color="auto"/>
      </w:divBdr>
    </w:div>
    <w:div w:id="1407536223">
      <w:marLeft w:val="0"/>
      <w:marRight w:val="0"/>
      <w:marTop w:val="0"/>
      <w:marBottom w:val="0"/>
      <w:divBdr>
        <w:top w:val="none" w:sz="0" w:space="0" w:color="auto"/>
        <w:left w:val="none" w:sz="0" w:space="0" w:color="auto"/>
        <w:bottom w:val="none" w:sz="0" w:space="0" w:color="auto"/>
        <w:right w:val="none" w:sz="0" w:space="0" w:color="auto"/>
      </w:divBdr>
      <w:divsChild>
        <w:div w:id="1407536222">
          <w:marLeft w:val="0"/>
          <w:marRight w:val="0"/>
          <w:marTop w:val="0"/>
          <w:marBottom w:val="0"/>
          <w:divBdr>
            <w:top w:val="none" w:sz="0" w:space="0" w:color="auto"/>
            <w:left w:val="none" w:sz="0" w:space="0" w:color="auto"/>
            <w:bottom w:val="none" w:sz="0" w:space="0" w:color="auto"/>
            <w:right w:val="none" w:sz="0" w:space="0" w:color="auto"/>
          </w:divBdr>
          <w:divsChild>
            <w:div w:id="1407536208">
              <w:marLeft w:val="0"/>
              <w:marRight w:val="0"/>
              <w:marTop w:val="0"/>
              <w:marBottom w:val="0"/>
              <w:divBdr>
                <w:top w:val="none" w:sz="0" w:space="0" w:color="auto"/>
                <w:left w:val="none" w:sz="0" w:space="0" w:color="auto"/>
                <w:bottom w:val="none" w:sz="0" w:space="0" w:color="auto"/>
                <w:right w:val="none" w:sz="0" w:space="0" w:color="auto"/>
              </w:divBdr>
              <w:divsChild>
                <w:div w:id="1407536240">
                  <w:marLeft w:val="0"/>
                  <w:marRight w:val="0"/>
                  <w:marTop w:val="0"/>
                  <w:marBottom w:val="0"/>
                  <w:divBdr>
                    <w:top w:val="none" w:sz="0" w:space="0" w:color="auto"/>
                    <w:left w:val="none" w:sz="0" w:space="0" w:color="auto"/>
                    <w:bottom w:val="none" w:sz="0" w:space="0" w:color="auto"/>
                    <w:right w:val="none" w:sz="0" w:space="0" w:color="auto"/>
                  </w:divBdr>
                  <w:divsChild>
                    <w:div w:id="1407536211">
                      <w:marLeft w:val="0"/>
                      <w:marRight w:val="0"/>
                      <w:marTop w:val="0"/>
                      <w:marBottom w:val="0"/>
                      <w:divBdr>
                        <w:top w:val="none" w:sz="0" w:space="0" w:color="auto"/>
                        <w:left w:val="none" w:sz="0" w:space="0" w:color="auto"/>
                        <w:bottom w:val="none" w:sz="0" w:space="0" w:color="auto"/>
                        <w:right w:val="none" w:sz="0" w:space="0" w:color="auto"/>
                      </w:divBdr>
                      <w:divsChild>
                        <w:div w:id="1407536219">
                          <w:marLeft w:val="0"/>
                          <w:marRight w:val="0"/>
                          <w:marTop w:val="0"/>
                          <w:marBottom w:val="0"/>
                          <w:divBdr>
                            <w:top w:val="none" w:sz="0" w:space="0" w:color="auto"/>
                            <w:left w:val="none" w:sz="0" w:space="0" w:color="auto"/>
                            <w:bottom w:val="none" w:sz="0" w:space="0" w:color="auto"/>
                            <w:right w:val="none" w:sz="0" w:space="0" w:color="auto"/>
                          </w:divBdr>
                          <w:divsChild>
                            <w:div w:id="1407536226">
                              <w:marLeft w:val="0"/>
                              <w:marRight w:val="0"/>
                              <w:marTop w:val="0"/>
                              <w:marBottom w:val="0"/>
                              <w:divBdr>
                                <w:top w:val="none" w:sz="0" w:space="0" w:color="auto"/>
                                <w:left w:val="none" w:sz="0" w:space="0" w:color="auto"/>
                                <w:bottom w:val="none" w:sz="0" w:space="0" w:color="auto"/>
                                <w:right w:val="none" w:sz="0" w:space="0" w:color="auto"/>
                              </w:divBdr>
                              <w:divsChild>
                                <w:div w:id="1407536241">
                                  <w:marLeft w:val="0"/>
                                  <w:marRight w:val="0"/>
                                  <w:marTop w:val="0"/>
                                  <w:marBottom w:val="0"/>
                                  <w:divBdr>
                                    <w:top w:val="none" w:sz="0" w:space="0" w:color="auto"/>
                                    <w:left w:val="none" w:sz="0" w:space="0" w:color="auto"/>
                                    <w:bottom w:val="none" w:sz="0" w:space="0" w:color="auto"/>
                                    <w:right w:val="none" w:sz="0" w:space="0" w:color="auto"/>
                                  </w:divBdr>
                                  <w:divsChild>
                                    <w:div w:id="1407536220">
                                      <w:marLeft w:val="0"/>
                                      <w:marRight w:val="0"/>
                                      <w:marTop w:val="0"/>
                                      <w:marBottom w:val="0"/>
                                      <w:divBdr>
                                        <w:top w:val="none" w:sz="0" w:space="0" w:color="auto"/>
                                        <w:left w:val="none" w:sz="0" w:space="0" w:color="auto"/>
                                        <w:bottom w:val="none" w:sz="0" w:space="0" w:color="auto"/>
                                        <w:right w:val="none" w:sz="0" w:space="0" w:color="auto"/>
                                      </w:divBdr>
                                      <w:divsChild>
                                        <w:div w:id="1407536245">
                                          <w:marLeft w:val="0"/>
                                          <w:marRight w:val="0"/>
                                          <w:marTop w:val="0"/>
                                          <w:marBottom w:val="0"/>
                                          <w:divBdr>
                                            <w:top w:val="none" w:sz="0" w:space="0" w:color="auto"/>
                                            <w:left w:val="none" w:sz="0" w:space="0" w:color="auto"/>
                                            <w:bottom w:val="none" w:sz="0" w:space="0" w:color="auto"/>
                                            <w:right w:val="none" w:sz="0" w:space="0" w:color="auto"/>
                                          </w:divBdr>
                                          <w:divsChild>
                                            <w:div w:id="1407536229">
                                              <w:marLeft w:val="0"/>
                                              <w:marRight w:val="0"/>
                                              <w:marTop w:val="0"/>
                                              <w:marBottom w:val="0"/>
                                              <w:divBdr>
                                                <w:top w:val="none" w:sz="0" w:space="0" w:color="auto"/>
                                                <w:left w:val="none" w:sz="0" w:space="0" w:color="auto"/>
                                                <w:bottom w:val="none" w:sz="0" w:space="0" w:color="auto"/>
                                                <w:right w:val="none" w:sz="0" w:space="0" w:color="auto"/>
                                              </w:divBdr>
                                              <w:divsChild>
                                                <w:div w:id="1407536227">
                                                  <w:marLeft w:val="0"/>
                                                  <w:marRight w:val="0"/>
                                                  <w:marTop w:val="0"/>
                                                  <w:marBottom w:val="0"/>
                                                  <w:divBdr>
                                                    <w:top w:val="none" w:sz="0" w:space="0" w:color="auto"/>
                                                    <w:left w:val="none" w:sz="0" w:space="0" w:color="auto"/>
                                                    <w:bottom w:val="none" w:sz="0" w:space="0" w:color="auto"/>
                                                    <w:right w:val="none" w:sz="0" w:space="0" w:color="auto"/>
                                                  </w:divBdr>
                                                  <w:divsChild>
                                                    <w:div w:id="1407536233">
                                                      <w:marLeft w:val="0"/>
                                                      <w:marRight w:val="0"/>
                                                      <w:marTop w:val="0"/>
                                                      <w:marBottom w:val="0"/>
                                                      <w:divBdr>
                                                        <w:top w:val="none" w:sz="0" w:space="0" w:color="auto"/>
                                                        <w:left w:val="none" w:sz="0" w:space="0" w:color="auto"/>
                                                        <w:bottom w:val="none" w:sz="0" w:space="0" w:color="auto"/>
                                                        <w:right w:val="none" w:sz="0" w:space="0" w:color="auto"/>
                                                      </w:divBdr>
                                                      <w:divsChild>
                                                        <w:div w:id="1407536225">
                                                          <w:marLeft w:val="0"/>
                                                          <w:marRight w:val="0"/>
                                                          <w:marTop w:val="0"/>
                                                          <w:marBottom w:val="0"/>
                                                          <w:divBdr>
                                                            <w:top w:val="none" w:sz="0" w:space="0" w:color="auto"/>
                                                            <w:left w:val="none" w:sz="0" w:space="0" w:color="auto"/>
                                                            <w:bottom w:val="none" w:sz="0" w:space="0" w:color="auto"/>
                                                            <w:right w:val="none" w:sz="0" w:space="0" w:color="auto"/>
                                                          </w:divBdr>
                                                        </w:div>
                                                        <w:div w:id="1407536234">
                                                          <w:marLeft w:val="0"/>
                                                          <w:marRight w:val="0"/>
                                                          <w:marTop w:val="0"/>
                                                          <w:marBottom w:val="0"/>
                                                          <w:divBdr>
                                                            <w:top w:val="none" w:sz="0" w:space="0" w:color="auto"/>
                                                            <w:left w:val="none" w:sz="0" w:space="0" w:color="auto"/>
                                                            <w:bottom w:val="none" w:sz="0" w:space="0" w:color="auto"/>
                                                            <w:right w:val="none" w:sz="0" w:space="0" w:color="auto"/>
                                                          </w:divBdr>
                                                        </w:div>
                                                        <w:div w:id="1407536239">
                                                          <w:marLeft w:val="0"/>
                                                          <w:marRight w:val="0"/>
                                                          <w:marTop w:val="0"/>
                                                          <w:marBottom w:val="0"/>
                                                          <w:divBdr>
                                                            <w:top w:val="none" w:sz="0" w:space="0" w:color="auto"/>
                                                            <w:left w:val="none" w:sz="0" w:space="0" w:color="auto"/>
                                                            <w:bottom w:val="none" w:sz="0" w:space="0" w:color="auto"/>
                                                            <w:right w:val="none" w:sz="0" w:space="0" w:color="auto"/>
                                                          </w:divBdr>
                                                        </w:div>
                                                        <w:div w:id="1407536247">
                                                          <w:marLeft w:val="0"/>
                                                          <w:marRight w:val="0"/>
                                                          <w:marTop w:val="0"/>
                                                          <w:marBottom w:val="0"/>
                                                          <w:divBdr>
                                                            <w:top w:val="none" w:sz="0" w:space="0" w:color="auto"/>
                                                            <w:left w:val="none" w:sz="0" w:space="0" w:color="auto"/>
                                                            <w:bottom w:val="none" w:sz="0" w:space="0" w:color="auto"/>
                                                            <w:right w:val="none" w:sz="0" w:space="0" w:color="auto"/>
                                                          </w:divBdr>
                                                        </w:div>
                                                        <w:div w:id="14075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536235">
      <w:marLeft w:val="0"/>
      <w:marRight w:val="0"/>
      <w:marTop w:val="0"/>
      <w:marBottom w:val="0"/>
      <w:divBdr>
        <w:top w:val="none" w:sz="0" w:space="0" w:color="auto"/>
        <w:left w:val="none" w:sz="0" w:space="0" w:color="auto"/>
        <w:bottom w:val="none" w:sz="0" w:space="0" w:color="auto"/>
        <w:right w:val="none" w:sz="0" w:space="0" w:color="auto"/>
      </w:divBdr>
      <w:divsChild>
        <w:div w:id="1407536209">
          <w:marLeft w:val="0"/>
          <w:marRight w:val="0"/>
          <w:marTop w:val="0"/>
          <w:marBottom w:val="0"/>
          <w:divBdr>
            <w:top w:val="none" w:sz="0" w:space="0" w:color="auto"/>
            <w:left w:val="none" w:sz="0" w:space="0" w:color="auto"/>
            <w:bottom w:val="none" w:sz="0" w:space="0" w:color="auto"/>
            <w:right w:val="none" w:sz="0" w:space="0" w:color="auto"/>
          </w:divBdr>
          <w:divsChild>
            <w:div w:id="1407536212">
              <w:marLeft w:val="0"/>
              <w:marRight w:val="0"/>
              <w:marTop w:val="0"/>
              <w:marBottom w:val="0"/>
              <w:divBdr>
                <w:top w:val="none" w:sz="0" w:space="0" w:color="auto"/>
                <w:left w:val="none" w:sz="0" w:space="0" w:color="auto"/>
                <w:bottom w:val="none" w:sz="0" w:space="0" w:color="auto"/>
                <w:right w:val="none" w:sz="0" w:space="0" w:color="auto"/>
              </w:divBdr>
              <w:divsChild>
                <w:div w:id="1407536231">
                  <w:marLeft w:val="0"/>
                  <w:marRight w:val="0"/>
                  <w:marTop w:val="0"/>
                  <w:marBottom w:val="0"/>
                  <w:divBdr>
                    <w:top w:val="none" w:sz="0" w:space="0" w:color="auto"/>
                    <w:left w:val="none" w:sz="0" w:space="0" w:color="auto"/>
                    <w:bottom w:val="none" w:sz="0" w:space="0" w:color="auto"/>
                    <w:right w:val="none" w:sz="0" w:space="0" w:color="auto"/>
                  </w:divBdr>
                  <w:divsChild>
                    <w:div w:id="1407536252">
                      <w:marLeft w:val="0"/>
                      <w:marRight w:val="0"/>
                      <w:marTop w:val="0"/>
                      <w:marBottom w:val="0"/>
                      <w:divBdr>
                        <w:top w:val="none" w:sz="0" w:space="0" w:color="auto"/>
                        <w:left w:val="none" w:sz="0" w:space="0" w:color="auto"/>
                        <w:bottom w:val="none" w:sz="0" w:space="0" w:color="auto"/>
                        <w:right w:val="none" w:sz="0" w:space="0" w:color="auto"/>
                      </w:divBdr>
                      <w:divsChild>
                        <w:div w:id="1407536259">
                          <w:marLeft w:val="0"/>
                          <w:marRight w:val="0"/>
                          <w:marTop w:val="0"/>
                          <w:marBottom w:val="0"/>
                          <w:divBdr>
                            <w:top w:val="none" w:sz="0" w:space="0" w:color="auto"/>
                            <w:left w:val="none" w:sz="0" w:space="0" w:color="auto"/>
                            <w:bottom w:val="none" w:sz="0" w:space="0" w:color="auto"/>
                            <w:right w:val="none" w:sz="0" w:space="0" w:color="auto"/>
                          </w:divBdr>
                          <w:divsChild>
                            <w:div w:id="1407536243">
                              <w:marLeft w:val="0"/>
                              <w:marRight w:val="0"/>
                              <w:marTop w:val="0"/>
                              <w:marBottom w:val="0"/>
                              <w:divBdr>
                                <w:top w:val="none" w:sz="0" w:space="0" w:color="auto"/>
                                <w:left w:val="none" w:sz="0" w:space="0" w:color="auto"/>
                                <w:bottom w:val="none" w:sz="0" w:space="0" w:color="auto"/>
                                <w:right w:val="none" w:sz="0" w:space="0" w:color="auto"/>
                              </w:divBdr>
                              <w:divsChild>
                                <w:div w:id="1407536230">
                                  <w:marLeft w:val="0"/>
                                  <w:marRight w:val="0"/>
                                  <w:marTop w:val="0"/>
                                  <w:marBottom w:val="0"/>
                                  <w:divBdr>
                                    <w:top w:val="none" w:sz="0" w:space="0" w:color="auto"/>
                                    <w:left w:val="none" w:sz="0" w:space="0" w:color="auto"/>
                                    <w:bottom w:val="none" w:sz="0" w:space="0" w:color="auto"/>
                                    <w:right w:val="none" w:sz="0" w:space="0" w:color="auto"/>
                                  </w:divBdr>
                                  <w:divsChild>
                                    <w:div w:id="1407536255">
                                      <w:marLeft w:val="0"/>
                                      <w:marRight w:val="0"/>
                                      <w:marTop w:val="0"/>
                                      <w:marBottom w:val="0"/>
                                      <w:divBdr>
                                        <w:top w:val="none" w:sz="0" w:space="0" w:color="auto"/>
                                        <w:left w:val="none" w:sz="0" w:space="0" w:color="auto"/>
                                        <w:bottom w:val="none" w:sz="0" w:space="0" w:color="auto"/>
                                        <w:right w:val="none" w:sz="0" w:space="0" w:color="auto"/>
                                      </w:divBdr>
                                      <w:divsChild>
                                        <w:div w:id="1407536204">
                                          <w:marLeft w:val="0"/>
                                          <w:marRight w:val="0"/>
                                          <w:marTop w:val="0"/>
                                          <w:marBottom w:val="0"/>
                                          <w:divBdr>
                                            <w:top w:val="none" w:sz="0" w:space="0" w:color="auto"/>
                                            <w:left w:val="none" w:sz="0" w:space="0" w:color="auto"/>
                                            <w:bottom w:val="none" w:sz="0" w:space="0" w:color="auto"/>
                                            <w:right w:val="none" w:sz="0" w:space="0" w:color="auto"/>
                                          </w:divBdr>
                                          <w:divsChild>
                                            <w:div w:id="1407536232">
                                              <w:marLeft w:val="0"/>
                                              <w:marRight w:val="0"/>
                                              <w:marTop w:val="0"/>
                                              <w:marBottom w:val="0"/>
                                              <w:divBdr>
                                                <w:top w:val="none" w:sz="0" w:space="0" w:color="auto"/>
                                                <w:left w:val="none" w:sz="0" w:space="0" w:color="auto"/>
                                                <w:bottom w:val="none" w:sz="0" w:space="0" w:color="auto"/>
                                                <w:right w:val="none" w:sz="0" w:space="0" w:color="auto"/>
                                              </w:divBdr>
                                              <w:divsChild>
                                                <w:div w:id="1407536242">
                                                  <w:marLeft w:val="0"/>
                                                  <w:marRight w:val="0"/>
                                                  <w:marTop w:val="0"/>
                                                  <w:marBottom w:val="0"/>
                                                  <w:divBdr>
                                                    <w:top w:val="none" w:sz="0" w:space="0" w:color="auto"/>
                                                    <w:left w:val="none" w:sz="0" w:space="0" w:color="auto"/>
                                                    <w:bottom w:val="none" w:sz="0" w:space="0" w:color="auto"/>
                                                    <w:right w:val="none" w:sz="0" w:space="0" w:color="auto"/>
                                                  </w:divBdr>
                                                  <w:divsChild>
                                                    <w:div w:id="1407536210">
                                                      <w:marLeft w:val="0"/>
                                                      <w:marRight w:val="0"/>
                                                      <w:marTop w:val="0"/>
                                                      <w:marBottom w:val="0"/>
                                                      <w:divBdr>
                                                        <w:top w:val="none" w:sz="0" w:space="0" w:color="auto"/>
                                                        <w:left w:val="none" w:sz="0" w:space="0" w:color="auto"/>
                                                        <w:bottom w:val="none" w:sz="0" w:space="0" w:color="auto"/>
                                                        <w:right w:val="none" w:sz="0" w:space="0" w:color="auto"/>
                                                      </w:divBdr>
                                                      <w:divsChild>
                                                        <w:div w:id="1407536201">
                                                          <w:marLeft w:val="0"/>
                                                          <w:marRight w:val="0"/>
                                                          <w:marTop w:val="0"/>
                                                          <w:marBottom w:val="0"/>
                                                          <w:divBdr>
                                                            <w:top w:val="none" w:sz="0" w:space="0" w:color="auto"/>
                                                            <w:left w:val="none" w:sz="0" w:space="0" w:color="auto"/>
                                                            <w:bottom w:val="none" w:sz="0" w:space="0" w:color="auto"/>
                                                            <w:right w:val="none" w:sz="0" w:space="0" w:color="auto"/>
                                                          </w:divBdr>
                                                        </w:div>
                                                        <w:div w:id="1407536203">
                                                          <w:marLeft w:val="0"/>
                                                          <w:marRight w:val="0"/>
                                                          <w:marTop w:val="0"/>
                                                          <w:marBottom w:val="0"/>
                                                          <w:divBdr>
                                                            <w:top w:val="none" w:sz="0" w:space="0" w:color="auto"/>
                                                            <w:left w:val="none" w:sz="0" w:space="0" w:color="auto"/>
                                                            <w:bottom w:val="none" w:sz="0" w:space="0" w:color="auto"/>
                                                            <w:right w:val="none" w:sz="0" w:space="0" w:color="auto"/>
                                                          </w:divBdr>
                                                        </w:div>
                                                        <w:div w:id="1407536205">
                                                          <w:marLeft w:val="0"/>
                                                          <w:marRight w:val="0"/>
                                                          <w:marTop w:val="0"/>
                                                          <w:marBottom w:val="0"/>
                                                          <w:divBdr>
                                                            <w:top w:val="none" w:sz="0" w:space="0" w:color="auto"/>
                                                            <w:left w:val="none" w:sz="0" w:space="0" w:color="auto"/>
                                                            <w:bottom w:val="none" w:sz="0" w:space="0" w:color="auto"/>
                                                            <w:right w:val="none" w:sz="0" w:space="0" w:color="auto"/>
                                                          </w:divBdr>
                                                        </w:div>
                                                        <w:div w:id="1407536206">
                                                          <w:marLeft w:val="0"/>
                                                          <w:marRight w:val="0"/>
                                                          <w:marTop w:val="0"/>
                                                          <w:marBottom w:val="0"/>
                                                          <w:divBdr>
                                                            <w:top w:val="none" w:sz="0" w:space="0" w:color="auto"/>
                                                            <w:left w:val="none" w:sz="0" w:space="0" w:color="auto"/>
                                                            <w:bottom w:val="none" w:sz="0" w:space="0" w:color="auto"/>
                                                            <w:right w:val="none" w:sz="0" w:space="0" w:color="auto"/>
                                                          </w:divBdr>
                                                        </w:div>
                                                        <w:div w:id="1407536207">
                                                          <w:marLeft w:val="0"/>
                                                          <w:marRight w:val="0"/>
                                                          <w:marTop w:val="0"/>
                                                          <w:marBottom w:val="0"/>
                                                          <w:divBdr>
                                                            <w:top w:val="none" w:sz="0" w:space="0" w:color="auto"/>
                                                            <w:left w:val="none" w:sz="0" w:space="0" w:color="auto"/>
                                                            <w:bottom w:val="none" w:sz="0" w:space="0" w:color="auto"/>
                                                            <w:right w:val="none" w:sz="0" w:space="0" w:color="auto"/>
                                                          </w:divBdr>
                                                        </w:div>
                                                        <w:div w:id="1407536214">
                                                          <w:marLeft w:val="0"/>
                                                          <w:marRight w:val="0"/>
                                                          <w:marTop w:val="0"/>
                                                          <w:marBottom w:val="0"/>
                                                          <w:divBdr>
                                                            <w:top w:val="none" w:sz="0" w:space="0" w:color="auto"/>
                                                            <w:left w:val="none" w:sz="0" w:space="0" w:color="auto"/>
                                                            <w:bottom w:val="none" w:sz="0" w:space="0" w:color="auto"/>
                                                            <w:right w:val="none" w:sz="0" w:space="0" w:color="auto"/>
                                                          </w:divBdr>
                                                        </w:div>
                                                        <w:div w:id="1407536215">
                                                          <w:marLeft w:val="0"/>
                                                          <w:marRight w:val="0"/>
                                                          <w:marTop w:val="0"/>
                                                          <w:marBottom w:val="0"/>
                                                          <w:divBdr>
                                                            <w:top w:val="none" w:sz="0" w:space="0" w:color="auto"/>
                                                            <w:left w:val="none" w:sz="0" w:space="0" w:color="auto"/>
                                                            <w:bottom w:val="none" w:sz="0" w:space="0" w:color="auto"/>
                                                            <w:right w:val="none" w:sz="0" w:space="0" w:color="auto"/>
                                                          </w:divBdr>
                                                        </w:div>
                                                        <w:div w:id="1407536216">
                                                          <w:marLeft w:val="0"/>
                                                          <w:marRight w:val="0"/>
                                                          <w:marTop w:val="0"/>
                                                          <w:marBottom w:val="0"/>
                                                          <w:divBdr>
                                                            <w:top w:val="none" w:sz="0" w:space="0" w:color="auto"/>
                                                            <w:left w:val="none" w:sz="0" w:space="0" w:color="auto"/>
                                                            <w:bottom w:val="none" w:sz="0" w:space="0" w:color="auto"/>
                                                            <w:right w:val="none" w:sz="0" w:space="0" w:color="auto"/>
                                                          </w:divBdr>
                                                        </w:div>
                                                        <w:div w:id="1407536218">
                                                          <w:marLeft w:val="0"/>
                                                          <w:marRight w:val="0"/>
                                                          <w:marTop w:val="0"/>
                                                          <w:marBottom w:val="0"/>
                                                          <w:divBdr>
                                                            <w:top w:val="none" w:sz="0" w:space="0" w:color="auto"/>
                                                            <w:left w:val="none" w:sz="0" w:space="0" w:color="auto"/>
                                                            <w:bottom w:val="none" w:sz="0" w:space="0" w:color="auto"/>
                                                            <w:right w:val="none" w:sz="0" w:space="0" w:color="auto"/>
                                                          </w:divBdr>
                                                        </w:div>
                                                        <w:div w:id="1407536221">
                                                          <w:marLeft w:val="0"/>
                                                          <w:marRight w:val="0"/>
                                                          <w:marTop w:val="0"/>
                                                          <w:marBottom w:val="0"/>
                                                          <w:divBdr>
                                                            <w:top w:val="none" w:sz="0" w:space="0" w:color="auto"/>
                                                            <w:left w:val="none" w:sz="0" w:space="0" w:color="auto"/>
                                                            <w:bottom w:val="none" w:sz="0" w:space="0" w:color="auto"/>
                                                            <w:right w:val="none" w:sz="0" w:space="0" w:color="auto"/>
                                                          </w:divBdr>
                                                        </w:div>
                                                        <w:div w:id="1407536224">
                                                          <w:marLeft w:val="0"/>
                                                          <w:marRight w:val="0"/>
                                                          <w:marTop w:val="0"/>
                                                          <w:marBottom w:val="0"/>
                                                          <w:divBdr>
                                                            <w:top w:val="none" w:sz="0" w:space="0" w:color="auto"/>
                                                            <w:left w:val="none" w:sz="0" w:space="0" w:color="auto"/>
                                                            <w:bottom w:val="none" w:sz="0" w:space="0" w:color="auto"/>
                                                            <w:right w:val="none" w:sz="0" w:space="0" w:color="auto"/>
                                                          </w:divBdr>
                                                        </w:div>
                                                        <w:div w:id="1407536228">
                                                          <w:marLeft w:val="0"/>
                                                          <w:marRight w:val="0"/>
                                                          <w:marTop w:val="0"/>
                                                          <w:marBottom w:val="0"/>
                                                          <w:divBdr>
                                                            <w:top w:val="none" w:sz="0" w:space="0" w:color="auto"/>
                                                            <w:left w:val="none" w:sz="0" w:space="0" w:color="auto"/>
                                                            <w:bottom w:val="none" w:sz="0" w:space="0" w:color="auto"/>
                                                            <w:right w:val="none" w:sz="0" w:space="0" w:color="auto"/>
                                                          </w:divBdr>
                                                        </w:div>
                                                        <w:div w:id="1407536236">
                                                          <w:marLeft w:val="0"/>
                                                          <w:marRight w:val="0"/>
                                                          <w:marTop w:val="0"/>
                                                          <w:marBottom w:val="0"/>
                                                          <w:divBdr>
                                                            <w:top w:val="none" w:sz="0" w:space="0" w:color="auto"/>
                                                            <w:left w:val="none" w:sz="0" w:space="0" w:color="auto"/>
                                                            <w:bottom w:val="none" w:sz="0" w:space="0" w:color="auto"/>
                                                            <w:right w:val="none" w:sz="0" w:space="0" w:color="auto"/>
                                                          </w:divBdr>
                                                        </w:div>
                                                        <w:div w:id="1407536237">
                                                          <w:marLeft w:val="0"/>
                                                          <w:marRight w:val="0"/>
                                                          <w:marTop w:val="0"/>
                                                          <w:marBottom w:val="0"/>
                                                          <w:divBdr>
                                                            <w:top w:val="none" w:sz="0" w:space="0" w:color="auto"/>
                                                            <w:left w:val="none" w:sz="0" w:space="0" w:color="auto"/>
                                                            <w:bottom w:val="none" w:sz="0" w:space="0" w:color="auto"/>
                                                            <w:right w:val="none" w:sz="0" w:space="0" w:color="auto"/>
                                                          </w:divBdr>
                                                        </w:div>
                                                        <w:div w:id="1407536238">
                                                          <w:marLeft w:val="0"/>
                                                          <w:marRight w:val="0"/>
                                                          <w:marTop w:val="0"/>
                                                          <w:marBottom w:val="0"/>
                                                          <w:divBdr>
                                                            <w:top w:val="none" w:sz="0" w:space="0" w:color="auto"/>
                                                            <w:left w:val="none" w:sz="0" w:space="0" w:color="auto"/>
                                                            <w:bottom w:val="none" w:sz="0" w:space="0" w:color="auto"/>
                                                            <w:right w:val="none" w:sz="0" w:space="0" w:color="auto"/>
                                                          </w:divBdr>
                                                        </w:div>
                                                        <w:div w:id="1407536244">
                                                          <w:marLeft w:val="0"/>
                                                          <w:marRight w:val="0"/>
                                                          <w:marTop w:val="0"/>
                                                          <w:marBottom w:val="0"/>
                                                          <w:divBdr>
                                                            <w:top w:val="none" w:sz="0" w:space="0" w:color="auto"/>
                                                            <w:left w:val="none" w:sz="0" w:space="0" w:color="auto"/>
                                                            <w:bottom w:val="none" w:sz="0" w:space="0" w:color="auto"/>
                                                            <w:right w:val="none" w:sz="0" w:space="0" w:color="auto"/>
                                                          </w:divBdr>
                                                        </w:div>
                                                        <w:div w:id="1407536246">
                                                          <w:marLeft w:val="0"/>
                                                          <w:marRight w:val="0"/>
                                                          <w:marTop w:val="0"/>
                                                          <w:marBottom w:val="0"/>
                                                          <w:divBdr>
                                                            <w:top w:val="none" w:sz="0" w:space="0" w:color="auto"/>
                                                            <w:left w:val="none" w:sz="0" w:space="0" w:color="auto"/>
                                                            <w:bottom w:val="none" w:sz="0" w:space="0" w:color="auto"/>
                                                            <w:right w:val="none" w:sz="0" w:space="0" w:color="auto"/>
                                                          </w:divBdr>
                                                        </w:div>
                                                        <w:div w:id="1407536248">
                                                          <w:marLeft w:val="0"/>
                                                          <w:marRight w:val="0"/>
                                                          <w:marTop w:val="0"/>
                                                          <w:marBottom w:val="0"/>
                                                          <w:divBdr>
                                                            <w:top w:val="none" w:sz="0" w:space="0" w:color="auto"/>
                                                            <w:left w:val="none" w:sz="0" w:space="0" w:color="auto"/>
                                                            <w:bottom w:val="none" w:sz="0" w:space="0" w:color="auto"/>
                                                            <w:right w:val="none" w:sz="0" w:space="0" w:color="auto"/>
                                                          </w:divBdr>
                                                        </w:div>
                                                        <w:div w:id="1407536250">
                                                          <w:marLeft w:val="0"/>
                                                          <w:marRight w:val="0"/>
                                                          <w:marTop w:val="0"/>
                                                          <w:marBottom w:val="0"/>
                                                          <w:divBdr>
                                                            <w:top w:val="none" w:sz="0" w:space="0" w:color="auto"/>
                                                            <w:left w:val="none" w:sz="0" w:space="0" w:color="auto"/>
                                                            <w:bottom w:val="none" w:sz="0" w:space="0" w:color="auto"/>
                                                            <w:right w:val="none" w:sz="0" w:space="0" w:color="auto"/>
                                                          </w:divBdr>
                                                        </w:div>
                                                        <w:div w:id="1407536251">
                                                          <w:marLeft w:val="0"/>
                                                          <w:marRight w:val="0"/>
                                                          <w:marTop w:val="0"/>
                                                          <w:marBottom w:val="0"/>
                                                          <w:divBdr>
                                                            <w:top w:val="none" w:sz="0" w:space="0" w:color="auto"/>
                                                            <w:left w:val="none" w:sz="0" w:space="0" w:color="auto"/>
                                                            <w:bottom w:val="none" w:sz="0" w:space="0" w:color="auto"/>
                                                            <w:right w:val="none" w:sz="0" w:space="0" w:color="auto"/>
                                                          </w:divBdr>
                                                        </w:div>
                                                        <w:div w:id="1407536253">
                                                          <w:marLeft w:val="0"/>
                                                          <w:marRight w:val="0"/>
                                                          <w:marTop w:val="0"/>
                                                          <w:marBottom w:val="0"/>
                                                          <w:divBdr>
                                                            <w:top w:val="none" w:sz="0" w:space="0" w:color="auto"/>
                                                            <w:left w:val="none" w:sz="0" w:space="0" w:color="auto"/>
                                                            <w:bottom w:val="none" w:sz="0" w:space="0" w:color="auto"/>
                                                            <w:right w:val="none" w:sz="0" w:space="0" w:color="auto"/>
                                                          </w:divBdr>
                                                        </w:div>
                                                        <w:div w:id="1407536256">
                                                          <w:marLeft w:val="0"/>
                                                          <w:marRight w:val="0"/>
                                                          <w:marTop w:val="0"/>
                                                          <w:marBottom w:val="0"/>
                                                          <w:divBdr>
                                                            <w:top w:val="none" w:sz="0" w:space="0" w:color="auto"/>
                                                            <w:left w:val="none" w:sz="0" w:space="0" w:color="auto"/>
                                                            <w:bottom w:val="none" w:sz="0" w:space="0" w:color="auto"/>
                                                            <w:right w:val="none" w:sz="0" w:space="0" w:color="auto"/>
                                                          </w:divBdr>
                                                        </w:div>
                                                        <w:div w:id="1407536258">
                                                          <w:marLeft w:val="0"/>
                                                          <w:marRight w:val="0"/>
                                                          <w:marTop w:val="0"/>
                                                          <w:marBottom w:val="0"/>
                                                          <w:divBdr>
                                                            <w:top w:val="none" w:sz="0" w:space="0" w:color="auto"/>
                                                            <w:left w:val="none" w:sz="0" w:space="0" w:color="auto"/>
                                                            <w:bottom w:val="none" w:sz="0" w:space="0" w:color="auto"/>
                                                            <w:right w:val="none" w:sz="0" w:space="0" w:color="auto"/>
                                                          </w:divBdr>
                                                        </w:div>
                                                        <w:div w:id="14075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536254">
      <w:marLeft w:val="0"/>
      <w:marRight w:val="0"/>
      <w:marTop w:val="0"/>
      <w:marBottom w:val="0"/>
      <w:divBdr>
        <w:top w:val="none" w:sz="0" w:space="0" w:color="auto"/>
        <w:left w:val="none" w:sz="0" w:space="0" w:color="auto"/>
        <w:bottom w:val="none" w:sz="0" w:space="0" w:color="auto"/>
        <w:right w:val="none" w:sz="0" w:space="0" w:color="auto"/>
      </w:divBdr>
    </w:div>
    <w:div w:id="1407536257">
      <w:marLeft w:val="0"/>
      <w:marRight w:val="0"/>
      <w:marTop w:val="0"/>
      <w:marBottom w:val="0"/>
      <w:divBdr>
        <w:top w:val="none" w:sz="0" w:space="0" w:color="auto"/>
        <w:left w:val="none" w:sz="0" w:space="0" w:color="auto"/>
        <w:bottom w:val="none" w:sz="0" w:space="0" w:color="auto"/>
        <w:right w:val="none" w:sz="0" w:space="0" w:color="auto"/>
      </w:divBdr>
      <w:divsChild>
        <w:div w:id="140753621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4008B-351F-4935-832B-D758B8CFB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6054</Words>
  <Characters>32696</Characters>
  <Application>Microsoft Office Word</Application>
  <DocSecurity>0</DocSecurity>
  <Lines>272</Lines>
  <Paragraphs>77</Paragraphs>
  <ScaleCrop>false</ScaleCrop>
  <Company>ANVISA</Company>
  <LinksUpToDate>false</LinksUpToDate>
  <CharactersWithSpaces>38673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ÍNDICE</dc:title>
  <dc:subject/>
  <dc:creator>Denise Carvalho Goncalves</dc:creator>
  <cp:keywords/>
  <dc:description/>
  <cp:lastModifiedBy>Julia de Souza Ferreira</cp:lastModifiedBy>
  <cp:revision>2</cp:revision>
  <cp:lastPrinted>2017-06-20T18:42:00Z</cp:lastPrinted>
  <dcterms:created xsi:type="dcterms:W3CDTF">2018-08-16T18:53:00Z</dcterms:created>
  <dcterms:modified xsi:type="dcterms:W3CDTF">2018-08-16T18:53:00Z</dcterms:modified>
</cp:coreProperties>
</file>