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B89" w:rsidRPr="002E579F" w:rsidRDefault="000A2B89" w:rsidP="00317154">
      <w:pPr>
        <w:pStyle w:val="Ttulo1"/>
        <w:ind w:left="-851" w:right="-852"/>
        <w:divId w:val="664363434"/>
        <w:rPr>
          <w:rFonts w:ascii="Times New Roman" w:hAnsi="Times New Roman" w:cs="Times New Roman"/>
          <w:sz w:val="24"/>
          <w:szCs w:val="24"/>
        </w:rPr>
      </w:pPr>
      <w:bookmarkStart w:id="0" w:name="_GoBack"/>
      <w:bookmarkEnd w:id="0"/>
      <w:r w:rsidRPr="002E579F">
        <w:rPr>
          <w:rFonts w:ascii="Times New Roman" w:hAnsi="Times New Roman" w:cs="Times New Roman"/>
          <w:sz w:val="24"/>
          <w:szCs w:val="24"/>
        </w:rPr>
        <w:t xml:space="preserve">RESOLUÇÃO DE DIRETORIA COLEGIADA – RDC </w:t>
      </w:r>
      <w:r w:rsidR="00317154" w:rsidRPr="002E579F">
        <w:rPr>
          <w:rFonts w:ascii="Times New Roman" w:hAnsi="Times New Roman" w:cs="Times New Roman"/>
          <w:sz w:val="24"/>
          <w:szCs w:val="24"/>
        </w:rPr>
        <w:t>Nº 69, DE 22 DE OUTUBRO DE 2007</w:t>
      </w:r>
    </w:p>
    <w:p w:rsidR="00317154" w:rsidRPr="002E579F" w:rsidRDefault="00317154" w:rsidP="00317154">
      <w:pPr>
        <w:jc w:val="center"/>
        <w:divId w:val="664363434"/>
        <w:rPr>
          <w:b/>
          <w:color w:val="0000FF"/>
        </w:rPr>
      </w:pPr>
      <w:r w:rsidRPr="002E579F">
        <w:rPr>
          <w:b/>
          <w:color w:val="0000FF"/>
        </w:rPr>
        <w:t>(Publicada no DOU nº 204, de 23 de outubro de 2007)</w:t>
      </w:r>
    </w:p>
    <w:p w:rsidR="00317154" w:rsidRPr="002E579F" w:rsidRDefault="00317154" w:rsidP="00317154">
      <w:pPr>
        <w:jc w:val="center"/>
        <w:divId w:val="664363434"/>
        <w:rPr>
          <w:b/>
          <w:color w:val="0000FF"/>
        </w:rPr>
      </w:pPr>
      <w:r w:rsidRPr="002E579F">
        <w:rPr>
          <w:b/>
          <w:color w:val="0000FF"/>
        </w:rPr>
        <w:t>(Revogada pela Resolução – RDC nº 239, de 26 de julho de 2018)</w:t>
      </w:r>
    </w:p>
    <w:p w:rsidR="00317154" w:rsidRPr="002E579F" w:rsidRDefault="00317154" w:rsidP="000A2B89">
      <w:pPr>
        <w:pStyle w:val="Ttulo1"/>
        <w:divId w:val="664363434"/>
        <w:rPr>
          <w:rFonts w:ascii="Times New Roman" w:hAnsi="Times New Roman" w:cs="Times New Roman"/>
          <w:strike/>
          <w:sz w:val="24"/>
          <w:szCs w:val="24"/>
        </w:rPr>
      </w:pPr>
    </w:p>
    <w:p w:rsidR="000A2B89" w:rsidRPr="002E579F" w:rsidRDefault="000A2B89" w:rsidP="000A2B89">
      <w:pPr>
        <w:pStyle w:val="Ttulo"/>
        <w:spacing w:before="100" w:beforeAutospacing="1" w:after="100" w:afterAutospacing="1"/>
        <w:ind w:firstLine="567"/>
        <w:jc w:val="both"/>
        <w:divId w:val="664363434"/>
        <w:rPr>
          <w:rFonts w:ascii="Times New Roman" w:hAnsi="Times New Roman" w:cs="Times New Roman"/>
          <w:strike/>
          <w:lang w:val="pt-BR"/>
        </w:rPr>
      </w:pPr>
      <w:r w:rsidRPr="002E579F">
        <w:rPr>
          <w:rFonts w:ascii="Times New Roman" w:hAnsi="Times New Roman" w:cs="Times New Roman"/>
          <w:b/>
          <w:bCs/>
          <w:strike/>
          <w:lang w:val="pt-BR"/>
        </w:rPr>
        <w:t>A Diretoria Colegiada da Agência Nacional de Vigilância Sanitária</w:t>
      </w:r>
      <w:r w:rsidRPr="002E579F">
        <w:rPr>
          <w:rFonts w:ascii="Times New Roman" w:hAnsi="Times New Roman" w:cs="Times New Roman"/>
          <w:strike/>
          <w:lang w:val="pt-BR"/>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17 de outubro de 2007,</w:t>
      </w:r>
    </w:p>
    <w:p w:rsidR="000A2B89" w:rsidRPr="002E579F" w:rsidRDefault="000A2B89" w:rsidP="000A2B89">
      <w:pPr>
        <w:pStyle w:val="Ttulo"/>
        <w:spacing w:before="100" w:beforeAutospacing="1" w:after="100" w:afterAutospacing="1"/>
        <w:ind w:firstLine="567"/>
        <w:jc w:val="both"/>
        <w:divId w:val="664363434"/>
        <w:rPr>
          <w:rFonts w:ascii="Times New Roman" w:hAnsi="Times New Roman" w:cs="Times New Roman"/>
          <w:strike/>
          <w:lang w:val="pt-BR"/>
        </w:rPr>
      </w:pPr>
      <w:r w:rsidRPr="002E579F">
        <w:rPr>
          <w:rFonts w:ascii="Times New Roman" w:hAnsi="Times New Roman" w:cs="Times New Roman"/>
          <w:strike/>
          <w:lang w:val="pt-BR"/>
        </w:rPr>
        <w:t>considerando a necessidade de constante aperfeiçoamento das ações de controle sanitário na área de alimentos, visando à proteção da saúde da população;</w:t>
      </w:r>
    </w:p>
    <w:p w:rsidR="000A2B89" w:rsidRPr="002E579F" w:rsidRDefault="000A2B89" w:rsidP="000A2B89">
      <w:pPr>
        <w:pStyle w:val="Ttulo"/>
        <w:spacing w:before="100" w:beforeAutospacing="1" w:after="100" w:afterAutospacing="1"/>
        <w:ind w:firstLine="567"/>
        <w:jc w:val="both"/>
        <w:divId w:val="664363434"/>
        <w:rPr>
          <w:rFonts w:ascii="Times New Roman" w:hAnsi="Times New Roman" w:cs="Times New Roman"/>
          <w:strike/>
          <w:lang w:val="pt-BR"/>
        </w:rPr>
      </w:pPr>
      <w:r w:rsidRPr="002E579F">
        <w:rPr>
          <w:rFonts w:ascii="Times New Roman" w:hAnsi="Times New Roman" w:cs="Times New Roman"/>
          <w:strike/>
          <w:lang w:val="pt-BR"/>
        </w:rPr>
        <w:t>considerando a necessidade de segurança de uso dos aditivos na fabricação de alimentos;</w:t>
      </w:r>
    </w:p>
    <w:p w:rsidR="000A2B89" w:rsidRPr="002E579F" w:rsidRDefault="000A2B89" w:rsidP="000A2B89">
      <w:pPr>
        <w:pStyle w:val="Ttulo"/>
        <w:spacing w:before="100" w:beforeAutospacing="1" w:after="100" w:afterAutospacing="1"/>
        <w:ind w:firstLine="567"/>
        <w:jc w:val="both"/>
        <w:divId w:val="664363434"/>
        <w:rPr>
          <w:rFonts w:ascii="Times New Roman" w:hAnsi="Times New Roman" w:cs="Times New Roman"/>
          <w:strike/>
          <w:lang w:val="pt-BR"/>
        </w:rPr>
      </w:pPr>
      <w:r w:rsidRPr="002E579F">
        <w:rPr>
          <w:rFonts w:ascii="Times New Roman" w:hAnsi="Times New Roman" w:cs="Times New Roman"/>
          <w:strike/>
          <w:lang w:val="pt-BR"/>
        </w:rPr>
        <w:t>considerando que o uso de aditivos deve ser limitado a alimentos específicos, em condições específicas e ao menor nível para alcançar o efeito desejado;</w:t>
      </w:r>
    </w:p>
    <w:p w:rsidR="000A2B89" w:rsidRPr="002E579F" w:rsidRDefault="000A2B89" w:rsidP="000A2B89">
      <w:pPr>
        <w:pStyle w:val="Ttulo"/>
        <w:spacing w:before="100" w:beforeAutospacing="1" w:after="100" w:afterAutospacing="1"/>
        <w:ind w:firstLine="567"/>
        <w:jc w:val="both"/>
        <w:divId w:val="664363434"/>
        <w:rPr>
          <w:rFonts w:ascii="Times New Roman" w:hAnsi="Times New Roman" w:cs="Times New Roman"/>
          <w:strike/>
          <w:lang w:val="pt-BR"/>
        </w:rPr>
      </w:pPr>
      <w:r w:rsidRPr="002E579F">
        <w:rPr>
          <w:rFonts w:ascii="Times New Roman" w:hAnsi="Times New Roman" w:cs="Times New Roman"/>
          <w:strike/>
          <w:lang w:val="pt-BR"/>
        </w:rPr>
        <w:t>considerando que foram apresentadas justificativas tecnológicas para os usos propostos dos aditivos;</w:t>
      </w:r>
    </w:p>
    <w:p w:rsidR="000A2B89" w:rsidRPr="002E579F" w:rsidRDefault="000A2B89" w:rsidP="000A2B89">
      <w:pPr>
        <w:pStyle w:val="Ttulo"/>
        <w:spacing w:before="100" w:beforeAutospacing="1" w:after="100" w:afterAutospacing="1"/>
        <w:ind w:firstLine="567"/>
        <w:jc w:val="both"/>
        <w:divId w:val="664363434"/>
        <w:rPr>
          <w:rFonts w:ascii="Times New Roman" w:hAnsi="Times New Roman" w:cs="Times New Roman"/>
          <w:strike/>
          <w:lang w:val="pt-BR"/>
        </w:rPr>
      </w:pPr>
      <w:r w:rsidRPr="002E579F">
        <w:rPr>
          <w:rFonts w:ascii="Times New Roman" w:hAnsi="Times New Roman" w:cs="Times New Roman"/>
          <w:strike/>
          <w:lang w:val="pt-BR"/>
        </w:rPr>
        <w:t xml:space="preserve">considerando que estes foram avaliados pelo </w:t>
      </w:r>
      <w:r w:rsidRPr="002E579F">
        <w:rPr>
          <w:rFonts w:ascii="Times New Roman" w:hAnsi="Times New Roman" w:cs="Times New Roman"/>
          <w:i/>
          <w:iCs/>
          <w:strike/>
          <w:lang w:val="pt-BR"/>
        </w:rPr>
        <w:t>Joint FAO/WHO Expert Committee on Food Additives</w:t>
      </w:r>
      <w:r w:rsidRPr="002E579F">
        <w:rPr>
          <w:rFonts w:ascii="Times New Roman" w:hAnsi="Times New Roman" w:cs="Times New Roman"/>
          <w:strike/>
          <w:lang w:val="pt-BR"/>
        </w:rPr>
        <w:t xml:space="preserve"> – JECFA;</w:t>
      </w:r>
    </w:p>
    <w:p w:rsidR="000A2B89" w:rsidRPr="002E579F" w:rsidRDefault="000A2B89" w:rsidP="000A2B89">
      <w:pPr>
        <w:pStyle w:val="Ttulo"/>
        <w:spacing w:before="100" w:beforeAutospacing="1" w:after="100" w:afterAutospacing="1"/>
        <w:ind w:firstLine="567"/>
        <w:jc w:val="both"/>
        <w:divId w:val="664363434"/>
        <w:rPr>
          <w:rFonts w:ascii="Times New Roman" w:hAnsi="Times New Roman" w:cs="Times New Roman"/>
          <w:strike/>
          <w:lang w:val="pt-BR"/>
        </w:rPr>
      </w:pPr>
      <w:r w:rsidRPr="002E579F">
        <w:rPr>
          <w:rFonts w:ascii="Times New Roman" w:hAnsi="Times New Roman" w:cs="Times New Roman"/>
          <w:strike/>
          <w:lang w:val="pt-BR"/>
        </w:rPr>
        <w:t>considerando que os mesmos constam da Lista Geral Harmonizada de Aditivos do Mercosul – Resolução GMC nº. 11 de 2006, nas funções estabelecidas neste Regulamento Técnico;</w:t>
      </w:r>
    </w:p>
    <w:p w:rsidR="000A2B89" w:rsidRPr="002E579F" w:rsidRDefault="000A2B89" w:rsidP="000A2B89">
      <w:pPr>
        <w:pStyle w:val="Ttulo"/>
        <w:spacing w:before="100" w:beforeAutospacing="1" w:after="100" w:afterAutospacing="1"/>
        <w:ind w:firstLine="567"/>
        <w:jc w:val="both"/>
        <w:divId w:val="664363434"/>
        <w:rPr>
          <w:rFonts w:ascii="Times New Roman" w:hAnsi="Times New Roman" w:cs="Times New Roman"/>
          <w:strike/>
          <w:lang w:val="pt-BR"/>
        </w:rPr>
      </w:pPr>
      <w:r w:rsidRPr="002E579F">
        <w:rPr>
          <w:rFonts w:ascii="Times New Roman" w:hAnsi="Times New Roman" w:cs="Times New Roman"/>
          <w:strike/>
          <w:lang w:val="pt-BR"/>
        </w:rPr>
        <w:t>considerando que as estimativas de exposição aos aditivos nos usos propostos não ultrapassam os seus respectivos valores de Ingestão Diária Aceitável – IDA;</w:t>
      </w:r>
    </w:p>
    <w:p w:rsidR="000A2B89" w:rsidRPr="002E579F" w:rsidRDefault="000A2B89" w:rsidP="000A2B89">
      <w:pPr>
        <w:pStyle w:val="Ttulo"/>
        <w:spacing w:before="100" w:beforeAutospacing="1" w:after="100" w:afterAutospacing="1"/>
        <w:ind w:firstLine="567"/>
        <w:jc w:val="both"/>
        <w:divId w:val="664363434"/>
        <w:rPr>
          <w:rFonts w:ascii="Times New Roman" w:hAnsi="Times New Roman" w:cs="Times New Roman"/>
          <w:strike/>
          <w:lang w:val="pt-BR"/>
        </w:rPr>
      </w:pPr>
      <w:r w:rsidRPr="002E579F">
        <w:rPr>
          <w:rFonts w:ascii="Times New Roman" w:hAnsi="Times New Roman" w:cs="Times New Roman"/>
          <w:strike/>
          <w:lang w:val="pt-BR"/>
        </w:rPr>
        <w:t>adota a seguinte Resolução de Diretoria Colegiada e eu, Diretor Presidente Substituto, determino a sua publicação:</w:t>
      </w:r>
    </w:p>
    <w:p w:rsidR="005C50CC" w:rsidRPr="002E579F" w:rsidRDefault="005C50CC" w:rsidP="000A2B89">
      <w:pPr>
        <w:pStyle w:val="Ttulo"/>
        <w:spacing w:before="100" w:beforeAutospacing="1" w:after="100" w:afterAutospacing="1"/>
        <w:ind w:firstLine="567"/>
        <w:jc w:val="both"/>
        <w:divId w:val="664363434"/>
        <w:rPr>
          <w:rFonts w:ascii="Times New Roman" w:hAnsi="Times New Roman" w:cs="Times New Roman"/>
          <w:strike/>
          <w:lang w:val="pt-BR"/>
        </w:rPr>
      </w:pPr>
    </w:p>
    <w:p w:rsidR="000A2B89" w:rsidRPr="002E579F" w:rsidRDefault="000A2B89" w:rsidP="000A2B89">
      <w:pPr>
        <w:pStyle w:val="Ttulo"/>
        <w:spacing w:before="100" w:beforeAutospacing="1" w:after="100" w:afterAutospacing="1"/>
        <w:ind w:firstLine="567"/>
        <w:jc w:val="both"/>
        <w:divId w:val="664363434"/>
        <w:rPr>
          <w:rFonts w:ascii="Times New Roman" w:hAnsi="Times New Roman" w:cs="Times New Roman"/>
          <w:strike/>
          <w:lang w:val="pt-BR"/>
        </w:rPr>
      </w:pPr>
      <w:r w:rsidRPr="002E579F">
        <w:rPr>
          <w:rFonts w:ascii="Times New Roman" w:hAnsi="Times New Roman" w:cs="Times New Roman"/>
          <w:strike/>
          <w:lang w:val="pt-BR"/>
        </w:rPr>
        <w:lastRenderedPageBreak/>
        <w:t>Art. 1</w:t>
      </w:r>
      <w:r w:rsidRPr="002E579F">
        <w:rPr>
          <w:rFonts w:ascii="Times New Roman" w:hAnsi="Times New Roman" w:cs="Times New Roman"/>
          <w:strike/>
          <w:lang w:val="pt-BR"/>
        </w:rPr>
        <w:sym w:font="Symbol" w:char="F0B0"/>
      </w:r>
      <w:r w:rsidRPr="002E579F">
        <w:rPr>
          <w:rFonts w:ascii="Times New Roman" w:hAnsi="Times New Roman" w:cs="Times New Roman"/>
          <w:strike/>
          <w:lang w:val="pt-BR"/>
        </w:rPr>
        <w:t xml:space="preserve"> Aprovar a extensão de uso do aditivo INS 341ii fosfato dicálcico, fosfato dibásico de cálcio, fosfato de cálcio dibásico, hidrogênio ortofosfato de cálcio, fosfato de cálcio secundário, hidrogênio fosfato de cálcio ou hidrogênio monofosfato de cálcio, na função de veículo para suplementos minerais sólidos contendo substâncias bioativas.</w:t>
      </w:r>
    </w:p>
    <w:p w:rsidR="000A2B89" w:rsidRPr="002E579F" w:rsidRDefault="000A2B89" w:rsidP="000A2B89">
      <w:pPr>
        <w:pStyle w:val="Ttulo"/>
        <w:spacing w:before="100" w:beforeAutospacing="1" w:after="100" w:afterAutospacing="1"/>
        <w:ind w:firstLine="567"/>
        <w:jc w:val="both"/>
        <w:divId w:val="664363434"/>
        <w:rPr>
          <w:rFonts w:ascii="Times New Roman" w:hAnsi="Times New Roman" w:cs="Times New Roman"/>
          <w:strike/>
          <w:lang w:val="pt-BR"/>
        </w:rPr>
      </w:pPr>
      <w:r w:rsidRPr="002E579F">
        <w:rPr>
          <w:rFonts w:ascii="Times New Roman" w:hAnsi="Times New Roman" w:cs="Times New Roman"/>
          <w:strike/>
          <w:lang w:val="pt-BR"/>
        </w:rPr>
        <w:t>Art. 2</w:t>
      </w:r>
      <w:r w:rsidRPr="002E579F">
        <w:rPr>
          <w:rFonts w:ascii="Times New Roman" w:hAnsi="Times New Roman" w:cs="Times New Roman"/>
          <w:strike/>
          <w:lang w:val="pt-BR"/>
        </w:rPr>
        <w:sym w:font="Symbol" w:char="F0B0"/>
      </w:r>
      <w:r w:rsidRPr="002E579F">
        <w:rPr>
          <w:rFonts w:ascii="Times New Roman" w:hAnsi="Times New Roman" w:cs="Times New Roman"/>
          <w:strike/>
          <w:lang w:val="pt-BR"/>
        </w:rPr>
        <w:t xml:space="preserve"> Aprovar a inclusão de uso dos aditivos INS 172i óxido de ferro preto, INS 172ii óxido de ferro vermelho e INS 172iii óxido de ferro amarelo, na função de corantes para aplicação exclusiva na superfície de suplementos vitamínicos e ou minerais sólidos, no limite máximo de 0,3g/100g. </w:t>
      </w:r>
    </w:p>
    <w:p w:rsidR="000A2B89" w:rsidRPr="002E579F" w:rsidRDefault="000A2B89" w:rsidP="000A2B89">
      <w:pPr>
        <w:pStyle w:val="Ttulo"/>
        <w:spacing w:before="100" w:beforeAutospacing="1" w:after="100" w:afterAutospacing="1"/>
        <w:ind w:firstLine="567"/>
        <w:jc w:val="both"/>
        <w:divId w:val="664363434"/>
        <w:rPr>
          <w:rFonts w:ascii="Times New Roman" w:hAnsi="Times New Roman" w:cs="Times New Roman"/>
          <w:strike/>
          <w:lang w:val="pt-BR"/>
        </w:rPr>
      </w:pPr>
      <w:r w:rsidRPr="002E579F">
        <w:rPr>
          <w:rFonts w:ascii="Times New Roman" w:hAnsi="Times New Roman" w:cs="Times New Roman"/>
          <w:strike/>
          <w:lang w:val="pt-BR"/>
        </w:rPr>
        <w:t>Art. 3</w:t>
      </w:r>
      <w:r w:rsidRPr="002E579F">
        <w:rPr>
          <w:rFonts w:ascii="Times New Roman" w:hAnsi="Times New Roman" w:cs="Times New Roman"/>
          <w:strike/>
          <w:lang w:val="pt-BR"/>
        </w:rPr>
        <w:sym w:font="Symbol" w:char="F0B0"/>
      </w:r>
      <w:r w:rsidRPr="002E579F">
        <w:rPr>
          <w:rFonts w:ascii="Times New Roman" w:hAnsi="Times New Roman" w:cs="Times New Roman"/>
          <w:strike/>
          <w:lang w:val="pt-BR"/>
        </w:rPr>
        <w:t xml:space="preserve"> Aprovar o limite máximo de uso de 0,9g/100g para o aditivo INS 433 monooleato de polioxietileno (20) sorbitana, polisorbato 80, na função de emulsificante em suplementos vitamínicos e ou minerais sólidos. </w:t>
      </w:r>
    </w:p>
    <w:p w:rsidR="000A2B89" w:rsidRPr="002E579F" w:rsidRDefault="000A2B89" w:rsidP="000A2B89">
      <w:pPr>
        <w:pStyle w:val="Ttulo"/>
        <w:spacing w:before="100" w:beforeAutospacing="1" w:after="100" w:afterAutospacing="1"/>
        <w:ind w:firstLine="567"/>
        <w:jc w:val="both"/>
        <w:divId w:val="664363434"/>
        <w:rPr>
          <w:rFonts w:ascii="Times New Roman" w:hAnsi="Times New Roman" w:cs="Times New Roman"/>
          <w:strike/>
          <w:lang w:val="pt-BR"/>
        </w:rPr>
      </w:pPr>
      <w:r w:rsidRPr="002E579F">
        <w:rPr>
          <w:rFonts w:ascii="Times New Roman" w:hAnsi="Times New Roman" w:cs="Times New Roman"/>
          <w:strike/>
          <w:lang w:val="pt-BR"/>
        </w:rPr>
        <w:t>Art. 4</w:t>
      </w:r>
      <w:r w:rsidRPr="002E579F">
        <w:rPr>
          <w:rFonts w:ascii="Times New Roman" w:hAnsi="Times New Roman" w:cs="Times New Roman"/>
          <w:strike/>
          <w:lang w:val="pt-BR"/>
        </w:rPr>
        <w:sym w:font="Symbol" w:char="F0B0"/>
      </w:r>
      <w:r w:rsidRPr="002E579F">
        <w:rPr>
          <w:rFonts w:ascii="Times New Roman" w:hAnsi="Times New Roman" w:cs="Times New Roman"/>
          <w:strike/>
          <w:lang w:val="pt-BR"/>
        </w:rPr>
        <w:t xml:space="preserve"> O descumprimento desta Resolução constitui infração sanitária, sujeitando os infratores às penalidades da Lei n</w:t>
      </w:r>
      <w:r w:rsidRPr="002E579F">
        <w:rPr>
          <w:rFonts w:ascii="Times New Roman" w:hAnsi="Times New Roman" w:cs="Times New Roman"/>
          <w:strike/>
          <w:lang w:val="pt-BR"/>
        </w:rPr>
        <w:sym w:font="Symbol" w:char="F0B0"/>
      </w:r>
      <w:r w:rsidRPr="002E579F">
        <w:rPr>
          <w:rFonts w:ascii="Times New Roman" w:hAnsi="Times New Roman" w:cs="Times New Roman"/>
          <w:strike/>
          <w:lang w:val="pt-BR"/>
        </w:rPr>
        <w:t>. 6.437, de 20 de agosto de 1977, e demais disposições aplicáveis.</w:t>
      </w:r>
    </w:p>
    <w:p w:rsidR="000A2B89" w:rsidRPr="002E579F" w:rsidRDefault="000A2B89" w:rsidP="000A2B89">
      <w:pPr>
        <w:pStyle w:val="Ttulo"/>
        <w:spacing w:before="100" w:beforeAutospacing="1" w:after="100" w:afterAutospacing="1"/>
        <w:ind w:firstLine="567"/>
        <w:jc w:val="both"/>
        <w:divId w:val="664363434"/>
        <w:rPr>
          <w:rFonts w:ascii="Times New Roman" w:hAnsi="Times New Roman" w:cs="Times New Roman"/>
          <w:strike/>
          <w:lang w:val="pt-BR"/>
        </w:rPr>
      </w:pPr>
      <w:r w:rsidRPr="002E579F">
        <w:rPr>
          <w:rFonts w:ascii="Times New Roman" w:hAnsi="Times New Roman" w:cs="Times New Roman"/>
          <w:strike/>
          <w:lang w:val="pt-BR"/>
        </w:rPr>
        <w:t>Art. 5</w:t>
      </w:r>
      <w:r w:rsidRPr="002E579F">
        <w:rPr>
          <w:rFonts w:ascii="Times New Roman" w:hAnsi="Times New Roman" w:cs="Times New Roman"/>
          <w:strike/>
          <w:lang w:val="pt-BR"/>
        </w:rPr>
        <w:sym w:font="Symbol" w:char="F0B0"/>
      </w:r>
      <w:r w:rsidRPr="002E579F">
        <w:rPr>
          <w:rFonts w:ascii="Times New Roman" w:hAnsi="Times New Roman" w:cs="Times New Roman"/>
          <w:strike/>
          <w:lang w:val="pt-BR"/>
        </w:rPr>
        <w:t xml:space="preserve"> Revogam-se as disposições em contrário.</w:t>
      </w:r>
    </w:p>
    <w:p w:rsidR="000A2B89" w:rsidRDefault="000A2B89" w:rsidP="000A2B89">
      <w:pPr>
        <w:pStyle w:val="Ttulo"/>
        <w:spacing w:before="100" w:beforeAutospacing="1" w:after="100" w:afterAutospacing="1"/>
        <w:ind w:firstLine="567"/>
        <w:jc w:val="both"/>
        <w:divId w:val="664363434"/>
        <w:rPr>
          <w:rFonts w:ascii="Times New Roman" w:hAnsi="Times New Roman" w:cs="Times New Roman"/>
          <w:strike/>
          <w:lang w:val="pt-BR"/>
        </w:rPr>
      </w:pPr>
      <w:r w:rsidRPr="002E579F">
        <w:rPr>
          <w:rFonts w:ascii="Times New Roman" w:hAnsi="Times New Roman" w:cs="Times New Roman"/>
          <w:strike/>
          <w:lang w:val="pt-BR"/>
        </w:rPr>
        <w:t>Art. 6</w:t>
      </w:r>
      <w:r w:rsidRPr="002E579F">
        <w:rPr>
          <w:rFonts w:ascii="Times New Roman" w:hAnsi="Times New Roman" w:cs="Times New Roman"/>
          <w:strike/>
          <w:lang w:val="pt-BR"/>
        </w:rPr>
        <w:sym w:font="Symbol" w:char="F0B0"/>
      </w:r>
      <w:r w:rsidRPr="002E579F">
        <w:rPr>
          <w:rFonts w:ascii="Times New Roman" w:hAnsi="Times New Roman" w:cs="Times New Roman"/>
          <w:strike/>
          <w:lang w:val="pt-BR"/>
        </w:rPr>
        <w:t xml:space="preserve"> Esta Resolução de Diretoria Colegiada entra em vigor na data de sua publicação. </w:t>
      </w:r>
    </w:p>
    <w:p w:rsidR="002E579F" w:rsidRPr="002E579F" w:rsidRDefault="002E579F" w:rsidP="000A2B89">
      <w:pPr>
        <w:pStyle w:val="Ttulo"/>
        <w:spacing w:before="100" w:beforeAutospacing="1" w:after="100" w:afterAutospacing="1"/>
        <w:ind w:firstLine="567"/>
        <w:jc w:val="both"/>
        <w:divId w:val="664363434"/>
        <w:rPr>
          <w:rFonts w:ascii="Times New Roman" w:hAnsi="Times New Roman" w:cs="Times New Roman"/>
          <w:strike/>
          <w:lang w:val="pt-BR"/>
        </w:rPr>
      </w:pPr>
    </w:p>
    <w:p w:rsidR="000A2B89" w:rsidRPr="002E579F" w:rsidRDefault="000A2B89" w:rsidP="000A2B89">
      <w:pPr>
        <w:pStyle w:val="Ttulo2"/>
        <w:divId w:val="664363434"/>
        <w:rPr>
          <w:rFonts w:ascii="Times New Roman" w:hAnsi="Times New Roman" w:cs="Times New Roman"/>
          <w:strike/>
          <w:sz w:val="24"/>
          <w:szCs w:val="24"/>
        </w:rPr>
      </w:pPr>
      <w:r w:rsidRPr="002E579F">
        <w:rPr>
          <w:rFonts w:ascii="Times New Roman" w:hAnsi="Times New Roman" w:cs="Times New Roman"/>
          <w:strike/>
          <w:sz w:val="24"/>
          <w:szCs w:val="24"/>
        </w:rPr>
        <w:t>CLÁUDIO MAIEROVITCH PESSANHA HENRIQUES</w:t>
      </w:r>
    </w:p>
    <w:sectPr w:rsidR="000A2B89" w:rsidRPr="002E579F">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0DEE" w:rsidRDefault="005F0DEE" w:rsidP="00317154">
      <w:pPr>
        <w:spacing w:before="0" w:after="0"/>
      </w:pPr>
      <w:r>
        <w:separator/>
      </w:r>
    </w:p>
  </w:endnote>
  <w:endnote w:type="continuationSeparator" w:id="0">
    <w:p w:rsidR="005F0DEE" w:rsidRDefault="005F0DEE" w:rsidP="0031715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154" w:rsidRDefault="00317154" w:rsidP="00317154">
    <w:pPr>
      <w:tabs>
        <w:tab w:val="center" w:pos="4252"/>
        <w:tab w:val="right" w:pos="8504"/>
      </w:tabs>
      <w:spacing w:after="0"/>
      <w:jc w:val="center"/>
      <w:rPr>
        <w:rFonts w:ascii="Calibri" w:hAnsi="Calibri"/>
        <w:color w:val="943634"/>
      </w:rPr>
    </w:pPr>
  </w:p>
  <w:p w:rsidR="00317154" w:rsidRPr="00E41139" w:rsidRDefault="00317154" w:rsidP="00317154">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p w:rsidR="00317154" w:rsidRDefault="0031715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0DEE" w:rsidRDefault="005F0DEE" w:rsidP="00317154">
      <w:pPr>
        <w:spacing w:before="0" w:after="0"/>
      </w:pPr>
      <w:r>
        <w:separator/>
      </w:r>
    </w:p>
  </w:footnote>
  <w:footnote w:type="continuationSeparator" w:id="0">
    <w:p w:rsidR="005F0DEE" w:rsidRDefault="005F0DEE" w:rsidP="0031715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154" w:rsidRPr="00317154" w:rsidRDefault="005F0DEE" w:rsidP="00317154">
    <w:pPr>
      <w:tabs>
        <w:tab w:val="center" w:pos="4252"/>
        <w:tab w:val="right" w:pos="8504"/>
      </w:tabs>
      <w:spacing w:before="0" w:beforeAutospacing="0" w:after="0" w:afterAutospacing="0"/>
      <w:jc w:val="center"/>
      <w:rPr>
        <w:rFonts w:ascii="Calibri" w:hAnsi="Calibri"/>
        <w:noProof/>
        <w:sz w:val="22"/>
        <w:szCs w:val="22"/>
      </w:rPr>
    </w:pPr>
    <w:r w:rsidRPr="005F0DEE">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317154" w:rsidRPr="00317154" w:rsidRDefault="00317154" w:rsidP="00317154">
    <w:pPr>
      <w:tabs>
        <w:tab w:val="center" w:pos="4252"/>
        <w:tab w:val="right" w:pos="8504"/>
      </w:tabs>
      <w:spacing w:before="0" w:beforeAutospacing="0" w:after="0" w:afterAutospacing="0"/>
      <w:jc w:val="center"/>
      <w:rPr>
        <w:rFonts w:ascii="Calibri" w:hAnsi="Calibri"/>
        <w:b/>
        <w:noProof/>
        <w:sz w:val="22"/>
        <w:szCs w:val="22"/>
      </w:rPr>
    </w:pPr>
    <w:r w:rsidRPr="00317154">
      <w:rPr>
        <w:rFonts w:ascii="Calibri" w:hAnsi="Calibri"/>
        <w:b/>
        <w:noProof/>
        <w:sz w:val="22"/>
        <w:szCs w:val="22"/>
      </w:rPr>
      <w:t>Ministério da Saúde - MS</w:t>
    </w:r>
  </w:p>
  <w:p w:rsidR="00317154" w:rsidRDefault="00317154" w:rsidP="00317154">
    <w:pPr>
      <w:tabs>
        <w:tab w:val="center" w:pos="4252"/>
        <w:tab w:val="right" w:pos="8504"/>
      </w:tabs>
      <w:spacing w:before="0" w:beforeAutospacing="0" w:after="0" w:afterAutospacing="0"/>
      <w:jc w:val="center"/>
      <w:rPr>
        <w:rFonts w:ascii="Calibri" w:hAnsi="Calibri"/>
        <w:b/>
        <w:noProof/>
        <w:sz w:val="22"/>
        <w:szCs w:val="22"/>
      </w:rPr>
    </w:pPr>
    <w:r w:rsidRPr="00317154">
      <w:rPr>
        <w:rFonts w:ascii="Calibri" w:hAnsi="Calibri"/>
        <w:b/>
        <w:noProof/>
        <w:sz w:val="22"/>
        <w:szCs w:val="22"/>
      </w:rPr>
      <w:t xml:space="preserve">Agência Nacional de Vigilância Sanitária </w:t>
    </w:r>
    <w:r>
      <w:rPr>
        <w:rFonts w:ascii="Calibri" w:hAnsi="Calibri"/>
        <w:b/>
        <w:noProof/>
        <w:sz w:val="22"/>
        <w:szCs w:val="22"/>
      </w:rPr>
      <w:t>–</w:t>
    </w:r>
    <w:r w:rsidRPr="00317154">
      <w:rPr>
        <w:rFonts w:ascii="Calibri" w:hAnsi="Calibri"/>
        <w:b/>
        <w:noProof/>
        <w:sz w:val="22"/>
        <w:szCs w:val="22"/>
      </w:rPr>
      <w:t xml:space="preserve"> ANVISA</w:t>
    </w:r>
  </w:p>
  <w:p w:rsidR="00317154" w:rsidRPr="00317154" w:rsidRDefault="00317154" w:rsidP="00317154">
    <w:pPr>
      <w:tabs>
        <w:tab w:val="center" w:pos="4252"/>
        <w:tab w:val="right" w:pos="8504"/>
      </w:tabs>
      <w:spacing w:before="0" w:beforeAutospacing="0" w:after="0" w:afterAutospacing="0"/>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A2B89"/>
    <w:rsid w:val="000C2183"/>
    <w:rsid w:val="000F7751"/>
    <w:rsid w:val="001B7133"/>
    <w:rsid w:val="002A6BAF"/>
    <w:rsid w:val="002E579F"/>
    <w:rsid w:val="00317154"/>
    <w:rsid w:val="00401F84"/>
    <w:rsid w:val="00524060"/>
    <w:rsid w:val="005C50CC"/>
    <w:rsid w:val="005D13BD"/>
    <w:rsid w:val="005F0DEE"/>
    <w:rsid w:val="00652E8A"/>
    <w:rsid w:val="00680317"/>
    <w:rsid w:val="00771958"/>
    <w:rsid w:val="008B7BC0"/>
    <w:rsid w:val="008D770F"/>
    <w:rsid w:val="009D4C4B"/>
    <w:rsid w:val="009F4005"/>
    <w:rsid w:val="00A53197"/>
    <w:rsid w:val="00AF43E7"/>
    <w:rsid w:val="00B517AC"/>
    <w:rsid w:val="00C95A0B"/>
    <w:rsid w:val="00DF7C19"/>
    <w:rsid w:val="00E30878"/>
    <w:rsid w:val="00E41139"/>
    <w:rsid w:val="00FB639A"/>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Ttulo">
    <w:name w:val="Title"/>
    <w:basedOn w:val="Normal"/>
    <w:link w:val="TtuloChar"/>
    <w:uiPriority w:val="99"/>
    <w:qFormat/>
    <w:rsid w:val="000A2B89"/>
    <w:pPr>
      <w:spacing w:before="0" w:beforeAutospacing="0" w:after="0" w:afterAutospacing="0"/>
      <w:jc w:val="center"/>
    </w:pPr>
    <w:rPr>
      <w:rFonts w:ascii="Arial" w:hAnsi="Arial" w:cs="Arial"/>
      <w:lang w:val="en-US"/>
    </w:rPr>
  </w:style>
  <w:style w:type="character" w:customStyle="1" w:styleId="TtuloChar">
    <w:name w:val="Título Char"/>
    <w:basedOn w:val="Fontepargpadro"/>
    <w:link w:val="Ttulo"/>
    <w:uiPriority w:val="99"/>
    <w:locked/>
    <w:rsid w:val="000A2B89"/>
    <w:rPr>
      <w:rFonts w:ascii="Arial" w:eastAsiaTheme="minorEastAsia" w:hAnsi="Arial" w:cs="Arial"/>
      <w:sz w:val="24"/>
      <w:szCs w:val="24"/>
      <w:lang w:val="en-US" w:eastAsia="x-none"/>
    </w:rPr>
  </w:style>
  <w:style w:type="paragraph" w:styleId="Cabealho">
    <w:name w:val="header"/>
    <w:basedOn w:val="Normal"/>
    <w:link w:val="CabealhoChar"/>
    <w:uiPriority w:val="99"/>
    <w:rsid w:val="00317154"/>
    <w:pPr>
      <w:tabs>
        <w:tab w:val="center" w:pos="4252"/>
        <w:tab w:val="right" w:pos="8504"/>
      </w:tabs>
      <w:spacing w:before="0" w:after="0"/>
    </w:pPr>
  </w:style>
  <w:style w:type="character" w:customStyle="1" w:styleId="CabealhoChar">
    <w:name w:val="Cabeçalho Char"/>
    <w:basedOn w:val="Fontepargpadro"/>
    <w:link w:val="Cabealho"/>
    <w:uiPriority w:val="99"/>
    <w:locked/>
    <w:rsid w:val="00317154"/>
    <w:rPr>
      <w:rFonts w:eastAsiaTheme="minorEastAsia" w:cs="Times New Roman"/>
      <w:sz w:val="24"/>
      <w:szCs w:val="24"/>
    </w:rPr>
  </w:style>
  <w:style w:type="paragraph" w:styleId="Rodap">
    <w:name w:val="footer"/>
    <w:basedOn w:val="Normal"/>
    <w:link w:val="RodapChar"/>
    <w:uiPriority w:val="99"/>
    <w:rsid w:val="00317154"/>
    <w:pPr>
      <w:tabs>
        <w:tab w:val="center" w:pos="4252"/>
        <w:tab w:val="right" w:pos="8504"/>
      </w:tabs>
      <w:spacing w:before="0" w:after="0"/>
    </w:pPr>
  </w:style>
  <w:style w:type="character" w:customStyle="1" w:styleId="RodapChar">
    <w:name w:val="Rodapé Char"/>
    <w:basedOn w:val="Fontepargpadro"/>
    <w:link w:val="Rodap"/>
    <w:uiPriority w:val="99"/>
    <w:locked/>
    <w:rsid w:val="00317154"/>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363436">
      <w:marLeft w:val="150"/>
      <w:marRight w:val="150"/>
      <w:marTop w:val="150"/>
      <w:marBottom w:val="0"/>
      <w:divBdr>
        <w:top w:val="none" w:sz="0" w:space="0" w:color="auto"/>
        <w:left w:val="none" w:sz="0" w:space="0" w:color="auto"/>
        <w:bottom w:val="none" w:sz="0" w:space="0" w:color="auto"/>
        <w:right w:val="none" w:sz="0" w:space="0" w:color="auto"/>
      </w:divBdr>
      <w:divsChild>
        <w:div w:id="664363435">
          <w:marLeft w:val="0"/>
          <w:marRight w:val="0"/>
          <w:marTop w:val="0"/>
          <w:marBottom w:val="0"/>
          <w:divBdr>
            <w:top w:val="none" w:sz="0" w:space="0" w:color="auto"/>
            <w:left w:val="none" w:sz="0" w:space="0" w:color="auto"/>
            <w:bottom w:val="none" w:sz="0" w:space="0" w:color="auto"/>
            <w:right w:val="none" w:sz="0" w:space="0" w:color="auto"/>
          </w:divBdr>
          <w:divsChild>
            <w:div w:id="664363434">
              <w:marLeft w:val="0"/>
              <w:marRight w:val="0"/>
              <w:marTop w:val="75"/>
              <w:marBottom w:val="300"/>
              <w:divBdr>
                <w:top w:val="none" w:sz="0" w:space="0" w:color="auto"/>
                <w:left w:val="none" w:sz="0" w:space="0" w:color="auto"/>
                <w:bottom w:val="none" w:sz="0" w:space="0" w:color="auto"/>
                <w:right w:val="none" w:sz="0" w:space="0" w:color="auto"/>
              </w:divBdr>
            </w:div>
            <w:div w:id="664363437">
              <w:marLeft w:val="0"/>
              <w:marRight w:val="0"/>
              <w:marTop w:val="0"/>
              <w:marBottom w:val="0"/>
              <w:divBdr>
                <w:top w:val="single" w:sz="6" w:space="2" w:color="666666"/>
                <w:left w:val="none" w:sz="0" w:space="0" w:color="auto"/>
                <w:bottom w:val="single" w:sz="6" w:space="2" w:color="666666"/>
                <w:right w:val="none" w:sz="0" w:space="0" w:color="auto"/>
              </w:divBdr>
            </w:div>
            <w:div w:id="664363438">
              <w:marLeft w:val="0"/>
              <w:marRight w:val="0"/>
              <w:marTop w:val="150"/>
              <w:marBottom w:val="150"/>
              <w:divBdr>
                <w:top w:val="none" w:sz="0" w:space="0" w:color="auto"/>
                <w:left w:val="none" w:sz="0" w:space="0" w:color="auto"/>
                <w:bottom w:val="none" w:sz="0" w:space="0" w:color="auto"/>
                <w:right w:val="none" w:sz="0" w:space="0" w:color="auto"/>
              </w:divBdr>
            </w:div>
            <w:div w:id="664363439">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2455</Characters>
  <Application>Microsoft Office Word</Application>
  <DocSecurity>0</DocSecurity>
  <Lines>20</Lines>
  <Paragraphs>5</Paragraphs>
  <ScaleCrop>false</ScaleCrop>
  <Company>ANVISA</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2018-08-16T18:33:00Z</dcterms:created>
  <dcterms:modified xsi:type="dcterms:W3CDTF">2018-08-16T18:33:00Z</dcterms:modified>
</cp:coreProperties>
</file>