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271" w:rsidRDefault="00E17271" w:rsidP="00E17271">
      <w:pPr>
        <w:tabs>
          <w:tab w:val="left" w:pos="1560"/>
        </w:tabs>
        <w:autoSpaceDE w:val="0"/>
        <w:autoSpaceDN w:val="0"/>
        <w:adjustRightInd w:val="0"/>
        <w:spacing w:after="120" w:line="360" w:lineRule="auto"/>
        <w:ind w:firstLine="567"/>
        <w:jc w:val="center"/>
        <w:rPr>
          <w:b/>
          <w:sz w:val="24"/>
          <w:szCs w:val="24"/>
        </w:rPr>
      </w:pPr>
      <w:bookmarkStart w:id="0" w:name="_GoBack"/>
      <w:bookmarkEnd w:id="0"/>
      <w:r w:rsidRPr="00E17271">
        <w:rPr>
          <w:b/>
          <w:sz w:val="24"/>
          <w:szCs w:val="24"/>
        </w:rPr>
        <w:t>RESOLUÇÃO DA DIRETORIA COLEGIADA-RDC N</w:t>
      </w:r>
      <w:r w:rsidRPr="00E17271">
        <w:rPr>
          <w:b/>
          <w:szCs w:val="24"/>
          <w:vertAlign w:val="superscript"/>
        </w:rPr>
        <w:t>O</w:t>
      </w:r>
      <w:r w:rsidRPr="00E17271">
        <w:rPr>
          <w:b/>
          <w:szCs w:val="24"/>
        </w:rPr>
        <w:t xml:space="preserve"> </w:t>
      </w:r>
      <w:r w:rsidRPr="00E17271">
        <w:rPr>
          <w:b/>
          <w:sz w:val="24"/>
          <w:szCs w:val="24"/>
        </w:rPr>
        <w:t>78, DE 11 DE ABRIL DE 2003</w:t>
      </w:r>
    </w:p>
    <w:p w:rsidR="00E17271" w:rsidRPr="00E17271" w:rsidRDefault="00E17271" w:rsidP="00E17271">
      <w:pPr>
        <w:tabs>
          <w:tab w:val="left" w:pos="1560"/>
        </w:tabs>
        <w:autoSpaceDE w:val="0"/>
        <w:autoSpaceDN w:val="0"/>
        <w:adjustRightInd w:val="0"/>
        <w:spacing w:after="120" w:line="360" w:lineRule="auto"/>
        <w:ind w:firstLine="567"/>
        <w:jc w:val="center"/>
        <w:rPr>
          <w:b/>
          <w:color w:val="0000FF"/>
          <w:sz w:val="24"/>
          <w:szCs w:val="24"/>
        </w:rPr>
      </w:pPr>
      <w:r w:rsidRPr="00E17271">
        <w:rPr>
          <w:b/>
          <w:color w:val="0000FF"/>
          <w:sz w:val="24"/>
          <w:szCs w:val="24"/>
        </w:rPr>
        <w:t>(Publicada no DOU nº 72, de 14 de abril de 2003)</w:t>
      </w:r>
    </w:p>
    <w:p w:rsidR="00EE65B5" w:rsidRPr="00E17271" w:rsidRDefault="00EE65B5">
      <w:pPr>
        <w:autoSpaceDE w:val="0"/>
        <w:autoSpaceDN w:val="0"/>
        <w:adjustRightInd w:val="0"/>
        <w:ind w:firstLine="567"/>
        <w:jc w:val="both"/>
        <w:rPr>
          <w:sz w:val="24"/>
          <w:szCs w:val="24"/>
        </w:rPr>
      </w:pPr>
      <w:r w:rsidRPr="00E17271">
        <w:rPr>
          <w:sz w:val="24"/>
          <w:szCs w:val="24"/>
        </w:rPr>
        <w:t>A Diretoria Colegiada da Agência Nacional de Vigilância Sanitária, no uso da atribuição que lhe confere o art. 11, inciso IV, do Regulamento da Anvisa, aprovado pelo Decreto n</w:t>
      </w:r>
      <w:r w:rsidRPr="00E17271">
        <w:rPr>
          <w:sz w:val="24"/>
          <w:szCs w:val="24"/>
          <w:vertAlign w:val="superscript"/>
        </w:rPr>
        <w:t>o.</w:t>
      </w:r>
      <w:r w:rsidRPr="00E17271">
        <w:rPr>
          <w:sz w:val="24"/>
          <w:szCs w:val="24"/>
        </w:rPr>
        <w:t xml:space="preserve"> 3.029, de 16 de abril de 1999, c/c o art. 111, inciso I, alínea “b”, § 1º do Regimento Interno aprovado pela Portaria n</w:t>
      </w:r>
      <w:r w:rsidRPr="00E17271">
        <w:rPr>
          <w:sz w:val="24"/>
          <w:szCs w:val="24"/>
          <w:vertAlign w:val="superscript"/>
        </w:rPr>
        <w:t>o.</w:t>
      </w:r>
      <w:r w:rsidRPr="00E17271">
        <w:rPr>
          <w:sz w:val="24"/>
          <w:szCs w:val="24"/>
        </w:rPr>
        <w:t xml:space="preserve"> 593, de 25 de agosto de 2000, republicada em 22 de dezembro de 2000, em reunião realizada em 9 de abril de 2003,</w:t>
      </w:r>
    </w:p>
    <w:p w:rsidR="00EE65B5" w:rsidRPr="00E17271" w:rsidRDefault="00EE65B5">
      <w:pPr>
        <w:autoSpaceDE w:val="0"/>
        <w:autoSpaceDN w:val="0"/>
        <w:adjustRightInd w:val="0"/>
        <w:ind w:firstLine="567"/>
        <w:jc w:val="both"/>
        <w:rPr>
          <w:sz w:val="24"/>
          <w:szCs w:val="24"/>
        </w:rPr>
      </w:pPr>
    </w:p>
    <w:p w:rsidR="00EE65B5" w:rsidRPr="00E17271" w:rsidRDefault="00EE65B5">
      <w:pPr>
        <w:autoSpaceDE w:val="0"/>
        <w:autoSpaceDN w:val="0"/>
        <w:adjustRightInd w:val="0"/>
        <w:ind w:firstLine="567"/>
        <w:jc w:val="both"/>
        <w:rPr>
          <w:sz w:val="24"/>
          <w:szCs w:val="24"/>
        </w:rPr>
      </w:pPr>
      <w:r w:rsidRPr="00E17271">
        <w:rPr>
          <w:sz w:val="24"/>
          <w:szCs w:val="24"/>
        </w:rPr>
        <w:t>considerando o disposto no Art. 7</w:t>
      </w:r>
      <w:r w:rsidRPr="00E17271">
        <w:rPr>
          <w:sz w:val="24"/>
          <w:szCs w:val="24"/>
          <w:vertAlign w:val="superscript"/>
        </w:rPr>
        <w:t>º</w:t>
      </w:r>
      <w:r w:rsidRPr="00E17271">
        <w:rPr>
          <w:sz w:val="24"/>
          <w:szCs w:val="24"/>
        </w:rPr>
        <w:t xml:space="preserve"> da Lei no. 9.782, de 26 de janeiro de 1999;</w:t>
      </w:r>
    </w:p>
    <w:p w:rsidR="00EE65B5" w:rsidRPr="00E17271" w:rsidRDefault="00EE65B5">
      <w:pPr>
        <w:autoSpaceDE w:val="0"/>
        <w:autoSpaceDN w:val="0"/>
        <w:adjustRightInd w:val="0"/>
        <w:ind w:firstLine="567"/>
        <w:jc w:val="both"/>
        <w:rPr>
          <w:sz w:val="24"/>
          <w:szCs w:val="24"/>
        </w:rPr>
      </w:pPr>
    </w:p>
    <w:p w:rsidR="00EE65B5" w:rsidRPr="00E17271" w:rsidRDefault="00EE65B5">
      <w:pPr>
        <w:autoSpaceDE w:val="0"/>
        <w:autoSpaceDN w:val="0"/>
        <w:adjustRightInd w:val="0"/>
        <w:ind w:firstLine="567"/>
        <w:jc w:val="both"/>
        <w:rPr>
          <w:sz w:val="24"/>
          <w:szCs w:val="24"/>
        </w:rPr>
      </w:pPr>
      <w:r w:rsidRPr="00E17271">
        <w:rPr>
          <w:sz w:val="24"/>
          <w:szCs w:val="24"/>
        </w:rPr>
        <w:t>considerando as conclusões do Painel de Avaliação dos Hepatoprotetores, realizado em Brasília, em 3 de abril de 2002, publicadas no D.O.U. de 27 de fevereiro de 2003,</w:t>
      </w:r>
    </w:p>
    <w:p w:rsidR="00EE65B5" w:rsidRPr="00E17271" w:rsidRDefault="00EE65B5">
      <w:pPr>
        <w:autoSpaceDE w:val="0"/>
        <w:autoSpaceDN w:val="0"/>
        <w:adjustRightInd w:val="0"/>
        <w:ind w:firstLine="567"/>
        <w:jc w:val="both"/>
        <w:rPr>
          <w:sz w:val="24"/>
          <w:szCs w:val="24"/>
        </w:rPr>
      </w:pPr>
    </w:p>
    <w:p w:rsidR="00EE65B5" w:rsidRPr="00E17271" w:rsidRDefault="0061082E">
      <w:pPr>
        <w:pStyle w:val="Corpodetexto"/>
        <w:autoSpaceDE w:val="0"/>
        <w:autoSpaceDN w:val="0"/>
        <w:adjustRightInd w:val="0"/>
        <w:ind w:firstLine="567"/>
        <w:rPr>
          <w:rFonts w:ascii="Times New Roman" w:hAnsi="Times New Roman" w:cs="Times New Roman"/>
        </w:rPr>
      </w:pPr>
      <w:r>
        <w:rPr>
          <w:rFonts w:ascii="Times New Roman" w:hAnsi="Times New Roman" w:cs="Times New Roman"/>
        </w:rPr>
        <w:t>a</w:t>
      </w:r>
      <w:r w:rsidR="00EE65B5" w:rsidRPr="00E17271">
        <w:rPr>
          <w:rFonts w:ascii="Times New Roman" w:hAnsi="Times New Roman" w:cs="Times New Roman"/>
        </w:rPr>
        <w:t>dotou a seguinte Resolução da Diretoria Colegiada e eu, Diretor Presidente-Substituto, determino a sua publicação:</w:t>
      </w:r>
    </w:p>
    <w:p w:rsidR="00EE65B5" w:rsidRPr="00E17271" w:rsidRDefault="00EE65B5">
      <w:pPr>
        <w:tabs>
          <w:tab w:val="left" w:pos="3402"/>
        </w:tabs>
        <w:autoSpaceDE w:val="0"/>
        <w:autoSpaceDN w:val="0"/>
        <w:adjustRightInd w:val="0"/>
        <w:ind w:firstLine="567"/>
        <w:jc w:val="both"/>
        <w:rPr>
          <w:sz w:val="24"/>
          <w:szCs w:val="24"/>
        </w:rPr>
      </w:pPr>
    </w:p>
    <w:p w:rsidR="00EE65B5" w:rsidRPr="00E17271" w:rsidRDefault="00EE65B5">
      <w:pPr>
        <w:tabs>
          <w:tab w:val="left" w:pos="3402"/>
        </w:tabs>
        <w:autoSpaceDE w:val="0"/>
        <w:autoSpaceDN w:val="0"/>
        <w:adjustRightInd w:val="0"/>
        <w:ind w:firstLine="567"/>
        <w:jc w:val="both"/>
        <w:rPr>
          <w:sz w:val="24"/>
          <w:szCs w:val="24"/>
        </w:rPr>
      </w:pPr>
      <w:r w:rsidRPr="00E17271">
        <w:rPr>
          <w:sz w:val="24"/>
          <w:szCs w:val="24"/>
        </w:rPr>
        <w:t>Art. 1</w:t>
      </w:r>
      <w:r w:rsidRPr="00E17271">
        <w:rPr>
          <w:sz w:val="24"/>
          <w:szCs w:val="24"/>
          <w:vertAlign w:val="superscript"/>
        </w:rPr>
        <w:t>o</w:t>
      </w:r>
      <w:r w:rsidRPr="00E17271">
        <w:rPr>
          <w:sz w:val="24"/>
          <w:szCs w:val="24"/>
        </w:rPr>
        <w:t xml:space="preserve"> </w:t>
      </w:r>
      <w:r w:rsidRPr="00E17271">
        <w:rPr>
          <w:rFonts w:eastAsia="Times New Roman"/>
          <w:sz w:val="24"/>
          <w:szCs w:val="24"/>
        </w:rPr>
        <w:t>Por ocasião da primeira renovação</w:t>
      </w:r>
      <w:r w:rsidRPr="00E17271">
        <w:rPr>
          <w:sz w:val="24"/>
          <w:szCs w:val="24"/>
        </w:rPr>
        <w:t xml:space="preserve"> do registro, após publicação desta Resolução, os produtos que contenham em sua formulação os seguintes princípios ativos,</w:t>
      </w:r>
      <w:r w:rsidRPr="00E17271">
        <w:rPr>
          <w:rFonts w:eastAsia="Times New Roman"/>
          <w:sz w:val="24"/>
          <w:szCs w:val="24"/>
        </w:rPr>
        <w:t xml:space="preserve"> associados em doses fixas em uma mesma </w:t>
      </w:r>
      <w:r w:rsidRPr="00E17271">
        <w:rPr>
          <w:sz w:val="24"/>
          <w:szCs w:val="24"/>
        </w:rPr>
        <w:t>formulação ou duas ou mais apresentações em uma mesma embalagem para uso concomitante ou seqüencial,</w:t>
      </w:r>
      <w:r w:rsidRPr="00E17271">
        <w:rPr>
          <w:rFonts w:eastAsia="Times New Roman"/>
          <w:sz w:val="24"/>
          <w:szCs w:val="24"/>
        </w:rPr>
        <w:t xml:space="preserve"> ou isolados</w:t>
      </w:r>
      <w:r w:rsidRPr="00E17271">
        <w:rPr>
          <w:sz w:val="24"/>
          <w:szCs w:val="24"/>
        </w:rPr>
        <w:t xml:space="preserve">: Adenosina; </w:t>
      </w:r>
      <w:r w:rsidRPr="00E17271">
        <w:rPr>
          <w:sz w:val="24"/>
          <w:szCs w:val="24"/>
          <w:u w:val="single"/>
        </w:rPr>
        <w:t>Ripason</w:t>
      </w:r>
      <w:r w:rsidRPr="00E17271">
        <w:rPr>
          <w:sz w:val="24"/>
          <w:szCs w:val="24"/>
        </w:rPr>
        <w:t>; (nome comercial), Glycyrrhiza glabra L. - (Alcaçuz); Foeniculum vulgare Hill. - (Erva-doce, Funcho); Extratos e óleos de Mentha sp. (Hortelã); Mentol; Zingiber officinale Rosc. - (Gengibre); Remijia ferruginea DC - (Quina mineira); Extratos de Atropa belladonna L. - (extrato de Beladona); Extratos de Cynara scolymus L. - (Alcachofra); Extratos de Rhamnus purshiana DC. - (Extrato de Cáscara Sagrada); Extratos de Solanum paniculatum L. - (extrato de Jurubeba); Vitaminas do complexo B; Pothomorphe umbellata (L.) Miq. - (elixir, extrato de Capeba); Extrato de mucosa gástrica, Extrato de pâncreas, Extrato hepático, Extrato de bile; Princípio detoxificante do fígado e que tenham indicação profilática como hepatoprotetor, devem satisfazer as seguintes exigências e condições:</w:t>
      </w:r>
    </w:p>
    <w:p w:rsidR="00EE65B5" w:rsidRPr="00E17271" w:rsidRDefault="00EE65B5">
      <w:pPr>
        <w:tabs>
          <w:tab w:val="left" w:pos="3402"/>
        </w:tabs>
        <w:autoSpaceDE w:val="0"/>
        <w:autoSpaceDN w:val="0"/>
        <w:adjustRightInd w:val="0"/>
        <w:ind w:firstLine="567"/>
        <w:jc w:val="both"/>
        <w:rPr>
          <w:sz w:val="24"/>
          <w:szCs w:val="24"/>
        </w:rPr>
      </w:pPr>
    </w:p>
    <w:p w:rsidR="00EE65B5" w:rsidRPr="00E17271" w:rsidRDefault="00EE65B5">
      <w:pPr>
        <w:pStyle w:val="Corpodetexto"/>
        <w:ind w:firstLine="567"/>
        <w:rPr>
          <w:rFonts w:ascii="Times New Roman" w:hAnsi="Times New Roman" w:cs="Times New Roman"/>
        </w:rPr>
      </w:pPr>
      <w:r w:rsidRPr="00E17271">
        <w:rPr>
          <w:rFonts w:ascii="Times New Roman" w:hAnsi="Times New Roman" w:cs="Times New Roman"/>
        </w:rPr>
        <w:t>I - apresentar estudos clínicos de eficácia da monodroga ou da associação, publicados em revistas indexadas (Medline, Chemical Abstracts, Biosis, International Pharmaceutical Abstracts ou Biological Abstracts), ou estudos clínicos de eficácia de cada princípio ativo isolado desde que se apresente justificativa técnica de que a associação é racional, ou seja, de que os efeitos de cada princípio ativo são aditivos ou sinérgicos sem apresentar maior risco ao paciente, ou</w:t>
      </w:r>
    </w:p>
    <w:p w:rsidR="00EE65B5" w:rsidRPr="00E17271" w:rsidRDefault="00EE65B5">
      <w:pPr>
        <w:pStyle w:val="Corpodetexto"/>
        <w:ind w:firstLine="567"/>
        <w:rPr>
          <w:rFonts w:ascii="Times New Roman" w:hAnsi="Times New Roman" w:cs="Times New Roman"/>
        </w:rPr>
      </w:pPr>
    </w:p>
    <w:p w:rsidR="00EE65B5" w:rsidRPr="00E17271" w:rsidRDefault="00EE65B5">
      <w:pPr>
        <w:pStyle w:val="Corpodetexto"/>
        <w:ind w:firstLine="567"/>
        <w:rPr>
          <w:rFonts w:ascii="Times New Roman" w:hAnsi="Times New Roman" w:cs="Times New Roman"/>
        </w:rPr>
      </w:pPr>
      <w:r w:rsidRPr="00E17271">
        <w:rPr>
          <w:rFonts w:ascii="Times New Roman" w:hAnsi="Times New Roman" w:cs="Times New Roman"/>
        </w:rPr>
        <w:t>II - alterar a fórmula suprimindo estes princípios ativos quando se tratar de associações ou</w:t>
      </w:r>
    </w:p>
    <w:p w:rsidR="00EE65B5" w:rsidRPr="00E17271" w:rsidRDefault="00EE65B5">
      <w:pPr>
        <w:pStyle w:val="Corpodetexto"/>
        <w:ind w:firstLine="567"/>
        <w:rPr>
          <w:rFonts w:ascii="Times New Roman" w:hAnsi="Times New Roman" w:cs="Times New Roman"/>
        </w:rPr>
      </w:pPr>
    </w:p>
    <w:p w:rsidR="00EE65B5" w:rsidRPr="00E17271" w:rsidRDefault="00EE65B5">
      <w:pPr>
        <w:tabs>
          <w:tab w:val="left" w:pos="567"/>
        </w:tabs>
        <w:autoSpaceDE w:val="0"/>
        <w:autoSpaceDN w:val="0"/>
        <w:adjustRightInd w:val="0"/>
        <w:ind w:firstLine="567"/>
        <w:jc w:val="both"/>
        <w:rPr>
          <w:sz w:val="24"/>
          <w:szCs w:val="24"/>
        </w:rPr>
      </w:pPr>
      <w:r w:rsidRPr="00E17271">
        <w:rPr>
          <w:sz w:val="24"/>
          <w:szCs w:val="24"/>
        </w:rPr>
        <w:t>III - alterar a indicação terapêutica com comprovada eficácia.</w:t>
      </w:r>
    </w:p>
    <w:p w:rsidR="00EE65B5" w:rsidRPr="00E17271" w:rsidRDefault="00EE65B5">
      <w:pPr>
        <w:pStyle w:val="Corpodetexto3"/>
        <w:pBdr>
          <w:top w:val="none" w:sz="0" w:space="0" w:color="auto"/>
          <w:left w:val="none" w:sz="0" w:space="0" w:color="auto"/>
          <w:bottom w:val="none" w:sz="0" w:space="0" w:color="auto"/>
          <w:right w:val="none" w:sz="0" w:space="0" w:color="auto"/>
        </w:pBdr>
        <w:tabs>
          <w:tab w:val="left" w:pos="709"/>
        </w:tabs>
        <w:ind w:firstLine="567"/>
        <w:rPr>
          <w:rFonts w:ascii="Times New Roman" w:hAnsi="Times New Roman" w:cs="Times New Roman"/>
          <w:color w:val="auto"/>
        </w:rPr>
      </w:pPr>
    </w:p>
    <w:p w:rsidR="00EE65B5" w:rsidRPr="00E17271" w:rsidRDefault="00EE65B5">
      <w:pPr>
        <w:pStyle w:val="Corpodetexto3"/>
        <w:pBdr>
          <w:top w:val="none" w:sz="0" w:space="0" w:color="auto"/>
          <w:left w:val="none" w:sz="0" w:space="0" w:color="auto"/>
          <w:bottom w:val="none" w:sz="0" w:space="0" w:color="auto"/>
          <w:right w:val="none" w:sz="0" w:space="0" w:color="auto"/>
        </w:pBdr>
        <w:ind w:firstLine="567"/>
        <w:rPr>
          <w:rFonts w:ascii="Times New Roman" w:hAnsi="Times New Roman" w:cs="Times New Roman"/>
          <w:color w:val="auto"/>
        </w:rPr>
      </w:pPr>
      <w:r w:rsidRPr="00E17271">
        <w:rPr>
          <w:rFonts w:ascii="Times New Roman" w:hAnsi="Times New Roman" w:cs="Times New Roman"/>
          <w:color w:val="auto"/>
        </w:rPr>
        <w:t>§1</w:t>
      </w:r>
      <w:r w:rsidRPr="00E17271">
        <w:rPr>
          <w:rFonts w:ascii="Times New Roman" w:hAnsi="Times New Roman" w:cs="Times New Roman"/>
          <w:color w:val="auto"/>
          <w:vertAlign w:val="superscript"/>
        </w:rPr>
        <w:t>o</w:t>
      </w:r>
      <w:r w:rsidRPr="00E17271">
        <w:rPr>
          <w:rFonts w:ascii="Times New Roman" w:hAnsi="Times New Roman" w:cs="Times New Roman"/>
          <w:color w:val="auto"/>
        </w:rPr>
        <w:t xml:space="preserve"> O disposto no caput deste artigo não se aplica aos produtos</w:t>
      </w:r>
      <w:r w:rsidRPr="00E17271">
        <w:rPr>
          <w:rFonts w:ascii="Times New Roman" w:hAnsi="Times New Roman" w:cs="Times New Roman"/>
        </w:rPr>
        <w:t xml:space="preserve"> com registro válido até 15 de abril de 2004, devendo apresentar o que dispõe esta Resolução, na segunda renovação</w:t>
      </w:r>
      <w:r w:rsidRPr="00E17271">
        <w:rPr>
          <w:rFonts w:ascii="Times New Roman" w:hAnsi="Times New Roman" w:cs="Times New Roman"/>
          <w:color w:val="auto"/>
        </w:rPr>
        <w:t>.</w:t>
      </w:r>
    </w:p>
    <w:p w:rsidR="00EE65B5" w:rsidRPr="00E17271" w:rsidRDefault="00EE65B5">
      <w:pPr>
        <w:pStyle w:val="NormalWeb"/>
        <w:spacing w:before="0" w:after="0"/>
        <w:ind w:firstLine="567"/>
        <w:jc w:val="both"/>
      </w:pPr>
    </w:p>
    <w:p w:rsidR="00EE65B5" w:rsidRPr="00E17271" w:rsidRDefault="00EE65B5">
      <w:pPr>
        <w:pStyle w:val="NormalWeb"/>
        <w:spacing w:before="0" w:after="0"/>
        <w:ind w:firstLine="567"/>
        <w:jc w:val="both"/>
        <w:rPr>
          <w:rFonts w:eastAsia="Times New Roman"/>
        </w:rPr>
      </w:pPr>
      <w:r w:rsidRPr="00E17271">
        <w:t>§2</w:t>
      </w:r>
      <w:r w:rsidRPr="00E17271">
        <w:rPr>
          <w:vertAlign w:val="superscript"/>
        </w:rPr>
        <w:t>o</w:t>
      </w:r>
      <w:r w:rsidRPr="00E17271">
        <w:t xml:space="preserve"> Os produtos que não atenderem ao disposto no caput deste artigo não terão seus registros renovados </w:t>
      </w:r>
      <w:r w:rsidRPr="00E17271">
        <w:rPr>
          <w:rFonts w:eastAsia="Times New Roman"/>
        </w:rPr>
        <w:t xml:space="preserve">já que de acordo com o Relatório do “Painel de Avaliação dos Hepatoprotetores” (vide portal da ANVISA), esses produtos expõem a população a riscos sanitários desnecessários. </w:t>
      </w:r>
    </w:p>
    <w:p w:rsidR="00EE65B5" w:rsidRPr="00E17271" w:rsidRDefault="00EE65B5">
      <w:pPr>
        <w:pStyle w:val="NormalWeb"/>
        <w:spacing w:before="0" w:after="0"/>
        <w:ind w:firstLine="567"/>
        <w:jc w:val="both"/>
        <w:rPr>
          <w:rFonts w:eastAsia="Times New Roman"/>
        </w:rPr>
      </w:pPr>
    </w:p>
    <w:p w:rsidR="00EE65B5" w:rsidRPr="00E17271" w:rsidRDefault="00EE65B5">
      <w:pPr>
        <w:autoSpaceDE w:val="0"/>
        <w:autoSpaceDN w:val="0"/>
        <w:adjustRightInd w:val="0"/>
        <w:ind w:firstLine="567"/>
        <w:jc w:val="both"/>
        <w:rPr>
          <w:rFonts w:eastAsia="Times New Roman"/>
          <w:sz w:val="24"/>
          <w:szCs w:val="24"/>
        </w:rPr>
      </w:pPr>
      <w:r w:rsidRPr="00E17271">
        <w:rPr>
          <w:rFonts w:eastAsia="Times New Roman"/>
          <w:sz w:val="24"/>
          <w:szCs w:val="24"/>
        </w:rPr>
        <w:t>§3° Caso a empresa opte por alterar sua fórmula ou indicação terapêutica, poderá manter o seu registro, desde que apresente toda a documentação e comprovações segundo a legislação vigente.</w:t>
      </w:r>
    </w:p>
    <w:p w:rsidR="00EE65B5" w:rsidRPr="00E17271" w:rsidRDefault="00EE65B5">
      <w:pPr>
        <w:pStyle w:val="Corpodetexto"/>
        <w:autoSpaceDE w:val="0"/>
        <w:autoSpaceDN w:val="0"/>
        <w:adjustRightInd w:val="0"/>
        <w:ind w:firstLine="567"/>
        <w:rPr>
          <w:rFonts w:ascii="Times New Roman" w:hAnsi="Times New Roman" w:cs="Times New Roman"/>
        </w:rPr>
      </w:pPr>
    </w:p>
    <w:p w:rsidR="00EE65B5" w:rsidRPr="00E17271" w:rsidRDefault="00EE65B5">
      <w:pPr>
        <w:pStyle w:val="Corpodetexto"/>
        <w:autoSpaceDE w:val="0"/>
        <w:autoSpaceDN w:val="0"/>
        <w:adjustRightInd w:val="0"/>
        <w:ind w:firstLine="567"/>
        <w:rPr>
          <w:rFonts w:ascii="Times New Roman" w:hAnsi="Times New Roman" w:cs="Times New Roman"/>
        </w:rPr>
      </w:pPr>
      <w:r w:rsidRPr="00E17271">
        <w:rPr>
          <w:rFonts w:ascii="Times New Roman" w:hAnsi="Times New Roman" w:cs="Times New Roman"/>
        </w:rPr>
        <w:t>Art.2º Esta Resolução entra em vigor na data da sua publicação, revogando a RDC nº 41, de 26 de janeiro de 2003, à exceção do seu anexo.</w:t>
      </w:r>
    </w:p>
    <w:p w:rsidR="00EE65B5" w:rsidRPr="00E17271" w:rsidRDefault="00EE65B5">
      <w:pPr>
        <w:autoSpaceDE w:val="0"/>
        <w:autoSpaceDN w:val="0"/>
        <w:adjustRightInd w:val="0"/>
        <w:spacing w:line="360" w:lineRule="auto"/>
        <w:ind w:firstLine="567"/>
        <w:jc w:val="both"/>
        <w:rPr>
          <w:sz w:val="24"/>
          <w:szCs w:val="24"/>
        </w:rPr>
      </w:pPr>
    </w:p>
    <w:p w:rsidR="00EE65B5" w:rsidRPr="00E17271" w:rsidRDefault="00EE65B5">
      <w:pPr>
        <w:pStyle w:val="Ttulo6"/>
        <w:autoSpaceDE w:val="0"/>
        <w:autoSpaceDN w:val="0"/>
        <w:adjustRightInd w:val="0"/>
        <w:spacing w:line="360" w:lineRule="auto"/>
        <w:rPr>
          <w:rFonts w:ascii="Times New Roman" w:hAnsi="Times New Roman" w:cs="Times New Roman"/>
        </w:rPr>
      </w:pPr>
      <w:r w:rsidRPr="00E17271">
        <w:rPr>
          <w:rFonts w:ascii="Times New Roman" w:hAnsi="Times New Roman" w:cs="Times New Roman"/>
        </w:rPr>
        <w:t>CLAUDIO MAIEROVICTH PESSANHA HENRIQUES</w:t>
      </w:r>
    </w:p>
    <w:p w:rsidR="00EE65B5" w:rsidRPr="00E17271" w:rsidRDefault="00EE65B5">
      <w:pPr>
        <w:pStyle w:val="NormalWeb"/>
        <w:ind w:firstLine="567"/>
        <w:jc w:val="center"/>
      </w:pPr>
    </w:p>
    <w:p w:rsidR="00EE65B5" w:rsidRPr="00E17271" w:rsidRDefault="00EE65B5">
      <w:pPr>
        <w:pStyle w:val="NormalWeb"/>
        <w:ind w:firstLine="567"/>
        <w:jc w:val="center"/>
      </w:pPr>
    </w:p>
    <w:p w:rsidR="00EE65B5" w:rsidRPr="00E17271" w:rsidRDefault="00EE65B5">
      <w:pPr>
        <w:pStyle w:val="NormalWeb"/>
        <w:ind w:firstLine="567"/>
      </w:pPr>
    </w:p>
    <w:p w:rsidR="00EE65B5" w:rsidRPr="00E17271" w:rsidRDefault="00EE65B5">
      <w:pPr>
        <w:pStyle w:val="NormalWeb"/>
        <w:ind w:firstLine="567"/>
        <w:jc w:val="center"/>
      </w:pPr>
    </w:p>
    <w:sectPr w:rsidR="00EE65B5" w:rsidRPr="00E17271" w:rsidSect="00E17271">
      <w:headerReference w:type="default" r:id="rId7"/>
      <w:footerReference w:type="default" r:id="rId8"/>
      <w:pgSz w:w="11907" w:h="16840" w:code="9"/>
      <w:pgMar w:top="1440" w:right="1080" w:bottom="1440" w:left="1080" w:header="0" w:footer="72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D8A" w:rsidRDefault="00966D8A">
      <w:r>
        <w:separator/>
      </w:r>
    </w:p>
  </w:endnote>
  <w:endnote w:type="continuationSeparator" w:id="0">
    <w:p w:rsidR="00966D8A" w:rsidRDefault="00966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271" w:rsidRPr="00E17271" w:rsidRDefault="00E17271" w:rsidP="00E17271">
    <w:pPr>
      <w:pStyle w:val="Rodap"/>
      <w:jc w:val="center"/>
      <w:rPr>
        <w:sz w:val="24"/>
      </w:rPr>
    </w:pPr>
    <w:bookmarkStart w:id="1" w:name="_Hlk523755142"/>
    <w:bookmarkStart w:id="2" w:name="_Hlk523755143"/>
    <w:bookmarkStart w:id="3" w:name="_Hlk523756289"/>
    <w:bookmarkStart w:id="4" w:name="_Hlk523756290"/>
    <w:r w:rsidRPr="00E17271">
      <w:rPr>
        <w:rFonts w:ascii="Calibri" w:hAnsi="Calibri"/>
        <w:color w:val="943634"/>
        <w:sz w:val="24"/>
      </w:rPr>
      <w:t>Este texto não substitui o(s) publicado(s) em Diário Oficial da União.</w:t>
    </w:r>
    <w:bookmarkEnd w:id="1"/>
    <w:bookmarkEnd w:id="2"/>
    <w:bookmarkEnd w:id="3"/>
    <w:bookmarkEnd w:id="4"/>
  </w:p>
  <w:p w:rsidR="00EE65B5" w:rsidRDefault="00EE65B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D8A" w:rsidRDefault="00966D8A">
      <w:r>
        <w:separator/>
      </w:r>
    </w:p>
  </w:footnote>
  <w:footnote w:type="continuationSeparator" w:id="0">
    <w:p w:rsidR="00966D8A" w:rsidRDefault="00966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271" w:rsidRDefault="00E17271">
    <w:pPr>
      <w:pStyle w:val="Cabealho"/>
    </w:pPr>
  </w:p>
  <w:p w:rsidR="00E17271" w:rsidRDefault="00E17271">
    <w:pPr>
      <w:pStyle w:val="Cabealho"/>
    </w:pPr>
  </w:p>
  <w:p w:rsidR="00E17271" w:rsidRPr="00B517AC" w:rsidRDefault="00E17271" w:rsidP="00E17271">
    <w:pPr>
      <w:tabs>
        <w:tab w:val="center" w:pos="4252"/>
        <w:tab w:val="right" w:pos="8504"/>
      </w:tabs>
      <w:jc w:val="center"/>
      <w:rPr>
        <w:rFonts w:ascii="Calibri" w:hAnsi="Calibri"/>
      </w:rPr>
    </w:pPr>
    <w:r w:rsidRPr="00E17271">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2pt;height:51pt;visibility:visible">
          <v:imagedata r:id="rId1" o:title=""/>
        </v:shape>
      </w:pict>
    </w:r>
  </w:p>
  <w:p w:rsidR="00E17271" w:rsidRPr="00B517AC" w:rsidRDefault="00E17271" w:rsidP="00E17271">
    <w:pPr>
      <w:tabs>
        <w:tab w:val="center" w:pos="4252"/>
        <w:tab w:val="right" w:pos="8504"/>
      </w:tabs>
      <w:jc w:val="center"/>
      <w:rPr>
        <w:rFonts w:ascii="Calibri" w:hAnsi="Calibri"/>
        <w:b/>
        <w:sz w:val="24"/>
      </w:rPr>
    </w:pPr>
    <w:r w:rsidRPr="00B517AC">
      <w:rPr>
        <w:rFonts w:ascii="Calibri" w:hAnsi="Calibri"/>
        <w:b/>
        <w:sz w:val="24"/>
      </w:rPr>
      <w:t>Ministério da Saúde - MS</w:t>
    </w:r>
  </w:p>
  <w:p w:rsidR="00E17271" w:rsidRDefault="00E17271" w:rsidP="00E17271">
    <w:pPr>
      <w:pStyle w:val="Cabealho"/>
      <w:jc w:val="center"/>
      <w:rPr>
        <w:rFonts w:ascii="Calibri" w:hAnsi="Calibri"/>
        <w:b/>
        <w:sz w:val="24"/>
      </w:rPr>
    </w:pPr>
    <w:r w:rsidRPr="00B517AC">
      <w:rPr>
        <w:rFonts w:ascii="Calibri" w:hAnsi="Calibri"/>
        <w:b/>
        <w:sz w:val="24"/>
      </w:rPr>
      <w:t xml:space="preserve">Agência Nacional de Vigilância Sanitária </w:t>
    </w:r>
    <w:r>
      <w:rPr>
        <w:rFonts w:ascii="Calibri" w:hAnsi="Calibri"/>
        <w:b/>
        <w:sz w:val="24"/>
      </w:rPr>
      <w:t>–</w:t>
    </w:r>
    <w:r w:rsidRPr="00B517AC">
      <w:rPr>
        <w:rFonts w:ascii="Calibri" w:hAnsi="Calibri"/>
        <w:b/>
        <w:sz w:val="24"/>
      </w:rPr>
      <w:t xml:space="preserve"> ANVISA</w:t>
    </w:r>
  </w:p>
  <w:p w:rsidR="00E17271" w:rsidRDefault="00E17271" w:rsidP="00E17271">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E65B5"/>
    <w:rsid w:val="0061082E"/>
    <w:rsid w:val="00966D8A"/>
    <w:rsid w:val="00B517AC"/>
    <w:rsid w:val="00B755B3"/>
    <w:rsid w:val="00E17271"/>
    <w:rsid w:val="00EE65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81856C-8DF9-40BB-B4FB-93BDDF51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Strong"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b/>
      <w:bCs/>
      <w:sz w:val="24"/>
      <w:szCs w:val="24"/>
    </w:rPr>
  </w:style>
  <w:style w:type="paragraph" w:styleId="Ttulo2">
    <w:name w:val="heading 2"/>
    <w:basedOn w:val="Normal"/>
    <w:next w:val="Normal"/>
    <w:link w:val="Ttulo2Char"/>
    <w:uiPriority w:val="99"/>
    <w:qFormat/>
    <w:pPr>
      <w:keepNext/>
      <w:outlineLvl w:val="1"/>
    </w:pPr>
    <w:rPr>
      <w:sz w:val="24"/>
      <w:szCs w:val="24"/>
    </w:rPr>
  </w:style>
  <w:style w:type="paragraph" w:styleId="Ttulo3">
    <w:name w:val="heading 3"/>
    <w:basedOn w:val="Normal"/>
    <w:next w:val="Normal"/>
    <w:link w:val="Ttulo3Char"/>
    <w:uiPriority w:val="99"/>
    <w:qFormat/>
    <w:pPr>
      <w:keepNext/>
      <w:jc w:val="right"/>
      <w:outlineLvl w:val="2"/>
    </w:pPr>
    <w:rPr>
      <w:rFonts w:ascii="Arial" w:hAnsi="Arial" w:cs="Arial"/>
      <w:sz w:val="24"/>
      <w:szCs w:val="24"/>
    </w:rPr>
  </w:style>
  <w:style w:type="paragraph" w:styleId="Ttulo4">
    <w:name w:val="heading 4"/>
    <w:basedOn w:val="Normal"/>
    <w:next w:val="Normal"/>
    <w:link w:val="Ttulo4Char"/>
    <w:uiPriority w:val="99"/>
    <w:qFormat/>
    <w:pPr>
      <w:keepNext/>
      <w:outlineLvl w:val="3"/>
    </w:pPr>
    <w:rPr>
      <w:rFonts w:ascii="Arial" w:hAnsi="Arial" w:cs="Arial"/>
      <w:b/>
      <w:bCs/>
      <w:sz w:val="24"/>
      <w:szCs w:val="24"/>
    </w:rPr>
  </w:style>
  <w:style w:type="paragraph" w:styleId="Ttulo5">
    <w:name w:val="heading 5"/>
    <w:basedOn w:val="Normal"/>
    <w:next w:val="Normal"/>
    <w:link w:val="Ttulo5Char"/>
    <w:uiPriority w:val="99"/>
    <w:qFormat/>
    <w:pPr>
      <w:keepNext/>
      <w:outlineLvl w:val="4"/>
    </w:pPr>
    <w:rPr>
      <w:rFonts w:ascii="Arial" w:hAnsi="Arial" w:cs="Arial"/>
      <w:i/>
      <w:iCs/>
      <w:sz w:val="24"/>
      <w:szCs w:val="24"/>
    </w:rPr>
  </w:style>
  <w:style w:type="paragraph" w:styleId="Ttulo6">
    <w:name w:val="heading 6"/>
    <w:basedOn w:val="Normal"/>
    <w:next w:val="Normal"/>
    <w:link w:val="Ttulo6Char"/>
    <w:uiPriority w:val="99"/>
    <w:qFormat/>
    <w:pPr>
      <w:keepNext/>
      <w:jc w:val="center"/>
      <w:outlineLvl w:val="5"/>
    </w:pPr>
    <w:rPr>
      <w:rFonts w:ascii="Arial" w:hAnsi="Arial" w:cs="Arial"/>
      <w:sz w:val="24"/>
      <w:szCs w:val="24"/>
    </w:rPr>
  </w:style>
  <w:style w:type="paragraph" w:styleId="Ttulo7">
    <w:name w:val="heading 7"/>
    <w:basedOn w:val="Normal"/>
    <w:next w:val="Normal"/>
    <w:link w:val="Ttulo7Char"/>
    <w:uiPriority w:val="99"/>
    <w:qFormat/>
    <w:pPr>
      <w:keepNext/>
      <w:jc w:val="both"/>
      <w:outlineLvl w:val="6"/>
    </w:pPr>
    <w:rPr>
      <w:rFonts w:ascii="TimesNewRomanPS-BoldMT" w:hAnsi="TimesNewRomanPS-BoldMT" w:cs="TimesNewRomanPS-BoldMT"/>
      <w:b/>
      <w:bCs/>
      <w:sz w:val="24"/>
      <w:szCs w:val="24"/>
    </w:rPr>
  </w:style>
  <w:style w:type="paragraph" w:styleId="Ttulo8">
    <w:name w:val="heading 8"/>
    <w:basedOn w:val="Normal"/>
    <w:next w:val="Normal"/>
    <w:link w:val="Ttulo8Char"/>
    <w:uiPriority w:val="99"/>
    <w:qFormat/>
    <w:pPr>
      <w:keepNext/>
      <w:ind w:firstLine="2835"/>
      <w:outlineLvl w:val="7"/>
    </w:pPr>
    <w:rPr>
      <w:rFonts w:ascii="Arial" w:hAnsi="Arial" w:cs="Arial"/>
      <w:sz w:val="24"/>
      <w:szCs w:val="24"/>
    </w:rPr>
  </w:style>
  <w:style w:type="paragraph" w:styleId="Ttulo9">
    <w:name w:val="heading 9"/>
    <w:basedOn w:val="Normal"/>
    <w:next w:val="Normal"/>
    <w:link w:val="Ttulo9Char"/>
    <w:uiPriority w:val="99"/>
    <w:qFormat/>
    <w:pPr>
      <w:keepNext/>
      <w:jc w:val="right"/>
      <w:outlineLvl w:val="8"/>
    </w:pPr>
    <w:rPr>
      <w:rFonts w:ascii="Arial" w:hAnsi="Arial" w:cs="Arial"/>
      <w:b/>
      <w:bCs/>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4Char">
    <w:name w:val="Título 4 Char"/>
    <w:basedOn w:val="Fontepargpadro"/>
    <w:link w:val="Ttulo4"/>
    <w:uiPriority w:val="9"/>
    <w:semiHidden/>
    <w:locked/>
    <w:rPr>
      <w:rFonts w:cs="Times New Roman"/>
      <w:b/>
      <w:bCs/>
      <w:sz w:val="28"/>
      <w:szCs w:val="28"/>
    </w:rPr>
  </w:style>
  <w:style w:type="character" w:customStyle="1" w:styleId="Ttulo5Char">
    <w:name w:val="Título 5 Char"/>
    <w:basedOn w:val="Fontepargpadro"/>
    <w:link w:val="Ttulo5"/>
    <w:uiPriority w:val="9"/>
    <w:semiHidden/>
    <w:locked/>
    <w:rPr>
      <w:rFonts w:cs="Times New Roman"/>
      <w:b/>
      <w:bCs/>
      <w:i/>
      <w:iCs/>
      <w:sz w:val="26"/>
      <w:szCs w:val="26"/>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8Char">
    <w:name w:val="Título 8 Char"/>
    <w:basedOn w:val="Fontepargpadro"/>
    <w:link w:val="Ttulo8"/>
    <w:uiPriority w:val="9"/>
    <w:semiHidden/>
    <w:locked/>
    <w:rPr>
      <w:rFonts w:cs="Times New Roman"/>
      <w:i/>
      <w:iCs/>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Corpodetexto">
    <w:name w:val="Body Text"/>
    <w:basedOn w:val="Normal"/>
    <w:link w:val="CorpodetextoChar"/>
    <w:uiPriority w:val="99"/>
    <w:pPr>
      <w:jc w:val="both"/>
    </w:pPr>
    <w:rPr>
      <w:rFonts w:ascii="Arial" w:hAnsi="Arial" w:cs="Arial"/>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spacing w:line="360" w:lineRule="auto"/>
    </w:pPr>
    <w:rPr>
      <w:rFonts w:ascii="Arial" w:hAnsi="Arial" w:cs="Arial"/>
      <w:sz w:val="24"/>
      <w:szCs w:val="24"/>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spacing w:line="360" w:lineRule="auto"/>
      <w:ind w:firstLine="2835"/>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character" w:styleId="Hyperlink">
    <w:name w:val="Hyperlink"/>
    <w:basedOn w:val="Fontepargpadro"/>
    <w:uiPriority w:val="99"/>
    <w:rPr>
      <w:rFonts w:cs="Times New Roman"/>
      <w:color w:val="0000FF"/>
      <w:u w:val="single"/>
    </w:rPr>
  </w:style>
  <w:style w:type="paragraph" w:customStyle="1" w:styleId="H1">
    <w:name w:val="H1"/>
    <w:basedOn w:val="Normal"/>
    <w:next w:val="Normal"/>
    <w:uiPriority w:val="99"/>
    <w:pPr>
      <w:keepNext/>
      <w:spacing w:before="100" w:after="100"/>
      <w:outlineLvl w:val="1"/>
    </w:pPr>
    <w:rPr>
      <w:b/>
      <w:bCs/>
      <w:kern w:val="36"/>
      <w:sz w:val="48"/>
      <w:szCs w:val="48"/>
    </w:rPr>
  </w:style>
  <w:style w:type="paragraph" w:customStyle="1" w:styleId="H2">
    <w:name w:val="H2"/>
    <w:basedOn w:val="Normal"/>
    <w:next w:val="Normal"/>
    <w:uiPriority w:val="99"/>
    <w:pPr>
      <w:keepNext/>
      <w:spacing w:before="100" w:after="100"/>
      <w:outlineLvl w:val="2"/>
    </w:pPr>
    <w:rPr>
      <w:b/>
      <w:bCs/>
      <w:sz w:val="36"/>
      <w:szCs w:val="36"/>
    </w:rPr>
  </w:style>
  <w:style w:type="paragraph" w:customStyle="1" w:styleId="H3">
    <w:name w:val="H3"/>
    <w:basedOn w:val="Normal"/>
    <w:next w:val="Normal"/>
    <w:uiPriority w:val="99"/>
    <w:pPr>
      <w:keepNext/>
      <w:spacing w:before="100" w:after="100"/>
      <w:outlineLvl w:val="3"/>
    </w:pPr>
    <w:rPr>
      <w:b/>
      <w:bCs/>
      <w:sz w:val="28"/>
      <w:szCs w:val="28"/>
    </w:rPr>
  </w:style>
  <w:style w:type="paragraph" w:customStyle="1" w:styleId="Blockquote">
    <w:name w:val="Blockquote"/>
    <w:basedOn w:val="Normal"/>
    <w:uiPriority w:val="99"/>
    <w:pPr>
      <w:spacing w:before="100" w:after="100"/>
      <w:ind w:left="360" w:right="360"/>
    </w:pPr>
    <w:rPr>
      <w:sz w:val="24"/>
      <w:szCs w:val="24"/>
    </w:rPr>
  </w:style>
  <w:style w:type="character" w:styleId="Forte">
    <w:name w:val="Strong"/>
    <w:basedOn w:val="Fontepargpadro"/>
    <w:uiPriority w:val="99"/>
    <w:qFormat/>
    <w:rPr>
      <w:rFonts w:cs="Times New Roman"/>
      <w:b/>
      <w:bCs/>
    </w:rPr>
  </w:style>
  <w:style w:type="character" w:customStyle="1" w:styleId="Typewriter">
    <w:name w:val="Typewriter"/>
    <w:uiPriority w:val="99"/>
    <w:rPr>
      <w:rFonts w:ascii="Courier New" w:hAnsi="Courier New"/>
      <w:sz w:val="20"/>
    </w:rPr>
  </w:style>
  <w:style w:type="paragraph" w:styleId="Recuodecorpodetexto3">
    <w:name w:val="Body Text Indent 3"/>
    <w:basedOn w:val="Normal"/>
    <w:link w:val="Recuodecorpodetexto3Char"/>
    <w:uiPriority w:val="99"/>
    <w:pPr>
      <w:ind w:firstLine="2835"/>
    </w:pPr>
    <w:rPr>
      <w:rFonts w:ascii="Arial" w:hAnsi="Arial" w:cs="Arial"/>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character" w:styleId="HiperlinkVisitado">
    <w:name w:val="FollowedHyperlink"/>
    <w:basedOn w:val="Fontepargpadro"/>
    <w:uiPriority w:val="99"/>
    <w:rPr>
      <w:rFonts w:cs="Times New Roman"/>
      <w:color w:val="800080"/>
      <w:u w:val="single"/>
    </w:rPr>
  </w:style>
  <w:style w:type="character" w:styleId="Nmerodepgina">
    <w:name w:val="page number"/>
    <w:basedOn w:val="Fontepargpadro"/>
    <w:uiPriority w:val="99"/>
    <w:rPr>
      <w:rFonts w:cs="Times New Roman"/>
    </w:rPr>
  </w:style>
  <w:style w:type="paragraph" w:styleId="TextosemFormatao">
    <w:name w:val="Plain Text"/>
    <w:basedOn w:val="Normal"/>
    <w:link w:val="TextosemFormataoChar"/>
    <w:uiPriority w:val="99"/>
    <w:rPr>
      <w:rFonts w:ascii="Courier New" w:hAnsi="Courier New" w:cs="Courier New"/>
    </w:rPr>
  </w:style>
  <w:style w:type="character" w:customStyle="1" w:styleId="TextosemFormataoChar">
    <w:name w:val="Texto sem Formatação Char"/>
    <w:basedOn w:val="Fontepargpadro"/>
    <w:link w:val="TextosemFormatao"/>
    <w:uiPriority w:val="99"/>
    <w:semiHidden/>
    <w:locked/>
    <w:rPr>
      <w:rFonts w:ascii="Courier New" w:hAnsi="Courier New" w:cs="Courier New"/>
      <w:sz w:val="20"/>
      <w:szCs w:val="20"/>
    </w:rPr>
  </w:style>
  <w:style w:type="paragraph" w:styleId="Ttulo">
    <w:name w:val="Title"/>
    <w:basedOn w:val="Normal"/>
    <w:link w:val="TtuloChar"/>
    <w:uiPriority w:val="99"/>
    <w:qFormat/>
    <w:pPr>
      <w:jc w:val="center"/>
    </w:pPr>
    <w:rPr>
      <w:rFonts w:ascii="Arial" w:hAnsi="Arial" w:cs="Arial"/>
      <w:b/>
      <w:bCs/>
      <w:sz w:val="32"/>
      <w:szCs w:val="32"/>
    </w:rPr>
  </w:style>
  <w:style w:type="character" w:customStyle="1" w:styleId="TtuloChar">
    <w:name w:val="Título Char"/>
    <w:basedOn w:val="Fontepargpadro"/>
    <w:link w:val="Ttulo"/>
    <w:uiPriority w:val="10"/>
    <w:locked/>
    <w:rPr>
      <w:rFonts w:asciiTheme="majorHAnsi" w:eastAsiaTheme="majorEastAsia" w:hAnsiTheme="majorHAnsi" w:cs="Times New Roman"/>
      <w:b/>
      <w:bCs/>
      <w:kern w:val="28"/>
      <w:sz w:val="32"/>
      <w:szCs w:val="32"/>
    </w:rPr>
  </w:style>
  <w:style w:type="paragraph" w:styleId="NormalWeb">
    <w:name w:val="Normal (Web)"/>
    <w:basedOn w:val="Normal"/>
    <w:uiPriority w:val="99"/>
    <w:pPr>
      <w:spacing w:before="100" w:after="100"/>
    </w:pPr>
    <w:rPr>
      <w:sz w:val="24"/>
      <w:szCs w:val="24"/>
    </w:rPr>
  </w:style>
  <w:style w:type="paragraph" w:styleId="Corpodetexto3">
    <w:name w:val="Body Text 3"/>
    <w:basedOn w:val="Normal"/>
    <w:link w:val="Corpodetexto3Char"/>
    <w:uiPriority w:val="99"/>
    <w:pPr>
      <w:pBdr>
        <w:top w:val="single" w:sz="4" w:space="1" w:color="auto"/>
        <w:left w:val="single" w:sz="4" w:space="4" w:color="auto"/>
        <w:bottom w:val="single" w:sz="4" w:space="1" w:color="auto"/>
        <w:right w:val="single" w:sz="4" w:space="4" w:color="auto"/>
      </w:pBdr>
      <w:jc w:val="both"/>
    </w:pPr>
    <w:rPr>
      <w:rFonts w:ascii="Arial" w:hAnsi="Arial" w:cs="Arial"/>
      <w:color w:val="000000"/>
      <w:sz w:val="24"/>
      <w:szCs w:val="24"/>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Textodebalo">
    <w:name w:val="Balloon Text"/>
    <w:basedOn w:val="Normal"/>
    <w:link w:val="TextodebaloChar"/>
    <w:uiPriority w:val="99"/>
    <w:semiHidden/>
    <w:unhideWhenUsed/>
    <w:rsid w:val="00EE65B5"/>
    <w:rPr>
      <w:rFonts w:ascii="Tahoma" w:hAnsi="Tahoma" w:cs="Tahoma"/>
      <w:sz w:val="16"/>
      <w:szCs w:val="16"/>
    </w:rPr>
  </w:style>
  <w:style w:type="character" w:customStyle="1" w:styleId="TextodebaloChar">
    <w:name w:val="Texto de balão Char"/>
    <w:basedOn w:val="Fontepargpadro"/>
    <w:link w:val="Textodebalo"/>
    <w:uiPriority w:val="99"/>
    <w:semiHidden/>
    <w:locked/>
    <w:rsid w:val="00EE65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2932</Characters>
  <Application>Microsoft Office Word</Application>
  <DocSecurity>0</DocSecurity>
  <Lines>24</Lines>
  <Paragraphs>6</Paragraphs>
  <ScaleCrop>false</ScaleCrop>
  <Company>anvisa</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Memorando nº  042/GEPEC/GGMED/DMP/ANVISA</dc:title>
  <dc:subject/>
  <dc:creator>Ozorio.Paiva</dc:creator>
  <cp:keywords/>
  <dc:description>ORIGEM:36688daTIPO:79daNUMERO:78daCORREIO:silesio.rodrigues@anvisa.gov.br</dc:description>
  <cp:lastModifiedBy>Helder Lopes da Silva</cp:lastModifiedBy>
  <cp:revision>2</cp:revision>
  <cp:lastPrinted>2018-10-09T14:14:00Z</cp:lastPrinted>
  <dcterms:created xsi:type="dcterms:W3CDTF">2019-02-06T11:35:00Z</dcterms:created>
  <dcterms:modified xsi:type="dcterms:W3CDTF">2019-02-06T11:35:00Z</dcterms:modified>
</cp:coreProperties>
</file>